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5705"/>
        <w:gridCol w:w="520"/>
        <w:gridCol w:w="520"/>
        <w:gridCol w:w="761"/>
      </w:tblGrid>
      <w:tr w:rsidR="00B36059" w:rsidRPr="009C1F88" w:rsidTr="00B36059">
        <w:trPr>
          <w:trHeight w:val="113"/>
          <w:jc w:val="center"/>
        </w:trPr>
        <w:tc>
          <w:tcPr>
            <w:tcW w:w="40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059" w:rsidRDefault="00B36059" w:rsidP="00B36059">
            <w:pPr>
              <w:shd w:val="clear" w:color="auto" w:fill="FFFFFF"/>
              <w:tabs>
                <w:tab w:val="left" w:pos="1620"/>
              </w:tabs>
              <w:snapToGrid w:val="0"/>
              <w:ind w:left="10" w:right="140" w:hanging="5"/>
              <w:jc w:val="center"/>
              <w:rPr>
                <w:rFonts w:ascii="Arial" w:hAnsi="Arial" w:cs="Arial"/>
                <w:b/>
                <w:color w:val="000000"/>
                <w:spacing w:val="-4"/>
                <w:sz w:val="21"/>
                <w:szCs w:val="21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1"/>
                <w:szCs w:val="21"/>
                <w:lang w:val="es-CO"/>
              </w:rPr>
              <w:t>RELATORÍA</w:t>
            </w:r>
          </w:p>
          <w:p w:rsidR="00B36059" w:rsidRPr="009C1F88" w:rsidRDefault="00B36059" w:rsidP="00B36059">
            <w:pPr>
              <w:shd w:val="clear" w:color="auto" w:fill="FFFFFF"/>
              <w:tabs>
                <w:tab w:val="left" w:pos="1620"/>
              </w:tabs>
              <w:snapToGrid w:val="0"/>
              <w:ind w:left="10" w:right="140" w:hanging="5"/>
              <w:jc w:val="center"/>
              <w:rPr>
                <w:rFonts w:ascii="Arial" w:hAnsi="Arial" w:cs="Arial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spacing w:val="-2"/>
                <w:sz w:val="21"/>
                <w:szCs w:val="21"/>
                <w:lang w:val="es-CO"/>
              </w:rPr>
              <w:t>Reunión con la comisión de empalme</w:t>
            </w:r>
          </w:p>
        </w:tc>
        <w:tc>
          <w:tcPr>
            <w:tcW w:w="9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  <w:t>Ciudad</w:t>
            </w:r>
          </w:p>
        </w:tc>
      </w:tr>
      <w:tr w:rsidR="00B36059" w:rsidRPr="009C1F88" w:rsidTr="00B36059">
        <w:trPr>
          <w:trHeight w:val="113"/>
          <w:jc w:val="center"/>
        </w:trPr>
        <w:tc>
          <w:tcPr>
            <w:tcW w:w="40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i/>
                <w:color w:val="FF0000"/>
                <w:spacing w:val="-2"/>
                <w:sz w:val="21"/>
                <w:szCs w:val="21"/>
                <w:lang w:val="es-CO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Bogotá</w:t>
            </w:r>
          </w:p>
        </w:tc>
      </w:tr>
      <w:tr w:rsidR="00B36059" w:rsidRPr="009C1F88" w:rsidTr="00B36059">
        <w:trPr>
          <w:trHeight w:val="134"/>
          <w:jc w:val="center"/>
        </w:trPr>
        <w:tc>
          <w:tcPr>
            <w:tcW w:w="40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i/>
                <w:color w:val="FF0000"/>
                <w:spacing w:val="-2"/>
                <w:sz w:val="21"/>
                <w:szCs w:val="21"/>
                <w:lang w:val="es-CO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  <w:t>Fecha</w:t>
            </w:r>
          </w:p>
        </w:tc>
      </w:tr>
      <w:tr w:rsidR="00B36059" w:rsidRPr="009C1F88" w:rsidTr="00B36059">
        <w:trPr>
          <w:trHeight w:val="241"/>
          <w:jc w:val="center"/>
        </w:trPr>
        <w:tc>
          <w:tcPr>
            <w:tcW w:w="400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DD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MM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AA</w:t>
            </w:r>
          </w:p>
        </w:tc>
      </w:tr>
      <w:tr w:rsidR="00B36059" w:rsidRPr="009C1F88" w:rsidTr="00B36059">
        <w:trPr>
          <w:trHeight w:val="153"/>
          <w:jc w:val="center"/>
        </w:trPr>
        <w:tc>
          <w:tcPr>
            <w:tcW w:w="400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2019</w:t>
            </w:r>
          </w:p>
        </w:tc>
      </w:tr>
      <w:tr w:rsidR="00B36059" w:rsidRPr="009C1F88" w:rsidTr="00B36059">
        <w:trPr>
          <w:trHeight w:val="153"/>
          <w:jc w:val="center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tabs>
                <w:tab w:val="left" w:pos="1620"/>
              </w:tabs>
              <w:snapToGrid w:val="0"/>
              <w:ind w:left="10" w:right="140" w:hanging="5"/>
              <w:jc w:val="both"/>
              <w:rPr>
                <w:rFonts w:ascii="Arial" w:hAnsi="Arial" w:cs="Arial"/>
                <w:color w:val="000000"/>
                <w:spacing w:val="-1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b/>
                <w:color w:val="000000"/>
                <w:spacing w:val="-1"/>
                <w:sz w:val="21"/>
                <w:szCs w:val="21"/>
                <w:lang w:val="es-CO"/>
              </w:rPr>
              <w:t>Lugar:</w:t>
            </w:r>
          </w:p>
        </w:tc>
        <w:tc>
          <w:tcPr>
            <w:tcW w:w="31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 xml:space="preserve">IDPC – Sala de Juntas, </w:t>
            </w: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Casa Genoveva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  <w:t>Hora Inicio</w:t>
            </w:r>
          </w:p>
        </w:tc>
      </w:tr>
      <w:tr w:rsidR="00B36059" w:rsidRPr="009C1F88" w:rsidTr="00B36059">
        <w:trPr>
          <w:trHeight w:val="153"/>
          <w:jc w:val="center"/>
        </w:trPr>
        <w:tc>
          <w:tcPr>
            <w:tcW w:w="858" w:type="pct"/>
            <w:vMerge/>
            <w:tcBorders>
              <w:left w:val="single" w:sz="4" w:space="0" w:color="000000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tabs>
                <w:tab w:val="left" w:pos="1620"/>
              </w:tabs>
              <w:snapToGrid w:val="0"/>
              <w:ind w:left="10" w:right="140" w:hanging="5"/>
              <w:jc w:val="both"/>
              <w:rPr>
                <w:rFonts w:ascii="Arial" w:hAnsi="Arial" w:cs="Arial"/>
                <w:b/>
                <w:color w:val="000000"/>
                <w:spacing w:val="-1"/>
                <w:sz w:val="21"/>
                <w:szCs w:val="21"/>
                <w:lang w:val="es-CO"/>
              </w:rPr>
            </w:pPr>
          </w:p>
        </w:tc>
        <w:tc>
          <w:tcPr>
            <w:tcW w:w="314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i/>
                <w:color w:val="FF0000"/>
                <w:spacing w:val="-2"/>
                <w:sz w:val="21"/>
                <w:szCs w:val="21"/>
                <w:lang w:val="es-CO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2:30 pm</w:t>
            </w:r>
          </w:p>
        </w:tc>
      </w:tr>
      <w:tr w:rsidR="00B36059" w:rsidRPr="009C1F88" w:rsidTr="00B36059">
        <w:trPr>
          <w:trHeight w:val="153"/>
          <w:jc w:val="center"/>
        </w:trPr>
        <w:tc>
          <w:tcPr>
            <w:tcW w:w="858" w:type="pct"/>
            <w:vMerge/>
            <w:tcBorders>
              <w:lef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tabs>
                <w:tab w:val="left" w:pos="1620"/>
              </w:tabs>
              <w:snapToGrid w:val="0"/>
              <w:ind w:left="10" w:right="140" w:hanging="5"/>
              <w:jc w:val="both"/>
              <w:rPr>
                <w:rFonts w:ascii="Arial" w:hAnsi="Arial" w:cs="Arial"/>
                <w:b/>
                <w:color w:val="000000"/>
                <w:spacing w:val="-1"/>
                <w:sz w:val="21"/>
                <w:szCs w:val="21"/>
                <w:lang w:val="es-CO"/>
              </w:rPr>
            </w:pPr>
          </w:p>
        </w:tc>
        <w:tc>
          <w:tcPr>
            <w:tcW w:w="314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6059" w:rsidRPr="009C1F88" w:rsidRDefault="00B36059" w:rsidP="00C3299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b/>
                <w:color w:val="000000"/>
                <w:spacing w:val="-2"/>
                <w:sz w:val="21"/>
                <w:szCs w:val="21"/>
                <w:lang w:val="es-CO"/>
              </w:rPr>
              <w:t>Hora finalización</w:t>
            </w:r>
          </w:p>
        </w:tc>
      </w:tr>
      <w:tr w:rsidR="00B36059" w:rsidRPr="009C1F88" w:rsidTr="00B36059">
        <w:trPr>
          <w:trHeight w:val="153"/>
          <w:jc w:val="center"/>
        </w:trPr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tabs>
                <w:tab w:val="left" w:pos="1620"/>
              </w:tabs>
              <w:snapToGrid w:val="0"/>
              <w:ind w:right="140"/>
              <w:jc w:val="both"/>
              <w:rPr>
                <w:rFonts w:ascii="Arial" w:hAnsi="Arial" w:cs="Arial"/>
                <w:b/>
                <w:color w:val="000000"/>
                <w:spacing w:val="-1"/>
                <w:sz w:val="21"/>
                <w:szCs w:val="21"/>
                <w:lang w:val="es-CO"/>
              </w:rPr>
            </w:pPr>
          </w:p>
        </w:tc>
        <w:tc>
          <w:tcPr>
            <w:tcW w:w="3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59" w:rsidRPr="009C1F88" w:rsidRDefault="00B36059" w:rsidP="00C3299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059" w:rsidRPr="009C1F88" w:rsidRDefault="00B36059" w:rsidP="00C329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</w:pPr>
            <w:r w:rsidRPr="009C1F88">
              <w:rPr>
                <w:rFonts w:ascii="Arial" w:hAnsi="Arial" w:cs="Arial"/>
                <w:color w:val="000000"/>
                <w:spacing w:val="-2"/>
                <w:sz w:val="21"/>
                <w:szCs w:val="21"/>
                <w:lang w:val="es-CO"/>
              </w:rPr>
              <w:t>7:30 pm</w:t>
            </w:r>
          </w:p>
        </w:tc>
      </w:tr>
    </w:tbl>
    <w:p w:rsidR="00B36059" w:rsidRPr="009C1F88" w:rsidRDefault="00B36059" w:rsidP="00B36059">
      <w:pPr>
        <w:jc w:val="both"/>
        <w:rPr>
          <w:rFonts w:ascii="Arial" w:hAnsi="Arial" w:cs="Arial"/>
          <w:sz w:val="21"/>
          <w:szCs w:val="21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061"/>
        <w:gridCol w:w="1407"/>
        <w:gridCol w:w="1267"/>
      </w:tblGrid>
      <w:tr w:rsidR="00B36059" w:rsidRPr="009C1F88" w:rsidTr="00B36059">
        <w:trPr>
          <w:trHeight w:val="370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B36059" w:rsidRPr="00B36059" w:rsidRDefault="00B36059" w:rsidP="00B36059">
            <w:pPr>
              <w:jc w:val="center"/>
              <w:rPr>
                <w:rFonts w:ascii="Arial" w:hAnsi="Arial" w:cs="Arial"/>
                <w:b/>
                <w:color w:val="000000"/>
                <w:spacing w:val="-4"/>
                <w:sz w:val="21"/>
                <w:szCs w:val="21"/>
                <w:lang w:val="es-CO"/>
              </w:rPr>
            </w:pPr>
            <w:r w:rsidRPr="00B36059">
              <w:rPr>
                <w:rFonts w:ascii="Arial" w:hAnsi="Arial" w:cs="Arial"/>
                <w:b/>
                <w:color w:val="000000"/>
                <w:spacing w:val="-4"/>
                <w:sz w:val="21"/>
                <w:szCs w:val="21"/>
                <w:lang w:val="es-CO"/>
              </w:rPr>
              <w:t xml:space="preserve">Asistentes – Invitados </w:t>
            </w:r>
          </w:p>
        </w:tc>
      </w:tr>
      <w:tr w:rsidR="00B36059" w:rsidRPr="009C1F88" w:rsidTr="00B36059">
        <w:trPr>
          <w:trHeight w:val="370"/>
          <w:jc w:val="center"/>
        </w:trPr>
        <w:tc>
          <w:tcPr>
            <w:tcW w:w="1293" w:type="pct"/>
            <w:shd w:val="clear" w:color="auto" w:fill="BFBFBF" w:themeFill="background1" w:themeFillShade="BF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9C1F88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2249" w:type="pct"/>
            <w:shd w:val="clear" w:color="auto" w:fill="BFBFBF" w:themeFill="background1" w:themeFillShade="BF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9C1F88">
              <w:rPr>
                <w:rFonts w:ascii="Arial" w:hAnsi="Arial" w:cs="Arial"/>
                <w:b/>
                <w:sz w:val="21"/>
                <w:szCs w:val="21"/>
                <w:lang w:val="es-ES"/>
              </w:rPr>
              <w:t>Dependencia/ Entidad</w:t>
            </w:r>
          </w:p>
        </w:tc>
        <w:tc>
          <w:tcPr>
            <w:tcW w:w="773" w:type="pct"/>
            <w:shd w:val="clear" w:color="auto" w:fill="BFBFBF" w:themeFill="background1" w:themeFillShade="BF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9C1F88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685" w:type="pct"/>
            <w:shd w:val="clear" w:color="auto" w:fill="BFBFBF" w:themeFill="background1" w:themeFillShade="BF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9C1F88">
              <w:rPr>
                <w:rFonts w:ascii="Arial" w:hAnsi="Arial" w:cs="Arial"/>
                <w:b/>
                <w:sz w:val="21"/>
                <w:szCs w:val="21"/>
                <w:lang w:val="es-ES"/>
              </w:rPr>
              <w:t>Asistencia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0" w:name="_GoBack" w:colFirst="0" w:colLast="0"/>
            <w:r>
              <w:rPr>
                <w:rFonts w:ascii="Arial" w:hAnsi="Arial" w:cs="Arial"/>
                <w:sz w:val="21"/>
                <w:szCs w:val="21"/>
                <w:lang w:val="es-ES"/>
              </w:rPr>
              <w:t>Mauricio Uribe González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Director General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Director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María Victoria Villamil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Subdirección de Gestión Territorial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Subdirectora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Margarita Castañeda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Subdirección de Divulgación y Apropiación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Subdirectora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Diego Parra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Subdirección de Proyección e Intervención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Subdirector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Juan Fernando Acosta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Subdirección de Gestión Corporativa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Subdirector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Gladys Sierra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Oficina Asesora Jurídica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Jefa</w:t>
            </w:r>
          </w:p>
        </w:tc>
        <w:tc>
          <w:tcPr>
            <w:tcW w:w="685" w:type="pct"/>
            <w:shd w:val="clear" w:color="auto" w:fill="auto"/>
          </w:tcPr>
          <w:p w:rsidR="00B36059" w:rsidRPr="00D57820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Luz Patricia Quintanilla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Oficina Asesora de Planeación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Jefa</w:t>
            </w:r>
          </w:p>
        </w:tc>
        <w:tc>
          <w:tcPr>
            <w:tcW w:w="685" w:type="pct"/>
            <w:shd w:val="clear" w:color="auto" w:fill="auto"/>
          </w:tcPr>
          <w:p w:rsidR="00B36059" w:rsidRPr="00D57820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Eleana Páez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Asesoría Control Interno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Asesora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Luz Marina Serna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Asesora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Asesora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Ángela Santamaría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IDPC / Museo de Bogotá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Gerente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Catalina Valencia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Líder Comisión</w:t>
            </w:r>
            <w:r w:rsidRPr="007E737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empalme Sector Cultura</w:t>
            </w:r>
          </w:p>
        </w:tc>
        <w:tc>
          <w:tcPr>
            <w:tcW w:w="773" w:type="pct"/>
            <w:vAlign w:val="center"/>
          </w:tcPr>
          <w:p w:rsidR="00B36059" w:rsidRPr="009C1F88" w:rsidRDefault="00B36059" w:rsidP="00C3299C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Daniel Téllez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Comisión</w:t>
            </w:r>
            <w:r w:rsidRPr="007E737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empalme</w:t>
            </w:r>
          </w:p>
        </w:tc>
        <w:tc>
          <w:tcPr>
            <w:tcW w:w="773" w:type="pct"/>
          </w:tcPr>
          <w:p w:rsidR="00B36059" w:rsidRDefault="00B36059" w:rsidP="00C3299C">
            <w:pPr>
              <w:jc w:val="center"/>
            </w:pPr>
            <w:r w:rsidRPr="00F45A65">
              <w:rPr>
                <w:rFonts w:ascii="Arial" w:hAnsi="Arial" w:cs="Arial"/>
                <w:sz w:val="21"/>
                <w:szCs w:val="21"/>
                <w:lang w:val="es-E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Pilar Quiroga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Comisión</w:t>
            </w:r>
            <w:r w:rsidRPr="007E737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empalme</w:t>
            </w:r>
          </w:p>
        </w:tc>
        <w:tc>
          <w:tcPr>
            <w:tcW w:w="773" w:type="pct"/>
          </w:tcPr>
          <w:p w:rsidR="00B36059" w:rsidRDefault="00B36059" w:rsidP="00C3299C">
            <w:pPr>
              <w:jc w:val="center"/>
            </w:pPr>
            <w:r w:rsidRPr="00F45A65">
              <w:rPr>
                <w:rFonts w:ascii="Arial" w:hAnsi="Arial" w:cs="Arial"/>
                <w:sz w:val="21"/>
                <w:szCs w:val="21"/>
                <w:lang w:val="es-E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Juan Jiménez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Comisión</w:t>
            </w:r>
            <w:r w:rsidRPr="007E737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empalme</w:t>
            </w:r>
          </w:p>
        </w:tc>
        <w:tc>
          <w:tcPr>
            <w:tcW w:w="773" w:type="pct"/>
          </w:tcPr>
          <w:p w:rsidR="00B36059" w:rsidRDefault="00B36059" w:rsidP="00C3299C">
            <w:pPr>
              <w:jc w:val="center"/>
            </w:pPr>
            <w:r w:rsidRPr="00F45A65">
              <w:rPr>
                <w:rFonts w:ascii="Arial" w:hAnsi="Arial" w:cs="Arial"/>
                <w:sz w:val="21"/>
                <w:szCs w:val="21"/>
                <w:lang w:val="es-E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7E7371">
              <w:rPr>
                <w:rFonts w:ascii="Arial" w:hAnsi="Arial" w:cs="Arial"/>
                <w:sz w:val="21"/>
                <w:szCs w:val="21"/>
                <w:lang w:val="es-ES"/>
              </w:rPr>
              <w:t>Ana Milena Vallejo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Comisión</w:t>
            </w:r>
            <w:r w:rsidRPr="007E737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empalme</w:t>
            </w:r>
          </w:p>
        </w:tc>
        <w:tc>
          <w:tcPr>
            <w:tcW w:w="773" w:type="pct"/>
          </w:tcPr>
          <w:p w:rsidR="00B36059" w:rsidRDefault="00B36059" w:rsidP="00C3299C">
            <w:pPr>
              <w:jc w:val="center"/>
            </w:pPr>
            <w:r w:rsidRPr="00F45A65">
              <w:rPr>
                <w:rFonts w:ascii="Arial" w:hAnsi="Arial" w:cs="Arial"/>
                <w:sz w:val="21"/>
                <w:szCs w:val="21"/>
                <w:lang w:val="es-E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C3299C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tr w:rsidR="00B36059" w:rsidRPr="009C1F88" w:rsidTr="00B36059">
        <w:trPr>
          <w:trHeight w:val="261"/>
          <w:jc w:val="center"/>
        </w:trPr>
        <w:tc>
          <w:tcPr>
            <w:tcW w:w="1293" w:type="pct"/>
            <w:shd w:val="clear" w:color="auto" w:fill="auto"/>
            <w:vAlign w:val="center"/>
          </w:tcPr>
          <w:p w:rsidR="00B36059" w:rsidRPr="009C1F88" w:rsidRDefault="00B36059" w:rsidP="00F52BD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Mauricio Gómez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B36059" w:rsidRPr="009C1F88" w:rsidRDefault="00B36059" w:rsidP="00B36059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Comisión</w:t>
            </w:r>
            <w:r w:rsidRPr="007E737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empalme</w:t>
            </w:r>
          </w:p>
        </w:tc>
        <w:tc>
          <w:tcPr>
            <w:tcW w:w="773" w:type="pct"/>
          </w:tcPr>
          <w:p w:rsidR="00B36059" w:rsidRDefault="00B36059" w:rsidP="00B36059">
            <w:pPr>
              <w:jc w:val="center"/>
            </w:pPr>
            <w:r w:rsidRPr="00F45A65">
              <w:rPr>
                <w:rFonts w:ascii="Arial" w:hAnsi="Arial" w:cs="Arial"/>
                <w:sz w:val="21"/>
                <w:szCs w:val="21"/>
                <w:lang w:val="es-ES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B36059" w:rsidRDefault="00B36059" w:rsidP="00B36059">
            <w:pPr>
              <w:jc w:val="center"/>
            </w:pPr>
            <w:r w:rsidRPr="00D57820">
              <w:rPr>
                <w:rFonts w:ascii="Arial" w:hAnsi="Arial" w:cs="Arial"/>
                <w:sz w:val="21"/>
                <w:szCs w:val="21"/>
                <w:lang w:val="es-ES"/>
              </w:rPr>
              <w:t>Si</w:t>
            </w:r>
          </w:p>
        </w:tc>
      </w:tr>
      <w:bookmarkEnd w:id="0"/>
    </w:tbl>
    <w:p w:rsidR="00B36059" w:rsidRDefault="00B36059" w:rsidP="00B36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6059" w:rsidRPr="009C1F88" w:rsidTr="00B36059">
        <w:trPr>
          <w:trHeight w:val="370"/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B36059" w:rsidRPr="00B36059" w:rsidRDefault="00B36059" w:rsidP="00B3605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000000"/>
                <w:spacing w:val="-4"/>
                <w:sz w:val="21"/>
                <w:szCs w:val="21"/>
                <w:lang w:val="es-CO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1"/>
                <w:szCs w:val="21"/>
                <w:lang w:val="es-CO"/>
              </w:rPr>
              <w:t>DESARROLLO RELATORÍA</w:t>
            </w:r>
          </w:p>
        </w:tc>
      </w:tr>
      <w:tr w:rsidR="00B36059" w:rsidRPr="009C1F88" w:rsidTr="00B36059">
        <w:trPr>
          <w:trHeight w:val="3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36059" w:rsidRPr="00B36059" w:rsidRDefault="00B36059" w:rsidP="00B3605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36059" w:rsidRPr="00B36059" w:rsidRDefault="00B36059" w:rsidP="00B360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6059">
              <w:rPr>
                <w:rFonts w:ascii="Arial" w:hAnsi="Arial" w:cs="Arial"/>
                <w:b/>
                <w:sz w:val="21"/>
                <w:szCs w:val="21"/>
                <w:lang w:val="es-ES"/>
              </w:rPr>
              <w:t>Presentación de los directivos, asesores y personal del IDPC y asistentes de la comisión de empalme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Se realiza presentación de los directivos y personal del IDPC, así como de los asistentes por parte de la comisión de empalme designados por la Alcaldesa electa Claudia López.</w:t>
            </w:r>
          </w:p>
        </w:tc>
      </w:tr>
      <w:tr w:rsidR="00B36059" w:rsidRPr="009C1F88" w:rsidTr="00B36059">
        <w:trPr>
          <w:trHeight w:val="3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36059" w:rsidRDefault="00B36059" w:rsidP="00B360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6059">
              <w:rPr>
                <w:rFonts w:ascii="Arial" w:hAnsi="Arial" w:cs="Arial"/>
                <w:b/>
                <w:sz w:val="21"/>
                <w:szCs w:val="21"/>
                <w:lang w:val="es-ES"/>
              </w:rPr>
              <w:t>Presentación de los resultados del Instituto entre el 2016 y el 2019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La reunión inicia con las palabras de Catalina Valencia, Líder de la Comisión de Empalme del Sector Cultura, Recreación y Deporte, indicando que la administración entrante busca conocer lo realizado por el Instituto con el fin de seguir construyendo sobre lo que ha construido la Entidad.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El Director del Instituto informa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el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lcance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adelantado por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la Entidad a partir de la transformación de la Corporación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a Candelaria,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que a partir del </w:t>
            </w:r>
            <w:r w:rsidRPr="00695DA7">
              <w:rPr>
                <w:rFonts w:ascii="Arial" w:hAnsi="Arial" w:cs="Arial"/>
                <w:sz w:val="21"/>
                <w:szCs w:val="21"/>
                <w:lang w:val="es-ES"/>
              </w:rPr>
              <w:t>2007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abarca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toda la ciudad.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Parte de la gestión realizada fue entender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los diferentes patrimonios que tiene Bogotá reflejado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una mayor participación en la 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genda pública a partir de la asignación presupuestal.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La misión del IDPC está orientada a la preservación y sostenibilidad del todos l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os patrimonios de los bogotanos, para lo cual se indica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la relación de los patrimonios (material, inmaterial y natural) en el territorio.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Seguidamente,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 describen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 accio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ar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del IDPC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enmarcado en sus proyecto de inversión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: Gestión del Territorio (Proyecto 1112); Intervención del Patrimonio (Proyecto 1114); Divulgación del Patrimonio (Proyecto 1107); Formación en patrimonio (Proyecto 1024), y Fortalecimiento Institucional (Proyecto 1110)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Como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puntos a subrayar, se informa sobre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la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actualización de la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estructura de la Entidad (planta de personal),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el fortalecimiento del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Consejo Distrital de Patrimonio Cultural, así como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la estrategia de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recuperación del patrimonio cultural con la conformación de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equipos de intervención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física del patrimonio (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brigadas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Se informa la participación del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IDPC en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el Plan Distrital de Desarrollo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PDD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“Bogotá Mejor Todos”: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n el Pilar 1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“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Igualdad de calidad de vida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el proyecto de inversión 1024, Pilar 2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“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Democracia urbana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los proyectos 1112 y 1114, el Pilar 3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“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Construcción de comunidad y cultura ciudadana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 el proy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ecto de inversión 1107 y en el Eje T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ransversal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“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Gobierno legítimo, fortalecimiento local y eficiencia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 el proyecto 1110.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En cuanto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las metas producto del PDD, el IDPC contribuye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con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9 metas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 las cuales registran un avance acumulado del cuatrienio con corte a septiembre de 2019, así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: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Meta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“</w:t>
            </w:r>
            <w:r w:rsidRPr="00286319">
              <w:rPr>
                <w:rFonts w:ascii="Arial" w:hAnsi="Arial" w:cs="Arial"/>
                <w:sz w:val="21"/>
                <w:szCs w:val="21"/>
                <w:lang w:val="es-ES"/>
              </w:rPr>
              <w:t>Formular el Plan Especial de Manejo y Protección del Centro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con un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>99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,00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>%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(Proyecto 1112)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0B6543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Meta “</w:t>
            </w:r>
            <w:r w:rsidRPr="00363D76">
              <w:rPr>
                <w:rFonts w:ascii="Arial" w:hAnsi="Arial" w:cs="Arial"/>
                <w:sz w:val="21"/>
                <w:szCs w:val="21"/>
                <w:lang w:val="es-ES"/>
              </w:rPr>
              <w:t>1.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400 </w:t>
            </w:r>
            <w:r w:rsidRPr="00363D76">
              <w:rPr>
                <w:rFonts w:ascii="Arial" w:hAnsi="Arial" w:cs="Arial"/>
                <w:sz w:val="21"/>
                <w:szCs w:val="21"/>
                <w:lang w:val="es-ES"/>
              </w:rPr>
              <w:t>Bienes de Interés Cultural (BIC) intervenidos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” con un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>96.79%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(Proyecto 1114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286319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Meta “</w:t>
            </w:r>
            <w:r w:rsidRPr="00286319">
              <w:rPr>
                <w:rFonts w:ascii="Arial" w:hAnsi="Arial" w:cs="Arial"/>
                <w:sz w:val="21"/>
                <w:szCs w:val="21"/>
                <w:lang w:val="es-ES"/>
              </w:rPr>
              <w:t>Alcanzar 1.700.000 asistencias al Museo de Bogotá, a recorridos y rutas patrimoniales y a otras prácticas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286319">
              <w:rPr>
                <w:rFonts w:ascii="Arial" w:hAnsi="Arial" w:cs="Arial"/>
                <w:sz w:val="21"/>
                <w:szCs w:val="21"/>
                <w:lang w:val="es-ES"/>
              </w:rPr>
              <w:t xml:space="preserve">patrimoniales” con un avance del </w:t>
            </w:r>
            <w:r w:rsidRPr="0028631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92.98% </w:t>
            </w:r>
            <w:r w:rsidRPr="00286319">
              <w:rPr>
                <w:rFonts w:ascii="Arial" w:hAnsi="Arial" w:cs="Arial"/>
                <w:sz w:val="21"/>
                <w:szCs w:val="21"/>
                <w:lang w:val="es-ES"/>
              </w:rPr>
              <w:t>(Proyecto 1107).</w:t>
            </w:r>
          </w:p>
          <w:p w:rsidR="00B36059" w:rsidRPr="00251D3D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Meta “Atender a 7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600 niños/as y adolescentes </w:t>
            </w:r>
            <w:r w:rsidRPr="00251D3D">
              <w:rPr>
                <w:rFonts w:ascii="Arial" w:hAnsi="Arial" w:cs="Arial"/>
                <w:sz w:val="21"/>
                <w:szCs w:val="21"/>
                <w:lang w:val="es-ES"/>
              </w:rPr>
              <w:t>en el marco del programa Jornada Única y</w:t>
            </w:r>
          </w:p>
          <w:p w:rsidR="00B36059" w:rsidRPr="000B6543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51D3D">
              <w:rPr>
                <w:rFonts w:ascii="Arial" w:hAnsi="Arial" w:cs="Arial"/>
                <w:sz w:val="21"/>
                <w:szCs w:val="21"/>
                <w:lang w:val="es-ES"/>
              </w:rPr>
              <w:t>Tiempo Escolar durante el cuatr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i</w:t>
            </w:r>
            <w:r w:rsidRPr="00251D3D">
              <w:rPr>
                <w:rFonts w:ascii="Arial" w:hAnsi="Arial" w:cs="Arial"/>
                <w:sz w:val="21"/>
                <w:szCs w:val="21"/>
                <w:lang w:val="es-ES"/>
              </w:rPr>
              <w:t>enio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” con una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92,67% 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(Proyecto 1024).</w:t>
            </w:r>
          </w:p>
          <w:p w:rsidR="00B36059" w:rsidRPr="000B6543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Meta “Atender a 41 </w:t>
            </w:r>
            <w:r w:rsidRPr="00251D3D">
              <w:rPr>
                <w:rFonts w:ascii="Arial" w:hAnsi="Arial" w:cs="Arial"/>
                <w:sz w:val="21"/>
                <w:szCs w:val="21"/>
                <w:lang w:val="es-ES"/>
              </w:rPr>
              <w:t>formadores en las áreas de patrimonio, artes, recreación y deporte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 xml:space="preserve">” con una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75,61% </w:t>
            </w:r>
            <w:r w:rsidRPr="000B6543">
              <w:rPr>
                <w:rFonts w:ascii="Arial" w:hAnsi="Arial" w:cs="Arial"/>
                <w:sz w:val="21"/>
                <w:szCs w:val="21"/>
                <w:lang w:val="es-ES"/>
              </w:rPr>
              <w:t>(Proyecto 1024).</w:t>
            </w:r>
          </w:p>
          <w:p w:rsidR="00B36059" w:rsidRPr="00B97149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M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eta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“Realizar 4 </w:t>
            </w:r>
            <w:r w:rsidRPr="001D28A4">
              <w:rPr>
                <w:rFonts w:ascii="Arial" w:hAnsi="Arial" w:cs="Arial"/>
                <w:sz w:val="21"/>
                <w:szCs w:val="21"/>
                <w:lang w:val="es-ES"/>
              </w:rPr>
              <w:t>procesos de investigación, sistematización y memoria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una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>75%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(Proyecto 1024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Meta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“</w:t>
            </w:r>
            <w:r w:rsidRPr="00A3121A">
              <w:rPr>
                <w:rFonts w:ascii="Arial" w:hAnsi="Arial" w:cs="Arial"/>
                <w:sz w:val="21"/>
                <w:szCs w:val="21"/>
                <w:lang w:val="es-ES"/>
              </w:rPr>
              <w:t xml:space="preserve">Aumentar 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148</w:t>
            </w:r>
            <w:r w:rsidRPr="00A3121A">
              <w:rPr>
                <w:rFonts w:ascii="Arial" w:hAnsi="Arial" w:cs="Arial"/>
                <w:sz w:val="21"/>
                <w:szCs w:val="21"/>
                <w:lang w:val="es-ES"/>
              </w:rPr>
              <w:t xml:space="preserve"> el número de estímulos entregados a agentes del sector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un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>100%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(Proyecto 1107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Meta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“</w:t>
            </w:r>
            <w:r w:rsidRPr="00A3121A">
              <w:rPr>
                <w:rFonts w:ascii="Arial" w:hAnsi="Arial" w:cs="Arial"/>
                <w:sz w:val="21"/>
                <w:szCs w:val="21"/>
                <w:lang w:val="es-ES"/>
              </w:rPr>
              <w:t xml:space="preserve">Aumentar 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8 </w:t>
            </w:r>
            <w:r w:rsidRPr="00A3121A">
              <w:rPr>
                <w:rFonts w:ascii="Arial" w:hAnsi="Arial" w:cs="Arial"/>
                <w:sz w:val="21"/>
                <w:szCs w:val="21"/>
                <w:lang w:val="es-ES"/>
              </w:rPr>
              <w:t>los proyectos de organizaciones culturales, recreativas y deportivas apoyados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un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>100%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(Proyecto 1107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B3605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Meta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“</w:t>
            </w:r>
            <w:r w:rsidRPr="00286319">
              <w:rPr>
                <w:rFonts w:ascii="Arial" w:hAnsi="Arial" w:cs="Arial"/>
                <w:sz w:val="21"/>
                <w:szCs w:val="21"/>
                <w:lang w:val="es-ES"/>
              </w:rPr>
              <w:t>Incrementar a un 90% la sostenibilidad del SIG en el Gobierno Distrital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un avance del </w:t>
            </w:r>
            <w:r w:rsidRPr="000B6543">
              <w:rPr>
                <w:rFonts w:ascii="Arial" w:hAnsi="Arial" w:cs="Arial"/>
                <w:b/>
                <w:sz w:val="21"/>
                <w:szCs w:val="21"/>
                <w:lang w:val="es-ES"/>
              </w:rPr>
              <w:t>100%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(Proyecto 1110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El Director General registra que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recibió la Entidad con un p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resupuesto de inversión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de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$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18.000 millones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(2016)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y para el 2019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la Entidad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cuenta con un p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resu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ues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to de más de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$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36.000 millones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de pesos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A continuación, se indican los principales resultados obtenidos en cada uno de los proyectos de inversión:</w:t>
            </w:r>
          </w:p>
          <w:p w:rsidR="00B36059" w:rsidRPr="00B97149" w:rsidRDefault="00B36059" w:rsidP="00C3299C">
            <w:pPr>
              <w:jc w:val="right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A67FFE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PROYECTO DE INVERSIÓ</w:t>
            </w:r>
            <w:r w:rsidR="00B36059" w:rsidRPr="006F5557">
              <w:rPr>
                <w:rFonts w:ascii="Arial" w:hAnsi="Arial" w:cs="Arial"/>
                <w:b/>
                <w:sz w:val="21"/>
                <w:szCs w:val="21"/>
                <w:lang w:val="es-ES"/>
              </w:rPr>
              <w:t>N 1112 – Instr</w:t>
            </w:r>
            <w:r w:rsidR="00B36059">
              <w:rPr>
                <w:rFonts w:ascii="Arial" w:hAnsi="Arial" w:cs="Arial"/>
                <w:b/>
                <w:sz w:val="21"/>
                <w:szCs w:val="21"/>
                <w:lang w:val="es-ES"/>
              </w:rPr>
              <w:t>umentos de planeación y gestión</w:t>
            </w:r>
            <w:r w:rsidR="00B36059" w:rsidRPr="006F5557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para la preservación </w:t>
            </w:r>
            <w:r w:rsidR="00B3605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y sostenibilidad </w:t>
            </w:r>
            <w:r w:rsidR="00B36059" w:rsidRPr="006F5557">
              <w:rPr>
                <w:rFonts w:ascii="Arial" w:hAnsi="Arial" w:cs="Arial"/>
                <w:b/>
                <w:sz w:val="21"/>
                <w:szCs w:val="21"/>
                <w:lang w:val="es-ES"/>
              </w:rPr>
              <w:t>del patrimonio</w:t>
            </w:r>
            <w:r w:rsidR="00B3605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cultural</w:t>
            </w:r>
            <w:r w:rsidR="00B36059"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6F5557">
              <w:rPr>
                <w:rFonts w:ascii="Arial" w:hAnsi="Arial" w:cs="Arial"/>
                <w:b/>
                <w:sz w:val="21"/>
                <w:szCs w:val="21"/>
                <w:lang w:val="es-ES"/>
              </w:rPr>
              <w:t>Plan Especial de Manejo y Protección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, PEMP</w:t>
            </w:r>
            <w:r w:rsidRPr="006F5557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del Centro Histórico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 Bogotá</w:t>
            </w:r>
            <w:r w:rsidRPr="006F5557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B36059" w:rsidRPr="006F5557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P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lan fue formulado a partir de los diferentes insumos elaborados en anteriores periodos como el Plan Reencuéntrate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 el Plan Zonal del Centro y el Plan de Revitalización del Centro Tradicional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PRCT.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En la gestión adelantada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 establecieron las áreas de influencia y afectación incluyendo zonas reconocidas como la ciudad histórica en 1932 (Colección del Museo de Bogotá)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que incluye las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localidad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de 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Candelaria, Santa Fe y Los Mártires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. Este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P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lan ya fue presentado al Ministerio de Cultura en diciembre de 2018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en abril de 2019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fue presentado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al Consejo Nacional de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Patrimonio Cultural, instancia que otorgó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concepto favorable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en la misma fecha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Para la formulación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se tomaron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como referente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s los centros históricos de ciudades latinoame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rica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nas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como Ciudad de México (México), Quito (Ecuador), La Habana (Cuba)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Lima (Perú).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El PEMP como instrumento de gestión ha contado con más de 5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5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encuentros y experiencias de validación y diálogo, 2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.85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0 participantes, 40.000 interacciones, 500 propuestas ciudadanas sistematizadas con 65% de las propuestas fueron incluidas en la formulación y 28%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las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propuestas potenciales a ser incorporadas. Estas dinámicas siguen permanentes en el espacio abierto por el IDPC.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Uno de los c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riterio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utilizados en la formulación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d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el PEMP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se hace sobre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lo que tiene valor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desde las personas en un proceso de co-gestión y corresponsabilidad.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Paso seguido, se explica la estructura de formulación del PEMP partiendo de la Propuesta Urbana General que incluye el sistema de gestión (ente gestor), las Intervenciones Integrales (8); Unidades de Paisaje (14) entre Estructurantes, de Articulación, Barrial y de Borde; Proyectos (7) Estructurantes y Detonantes; todos estos articulados entre sí.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 todo esto, se busca preservar la permanencia de los residentes y atraer a otros con el desarrollo de los proyectos.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Los </w:t>
            </w:r>
            <w:r w:rsidRPr="0003727D">
              <w:rPr>
                <w:rFonts w:ascii="Arial" w:hAnsi="Arial" w:cs="Arial"/>
                <w:sz w:val="21"/>
                <w:szCs w:val="21"/>
                <w:lang w:val="es-ES"/>
              </w:rPr>
              <w:t>programas, acciones, proyectos detonantes y estructurantes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03727D">
              <w:rPr>
                <w:rFonts w:ascii="Arial" w:hAnsi="Arial" w:cs="Arial"/>
                <w:sz w:val="21"/>
                <w:szCs w:val="21"/>
                <w:lang w:val="es-ES"/>
              </w:rPr>
              <w:t>tienen un valor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03727D">
              <w:rPr>
                <w:rFonts w:ascii="Arial" w:hAnsi="Arial" w:cs="Arial"/>
                <w:sz w:val="21"/>
                <w:szCs w:val="21"/>
                <w:lang w:val="es-ES"/>
              </w:rPr>
              <w:t>estimado de $3.86 billones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de pesos para un horizonte de 20 años</w:t>
            </w:r>
            <w:r w:rsidRPr="0003727D">
              <w:rPr>
                <w:rFonts w:ascii="Arial" w:hAnsi="Arial" w:cs="Arial"/>
                <w:sz w:val="21"/>
                <w:szCs w:val="21"/>
                <w:lang w:val="es-ES"/>
              </w:rPr>
              <w:t>, de los cuales $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1 billón aproximadamente</w:t>
            </w:r>
            <w:r w:rsidRPr="0003727D">
              <w:rPr>
                <w:rFonts w:ascii="Arial" w:hAnsi="Arial" w:cs="Arial"/>
                <w:sz w:val="21"/>
                <w:szCs w:val="21"/>
                <w:lang w:val="es-ES"/>
              </w:rPr>
              <w:t xml:space="preserve"> corresponden a la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03727D">
              <w:rPr>
                <w:rFonts w:ascii="Arial" w:hAnsi="Arial" w:cs="Arial"/>
                <w:sz w:val="21"/>
                <w:szCs w:val="21"/>
                <w:lang w:val="es-ES"/>
              </w:rPr>
              <w:t>inversión pública y privada en curso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En el proceso de formulación de este Plan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 llevó a cabo el inventario y valoración de los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Bienes de Interés Cultural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BIC, elaboración de fichas de valora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ción y norma de espacio público.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lastRenderedPageBreak/>
              <w:t>En el 2019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 ajusta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el Plan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según recomendaciones del Ministerio de Cultura, se avanza en el componente normativo del PEMP con la elaboración de 150 fichas de apoyo, 8 planos normativos y cuadros normativos.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Como tema prioritario se debe realizar el saneamiento del espacio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público con el DADEP, así como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trabajar en la creación de la autoridad q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ue realice la gerencia el PEMP.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D502B4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D502B4">
              <w:rPr>
                <w:rFonts w:ascii="Arial" w:hAnsi="Arial" w:cs="Arial"/>
                <w:b/>
                <w:sz w:val="21"/>
                <w:szCs w:val="21"/>
                <w:lang w:val="es-ES"/>
              </w:rPr>
              <w:t>Planes y Proyectos Urbanos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Sector de Interés Cultural </w:t>
            </w:r>
            <w:r w:rsidRPr="00F9034F">
              <w:rPr>
                <w:rFonts w:ascii="Arial" w:hAnsi="Arial" w:cs="Arial"/>
                <w:b/>
                <w:sz w:val="21"/>
                <w:szCs w:val="21"/>
                <w:lang w:val="es-ES"/>
              </w:rPr>
              <w:t>SIC Teusaquillo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 inició en el inventario de BIC (1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750). Se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requiere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continuar con este trabajo, con lo cual se tendría el 50% de avance sobre el un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iverso de los BIC del Di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strito Capital.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C96237">
              <w:rPr>
                <w:rFonts w:ascii="Arial" w:hAnsi="Arial" w:cs="Arial"/>
                <w:b/>
                <w:sz w:val="21"/>
                <w:szCs w:val="21"/>
                <w:lang w:val="es-ES"/>
              </w:rPr>
              <w:t>Columbarios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 Se elaboró propuesta para la intervención de los columbarios.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C96237">
              <w:rPr>
                <w:rFonts w:ascii="Arial" w:hAnsi="Arial" w:cs="Arial"/>
                <w:b/>
                <w:sz w:val="21"/>
                <w:szCs w:val="21"/>
                <w:lang w:val="es-ES"/>
              </w:rPr>
              <w:t>Nodo Concordia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. Proyecto urbano trabajado </w:t>
            </w:r>
            <w:r w:rsidRPr="00897848">
              <w:rPr>
                <w:rFonts w:ascii="Arial" w:hAnsi="Arial" w:cs="Arial"/>
                <w:sz w:val="21"/>
                <w:szCs w:val="21"/>
                <w:lang w:val="es-ES"/>
              </w:rPr>
              <w:t>en articulación con el PEMP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, donde se trabaja </w:t>
            </w:r>
            <w:r w:rsidRPr="00897848">
              <w:rPr>
                <w:rFonts w:ascii="Arial" w:hAnsi="Arial" w:cs="Arial"/>
                <w:sz w:val="21"/>
                <w:szCs w:val="21"/>
                <w:lang w:val="es-ES"/>
              </w:rPr>
              <w:t>la propuesta urbana des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de los diferentes componentes y</w:t>
            </w:r>
            <w:r w:rsidRPr="00897848">
              <w:rPr>
                <w:rFonts w:ascii="Arial" w:hAnsi="Arial" w:cs="Arial"/>
                <w:sz w:val="21"/>
                <w:szCs w:val="21"/>
                <w:lang w:val="es-ES"/>
              </w:rPr>
              <w:t xml:space="preserve"> la definición de intervenciones integrales.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C24BC">
              <w:rPr>
                <w:rFonts w:ascii="Arial" w:hAnsi="Arial" w:cs="Arial"/>
                <w:b/>
                <w:sz w:val="21"/>
                <w:szCs w:val="21"/>
                <w:lang w:val="es-ES"/>
              </w:rPr>
              <w:t>PEMP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del</w:t>
            </w:r>
            <w:r w:rsidRPr="002C24BC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Parque Nacional Olaya Herrera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 IDRD y el IDPC suscribieron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 C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onvenio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M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arco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con el cual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se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formalizó el convenio derivado 3193 de 2019, con recursos del IDRD que ejecuta el IDPC,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para la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realización de la primera fase de análisis y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diagnóstico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como insumo para la formulación del PEMP del Parque Nacional.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1625F0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625F0">
              <w:rPr>
                <w:rFonts w:ascii="Arial" w:hAnsi="Arial" w:cs="Arial"/>
                <w:b/>
                <w:sz w:val="21"/>
                <w:szCs w:val="21"/>
                <w:lang w:val="es-ES"/>
              </w:rPr>
              <w:t>Instrumentos financieros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Instrumento 1.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Adopta un Monumento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 a través del cual un tercero, sin compensación, desarrolle actividades de cuidado, mantenimiento o recuperación de monumentos (terminado).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Instrumento 2. </w:t>
            </w:r>
            <w:r w:rsidRPr="007331F2">
              <w:rPr>
                <w:rFonts w:ascii="Arial" w:hAnsi="Arial" w:cs="Arial"/>
                <w:sz w:val="21"/>
                <w:szCs w:val="21"/>
                <w:lang w:val="es-ES"/>
              </w:rPr>
              <w:t>Aprovechamiento económico de espacios públicos relacionados con Bienes Muebles Patrimoniales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(terminado).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7331F2">
              <w:rPr>
                <w:rFonts w:ascii="Arial" w:hAnsi="Arial" w:cs="Arial"/>
                <w:sz w:val="21"/>
                <w:szCs w:val="21"/>
                <w:lang w:val="es-ES"/>
              </w:rPr>
              <w:t>Instrumento 3. Aprovechamiento Económico en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Bienes Fiscales (en ejecución).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Como un punto importante se requiere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asegurar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que la Secretaría Distrital de Hacienda clasifique estos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recursos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como de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destinación específica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821C7A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PROYECTO DE INVERSIÓ</w:t>
            </w:r>
            <w:r w:rsidRPr="006F5557">
              <w:rPr>
                <w:rFonts w:ascii="Arial" w:hAnsi="Arial" w:cs="Arial"/>
                <w:b/>
                <w:sz w:val="21"/>
                <w:szCs w:val="21"/>
                <w:lang w:val="es-ES"/>
              </w:rPr>
              <w:t>N</w:t>
            </w:r>
            <w:r w:rsidRPr="00821C7A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1114 – </w:t>
            </w:r>
            <w:r w:rsidRPr="00D05A79">
              <w:rPr>
                <w:rFonts w:ascii="Arial" w:hAnsi="Arial" w:cs="Arial"/>
                <w:b/>
                <w:sz w:val="21"/>
                <w:szCs w:val="21"/>
                <w:lang w:val="es-ES"/>
              </w:rPr>
              <w:t>Intervención y conservación de los bienes muebles e inmuebles en sectores de interés cultural del Distrito Capital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821C7A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821C7A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Plaza de Toros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L</w:t>
            </w:r>
            <w:r w:rsidRPr="00821C7A">
              <w:rPr>
                <w:rFonts w:ascii="Arial" w:hAnsi="Arial" w:cs="Arial"/>
                <w:b/>
                <w:sz w:val="21"/>
                <w:szCs w:val="21"/>
                <w:lang w:val="es-ES"/>
              </w:rPr>
              <w:t>a Santamaría.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En el 2016,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 recibió la obra del reforzamiento estructural de la Plaza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Toros La Santamaría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que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 por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orden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la </w:t>
            </w:r>
            <w:r w:rsidRPr="00D05A79">
              <w:rPr>
                <w:rFonts w:ascii="Arial" w:hAnsi="Arial" w:cs="Arial"/>
                <w:sz w:val="21"/>
                <w:szCs w:val="21"/>
                <w:lang w:val="es-ES"/>
              </w:rPr>
              <w:t>Corte Constitucional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obliga a su restitución; en tal sentido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se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entregó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en enero de 2017 para su uso. Tuvo una inversión de más de 8.871 millones ($2.621 millones invertidos en 2016).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Como punto importante,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informa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que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es trascendental que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el IDRD invierta en este escenario con el fin de garantizar su restauración integral.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Actualmente,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 está adelantando un convenio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marco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el IDRD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que garantice la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intervención de la fachada.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lastRenderedPageBreak/>
              <w:t xml:space="preserve">Frente al informado que el proyecto integral de restauración de la Plaza tiene una costo estimado de $38.000 millones de pesos, la comisión de empalme pregunta si estos recursos están orientados al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reforzamiento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estructural,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 lo que se le indica que el valor mencionado corresponde al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costo de la intervención integral del inmueble y del espacio público,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acuerdo con los estudios y diseños realizados por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la consultoría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(2013-2015)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9276D3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9276D3">
              <w:rPr>
                <w:rFonts w:ascii="Arial" w:hAnsi="Arial" w:cs="Arial"/>
                <w:b/>
                <w:sz w:val="21"/>
                <w:szCs w:val="21"/>
                <w:lang w:val="es-ES"/>
              </w:rPr>
              <w:t>Plaza de Mercado la Concordia y Galería de Arte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Santa Fe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Este proyecto consta de tres fases. La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primera fase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fue contratada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en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la anterior administración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iniciando su ejecución en marzo de 2016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En el 2017 fue contratada la segunda fase, donde 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a Galería de Arte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Santa Fe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fue entregada en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 2019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Actualmente, se encuentra en ejecución la fase 3 y su entrega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se tiene programada para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diciembre de 2019. En este proyecto se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ha recuperado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el espacio público entre la plaza y el colegio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, así mismo se encuentra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articulado con el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proyecto urbano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Nodo Concordia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D6777C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Basílica del Voto Nacional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Este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Proyecto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se encuentra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ubicado en el sector del Bronx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 se fundamente en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los estudios y diseños elaborados en la anterior administración (2013-2015). Se menciona que sobre este se encuentra una acción popular que obliga a la 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dministración a su recuperación. E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sta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Basílica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es uno de los símbolos de la paz en Colombia, además que es un museo por dentro por la inmensa cantidad de b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ienes muebles que la conforman. En este sector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también se recuperó el monumento “Obelisco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a Los Mártires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”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 las intervenciones allí adelantadas hacen parte de las acciones de la Administración para recuperar este sector.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proyecto tiene tres fases. La primera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comprendió la restauración de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la fachada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contrafachada</w:t>
            </w:r>
            <w:proofErr w:type="spellEnd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, coro y </w:t>
            </w:r>
            <w:proofErr w:type="spellStart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sotocoro</w:t>
            </w:r>
            <w:proofErr w:type="spellEnd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(2016-2017); la segunda para la cúpula, transepto y presbiterio (2018-2020)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, que actualmente se encuentra en ejecución; y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la tercera fase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está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orientada a la consolidación estructural de las naves central laterales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y su ejecución está programada para la vigencia 2020.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La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inversión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realizada ascienda a más de $17.000 millones de pesos;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La fase 1 con una inversión de $6.000 y la fase 2 con una inversión de 11.000 millones.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513EBE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513EBE">
              <w:rPr>
                <w:rFonts w:ascii="Arial" w:hAnsi="Arial" w:cs="Arial"/>
                <w:b/>
                <w:sz w:val="21"/>
                <w:szCs w:val="21"/>
                <w:lang w:val="es-ES"/>
              </w:rPr>
              <w:t>Palacio Municipal y Edificio Liévano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Se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realizó la restauración integral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de la fachada sur y del palacio municipal. Para esto, se tuvieron en cuenta estudios patológicos.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A05137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05137">
              <w:rPr>
                <w:rFonts w:ascii="Arial" w:hAnsi="Arial" w:cs="Arial"/>
                <w:b/>
                <w:sz w:val="21"/>
                <w:szCs w:val="21"/>
                <w:lang w:val="es-ES"/>
              </w:rPr>
              <w:t>Proyecto Plaza de Bolívar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Proyecto de iluminación integral con el fin de potencializar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la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plaza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como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referente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s-ES"/>
              </w:rPr>
              <w:t>histórico y turístico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, a través de la activación de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la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Galería comercial, pacificación de la Cra 8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mirador</w:t>
            </w:r>
            <w:proofErr w:type="gramEnd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torre norte de la Catedral.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Actualmente, se han invertido $900 millones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de pesos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por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parte d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el Grupo de Energía para la elaboración de los estudios y diseños. El tema de iluminación es complejo requiere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un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esfuerzo desde el nivel distrital y nacional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para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realizar acciones conjuntas para el desarrollo de proyectos estratégicos que permitan iluminar espacios públicos en ámbitos patrimoniales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 que requiere además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contar con el concepto del Ministerio de Minas y Energía. 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A05137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05137">
              <w:rPr>
                <w:rFonts w:ascii="Arial" w:hAnsi="Arial" w:cs="Arial"/>
                <w:b/>
                <w:sz w:val="21"/>
                <w:szCs w:val="21"/>
                <w:lang w:val="es-ES"/>
              </w:rPr>
              <w:t>Plazoleta del Chorro</w:t>
            </w:r>
            <w:r w:rsidR="00A67FF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</w:t>
            </w:r>
            <w:r w:rsidRPr="00A05137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Quevedo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Proyecto contratado en la anterior administración en convenio con el Instituto Distrital de Turismo, que se inició, ejecutó y entregó en esta administración. Tuvo una inversión de $618 millones de pesos asignados en la vigencia 2014.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05137">
              <w:rPr>
                <w:rFonts w:ascii="Arial" w:hAnsi="Arial" w:cs="Arial"/>
                <w:b/>
                <w:sz w:val="21"/>
                <w:szCs w:val="21"/>
                <w:lang w:val="es-ES"/>
              </w:rPr>
              <w:t>Concejo de Bogotá</w:t>
            </w:r>
          </w:p>
          <w:p w:rsidR="00B36059" w:rsidRPr="00A05137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Con una inversión de $624 millones, el IDPC continuó con las acciones de restauración de este inmueble.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A05137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05137">
              <w:rPr>
                <w:rFonts w:ascii="Arial" w:hAnsi="Arial" w:cs="Arial"/>
                <w:b/>
                <w:sz w:val="21"/>
                <w:szCs w:val="21"/>
                <w:lang w:val="es-ES"/>
              </w:rPr>
              <w:t>Restauración de la Casa Genoveva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y </w:t>
            </w:r>
            <w:r w:rsidRPr="00A05137">
              <w:rPr>
                <w:rFonts w:ascii="Arial" w:hAnsi="Arial" w:cs="Arial"/>
                <w:b/>
                <w:sz w:val="21"/>
                <w:szCs w:val="21"/>
                <w:lang w:val="es-ES"/>
              </w:rPr>
              <w:t>Casa Tito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En la presente administración se restauró La Casa Genoveva (como sede principal del IDPC), con una inversión de $3.560 millones.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La Casa Tito cuenta con una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inversión de 3.274 millones a través de tres fases. La fase tres se ad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judicará en diciembre de 2019. 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36059" w:rsidRPr="00CF17D3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CF17D3">
              <w:rPr>
                <w:rFonts w:ascii="Arial" w:hAnsi="Arial" w:cs="Arial"/>
                <w:b/>
                <w:sz w:val="21"/>
                <w:szCs w:val="21"/>
                <w:lang w:val="es-ES"/>
              </w:rPr>
              <w:t>Programa El Patrimonio se Luce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579 fachadas enlucidas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entre el 2016 y el 2019,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977 fachadas enlucidas por intervención directa como la fachada de la Iglesia de Egipto, 602 fachadas a través de jornadas de enlucimiento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que contaron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 la par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ticipación de 7.500 voluntarios. Estos enlucimientos se realizan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 la autorización de propietarios en un proceso de corresponsabilidad. La inversión de este programa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asciende 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$4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350 millones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de pesos, en el cuatrienio.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Para el enlucimiento se identifica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previamente los colores de las fachadas a partir de calas estratigráficas.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Adicionalmente, e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l IDPC ha gestionado en la Mesa Centro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Arte Urbano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acciones de enlucimiento y de arte urbano en espacios adecuados para esto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 dando como resultado que 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os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artistas urbanos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 conviertan en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aliados que contribuyen en las acciones de enlucimiento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 de apropiación del patrimonio cultural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Por otro lado, se resaltan las labores de asesoría que el Instituto ha brindado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a la ciudadanía y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organizaciones para la cor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recta intervención de fachadas.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8B4FFB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8B4FFB">
              <w:rPr>
                <w:rFonts w:ascii="Arial" w:hAnsi="Arial" w:cs="Arial"/>
                <w:b/>
                <w:sz w:val="21"/>
                <w:szCs w:val="21"/>
                <w:lang w:val="es-ES"/>
              </w:rPr>
              <w:t>Intervención de monumentos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en espacio público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695DA7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La administración, mantenimiento e intervención de monumentos se encontraban 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cargo del IDU hasta el 2011.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 finales del 2015 el Concejo de Bogotá creó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el programa Adopta un Monumento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(</w:t>
            </w:r>
            <w:r w:rsidRPr="005B68C2">
              <w:rPr>
                <w:rFonts w:ascii="Arial" w:hAnsi="Arial" w:cs="Arial"/>
                <w:sz w:val="21"/>
                <w:szCs w:val="21"/>
                <w:lang w:val="es-ES"/>
              </w:rPr>
              <w:t>Acuerdo Distrital No. 632 de 2015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). Se establecieron 3 estrategias para su recuperación: “</w:t>
            </w:r>
            <w:r w:rsidRPr="00695DA7">
              <w:rPr>
                <w:rFonts w:ascii="Arial" w:hAnsi="Arial" w:cs="Arial"/>
                <w:sz w:val="21"/>
                <w:szCs w:val="21"/>
                <w:lang w:val="es-ES"/>
              </w:rPr>
              <w:t>Proyectos de restauración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”; “</w:t>
            </w:r>
            <w:r w:rsidRPr="00695DA7">
              <w:rPr>
                <w:rFonts w:ascii="Arial" w:hAnsi="Arial" w:cs="Arial"/>
                <w:sz w:val="21"/>
                <w:szCs w:val="21"/>
                <w:lang w:val="es-ES"/>
              </w:rPr>
              <w:t>Brigada de Atención de Monumentos – BAM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”, y “</w:t>
            </w:r>
            <w:r w:rsidRPr="00695DA7">
              <w:rPr>
                <w:rFonts w:ascii="Arial" w:hAnsi="Arial" w:cs="Arial"/>
                <w:sz w:val="21"/>
                <w:szCs w:val="21"/>
                <w:lang w:val="es-ES"/>
              </w:rPr>
              <w:t>Programa Adopta un Monumento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”.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la fecha 1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63 monumentos han sido adoptados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por entidades públicas, privadas, instituciones educativas y organizaciones civiles.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Así mismo, se gestionó que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todos los monumentos con relación a la mujer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fueran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adoptados por la Sec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retaría Distrital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de la Mujer.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En cuanto a acciones de intervención, a la fecha,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26 monumentos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han sido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restaurados mediante contratos de obra con una inversión de $1.698 millones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250 monumentos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han sido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intervenidos a través de la Brigada de Atención de Monumentos. 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Una de las grandes obras es el Monumento a las Banderas, sobre el cual el Instituto recuperó los sistemas de izaje y actualmente viene reforzando las astas y está restaurando las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21 esculturas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 Este proyecto ubicado en la localidad de Kennedy tiene una inversión de 1.947 millones. Ha sido adoptado por Transmilenio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, la Secretaría Distrital de la Mujer y la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Mesa Local de Arte Urbano de Kennedy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También se viene recuperando el Monumento Alameda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, ubicado en la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localidad de Bosa. Este proyecto se trabaja socialmente con los </w:t>
            </w:r>
            <w:proofErr w:type="spellStart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grafiteros</w:t>
            </w:r>
            <w:proofErr w:type="spellEnd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(colectivo de arte urbano) del sector donde se busca que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conozcan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los valores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patrimoniales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y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la necesidad de garantizar su conservación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 En diciembre se adjudica el contrato (fase II correspondiente al reforzamiento estructural) por valor de $1.081 millones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de pesos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C133DE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C133DE">
              <w:rPr>
                <w:rFonts w:ascii="Arial" w:hAnsi="Arial" w:cs="Arial"/>
                <w:b/>
                <w:sz w:val="21"/>
                <w:szCs w:val="21"/>
                <w:lang w:val="es-ES"/>
              </w:rPr>
              <w:t>Asesoría técnica para la protección del patrimonio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cultural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El IDPC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realiza la asesoría técnica para la protección del patrimonio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través de: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Asesoría en proyectos en BIC; Asesoría en proyectos en espacio público; Equiparación a estrato 1, Control urbano en BIC; Valoración del patrimonio cultural; Asesoría arqueológica en proyectos.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Entre el 2016 y lo corrido del 2019 se han 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ten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dido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más de 7.500 casos,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con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441 proyectos asesorados (536 en la localidad de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a Candelaria), 100 casos asesorados en caso de amenaza de ruina.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En esta administración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 han mejorado los tiempos de respuesta que ant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es tomaban entre uno y dos años pasando a 2 meses; a la fecha el Instituto atiende la totalidad de las solicitudes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Dentro de los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proyectos asesora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d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os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se encuentran, entre otros: Casa Cra 7 con Calle 65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, Green </w:t>
            </w:r>
            <w:proofErr w:type="spellStart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House</w:t>
            </w:r>
            <w:proofErr w:type="spellEnd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, Proyecto </w:t>
            </w:r>
            <w:proofErr w:type="spellStart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Monfort</w:t>
            </w:r>
            <w:proofErr w:type="spellEnd"/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Belén, Casa Jockey Club, Fragmentos.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Por otro lado,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 informa que, en un proceso de articulación Nación-Distrito, se adoptó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 D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ecreto sismo-resistencia para casas de 1 y 2 pisos.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Este tema se trabajó desde el 2014.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AC4F29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C4F29">
              <w:rPr>
                <w:rFonts w:ascii="Arial" w:hAnsi="Arial" w:cs="Arial"/>
                <w:b/>
                <w:sz w:val="21"/>
                <w:szCs w:val="21"/>
                <w:lang w:val="es-ES"/>
              </w:rPr>
              <w:t>PROYECTO DE INVERSIÓN 1107 – Divulgación y apropiación del patrimonio cultural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755523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755523">
              <w:rPr>
                <w:rFonts w:ascii="Arial" w:hAnsi="Arial" w:cs="Arial"/>
                <w:b/>
                <w:sz w:val="21"/>
                <w:szCs w:val="21"/>
                <w:lang w:val="es-ES"/>
              </w:rPr>
              <w:t>Museo de Bogotá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El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M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useo de Bogotá cumplió 50 años en el 2019. En esta administración se inauguró la sede Siete Balcones con la colección permanente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la cual tiene un promedio de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asistencia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mensual de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10.000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visitantes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; a la fecha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registra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43.796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asistencias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. Para esto, se conformó un equipo </w:t>
            </w:r>
            <w:r w:rsidRPr="00755523">
              <w:rPr>
                <w:rFonts w:ascii="Arial" w:hAnsi="Arial" w:cs="Arial"/>
                <w:i/>
                <w:sz w:val="21"/>
                <w:szCs w:val="21"/>
                <w:lang w:val="es-ES"/>
              </w:rPr>
              <w:t xml:space="preserve">“in </w:t>
            </w:r>
            <w:proofErr w:type="spellStart"/>
            <w:r w:rsidRPr="00755523">
              <w:rPr>
                <w:rFonts w:ascii="Arial" w:hAnsi="Arial" w:cs="Arial"/>
                <w:i/>
                <w:sz w:val="21"/>
                <w:szCs w:val="21"/>
                <w:lang w:val="es-ES"/>
              </w:rPr>
              <w:t>house</w:t>
            </w:r>
            <w:proofErr w:type="spellEnd"/>
            <w:r w:rsidRPr="00755523">
              <w:rPr>
                <w:rFonts w:ascii="Arial" w:hAnsi="Arial" w:cs="Arial"/>
                <w:i/>
                <w:sz w:val="21"/>
                <w:szCs w:val="21"/>
                <w:lang w:val="es-ES"/>
              </w:rPr>
              <w:t>”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que garantizó la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elaboración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de un guion museográfico estructurado.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En la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C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asa Sámano se llevan a cabo las exposiciones temporales (27) con 323.828 asistentes; adicionalmente, se han realizado exposiciones itinerantes (19 en otras salas, espacios públicos y en otros países). La inversión ha sido de $1.281 millones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de pesos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Como aspectos a tener en cuenta se informa que el IDPC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tiene un convenio con el Archivo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Bo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gotá para el depósito de fotografías y piezas de la colección del Museo que vence en agosto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lastRenderedPageBreak/>
              <w:t>de 2020. Así mismo, en la Casa de los Siete Balcones se tiene un contrato de arrendamiento para el Café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Ibáñez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que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fue prorrogado hasta el 2020.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F942C4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942C4">
              <w:rPr>
                <w:rFonts w:ascii="Arial" w:hAnsi="Arial" w:cs="Arial"/>
                <w:b/>
                <w:sz w:val="21"/>
                <w:szCs w:val="21"/>
                <w:lang w:val="es-ES"/>
              </w:rPr>
              <w:t>Museo de la Ciudad Autoconstruida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En agosto de 2020 se culmina la construcción del inmueble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por la Secretaría de Cultura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. Una vez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se entregue el IDPC realizará el montaje museográfico y puesta en operación.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AF67E1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F67E1">
              <w:rPr>
                <w:rFonts w:ascii="Arial" w:hAnsi="Arial" w:cs="Arial"/>
                <w:b/>
                <w:sz w:val="21"/>
                <w:szCs w:val="21"/>
                <w:lang w:val="es-ES"/>
              </w:rPr>
              <w:t>Publicaciones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El IDPC tiene el sello editorial más grande del Distrito. Para el 2019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cuenta con más de 50 publicaciones en siete líneas editoriales en el cuatrienio; se han realizado 21 lanzamientos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y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dispone del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catálogo digital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con todas las publicaciones.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DA49C8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DA49C8">
              <w:rPr>
                <w:rFonts w:ascii="Arial" w:hAnsi="Arial" w:cs="Arial"/>
                <w:b/>
                <w:sz w:val="21"/>
                <w:szCs w:val="21"/>
                <w:lang w:val="es-ES"/>
              </w:rPr>
              <w:t>Patrimonio Cultural Inmaterial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, PCI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Bogotá es un referente en patrimonio cultural inmaterial en contextos urbanos. Desde la creación del equipo en el 2016, se han alien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ado las acciones del IDPC con los lineamientos de la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UNESCO. 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Uno de los programas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 través de los cuales se fortalece el PCI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es Patrimonios Locales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cubriendo 9 localidades (3 fases realizadas en Bosa, Usme y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Los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Mártires y dos fases en San Cristóbal, Antonio Nariño, Kennedy, Fontibón, Engativá, Barrios Unidos y Engativá)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Así mismo, se cuenta con el proyecto </w:t>
            </w:r>
            <w:r w:rsidRPr="00AF6CD9">
              <w:rPr>
                <w:rFonts w:ascii="Arial" w:hAnsi="Arial" w:cs="Arial"/>
                <w:i/>
                <w:sz w:val="21"/>
                <w:szCs w:val="21"/>
                <w:lang w:val="es-ES"/>
              </w:rPr>
              <w:t>Tiendas con Memoria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que está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articul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ado con la formulación del PEMP. A través de este se reconocen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los valores patrimoniales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d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 oficios tradicionales. A la fecha se tiene 115 registros en tiendas, oficios y sectores identidades y 28 lugares y oficios caracterizados.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En el 14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°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Comité Intergubernamental para la Salvaguardia del Patrimonio Cultural Inmaterial de la UNESCO, el IDPC apoyará la realización de eventos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–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conversatorio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s-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sobre los resultados de la gestión realizada sobre el PCI.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Por otra parte, la Entidad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ha trabajado en la definición de criterios específicos para la valoración del PCI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como referente para su identificación y gestión.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E94759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Programa de </w:t>
            </w:r>
            <w:r w:rsidRPr="00E94759">
              <w:rPr>
                <w:rFonts w:ascii="Arial" w:hAnsi="Arial" w:cs="Arial"/>
                <w:b/>
                <w:sz w:val="21"/>
                <w:szCs w:val="21"/>
                <w:lang w:val="es-ES"/>
              </w:rPr>
              <w:t>Estímulos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Este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P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rograma tiene u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na inversión de $1.698 millones. En el cuatrienio se han otorgado 150 estímulos y se han atendido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5 grupos poblacionales.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También s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 realizó un diplomado para la gestión de proyectos dirigido a agentes culturales.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Se resaltan las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mesas de trabajo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del Sector, lideradas por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la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Secretaría de Cultura, que han verificado entre otros aspectos,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que no se entreguen estímulos a personas u organizaciones que hayan ganado estímulos en otras entidades.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E94759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Programa de </w:t>
            </w:r>
            <w:r w:rsidRPr="00E94759">
              <w:rPr>
                <w:rFonts w:ascii="Arial" w:hAnsi="Arial" w:cs="Arial"/>
                <w:b/>
                <w:sz w:val="21"/>
                <w:szCs w:val="21"/>
                <w:lang w:val="es-ES"/>
              </w:rPr>
              <w:t>Recorridos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Patrimoniales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El Programa ha realizado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120 recorridos en 8 localidades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la ciudad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con una asistencia de 2.590 personas.</w:t>
            </w:r>
          </w:p>
          <w:p w:rsidR="00B3605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373F63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373F63">
              <w:rPr>
                <w:rFonts w:ascii="Arial" w:hAnsi="Arial" w:cs="Arial"/>
                <w:b/>
                <w:sz w:val="21"/>
                <w:szCs w:val="21"/>
                <w:lang w:val="es-ES"/>
              </w:rPr>
              <w:t>Programa Civinautas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Se actualizó la metodología realizada por la Universidad Nacional de Colombia en la anterior administración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, así mismo se actualizó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el material pedagógico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dirigido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 los formadores.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A la fecha se han formado 7.574 niñas, niños y adolescentes en patrimonio cultural en 49 coleg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ios; se han formado 41 docentes y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en el 2018 se estructuró un diplomado dirigido a docentes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en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convenio con el Instituto Caro y Cuervo.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El desarrollo del programa se complementa con la realización de exposiciones sobre los resultados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y sistematización de la experiencia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1455F3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455F3">
              <w:rPr>
                <w:rFonts w:ascii="Arial" w:hAnsi="Arial" w:cs="Arial"/>
                <w:b/>
                <w:sz w:val="21"/>
                <w:szCs w:val="21"/>
                <w:lang w:val="es-ES"/>
              </w:rPr>
              <w:t>Centro de Documentación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Se adelantó la clasificación e identificación de las colecciones del IDPC y se creó el catálogo de consulta en línea.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F64A95" w:rsidRDefault="00B36059" w:rsidP="00C3299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F64A95">
              <w:rPr>
                <w:rFonts w:ascii="Arial" w:hAnsi="Arial" w:cs="Arial"/>
                <w:b/>
                <w:sz w:val="21"/>
                <w:szCs w:val="21"/>
                <w:lang w:val="es-ES"/>
              </w:rPr>
              <w:t>Participación Ciudadana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En el 2019 se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formuló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el Modelo de P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articipación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C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iudadana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y C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ontrol 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ocial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>. Tiene 6 componentes, con lineamientos y ámbit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os. Se cuenta con un mapeo de los ámbitos de participación a nivel institucional, sectorial y local, entre otros. En el 2019 se estructuró la caja de herramientas para la participación que contiene documentos normativos, institucionales (</w:t>
            </w:r>
            <w:r w:rsidRPr="00BC1B5B">
              <w:rPr>
                <w:rFonts w:ascii="Arial" w:hAnsi="Arial" w:cs="Arial"/>
                <w:sz w:val="21"/>
                <w:szCs w:val="21"/>
                <w:lang w:val="es-ES"/>
              </w:rPr>
              <w:t>procedimiento de participación ciudadana, formatos, base de datos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) y técnicos (</w:t>
            </w:r>
            <w:r w:rsidRPr="003D3B2A">
              <w:rPr>
                <w:rFonts w:ascii="Arial" w:hAnsi="Arial" w:cs="Arial"/>
                <w:sz w:val="21"/>
                <w:szCs w:val="21"/>
                <w:lang w:val="es-CO"/>
              </w:rPr>
              <w:t>guías</w:t>
            </w:r>
            <w:r>
              <w:rPr>
                <w:rFonts w:ascii="Arial" w:hAnsi="Arial" w:cs="Arial"/>
                <w:sz w:val="21"/>
                <w:szCs w:val="21"/>
                <w:lang w:val="es-CO"/>
              </w:rPr>
              <w:t xml:space="preserve"> y </w:t>
            </w:r>
            <w:r w:rsidRPr="003D3B2A">
              <w:rPr>
                <w:rFonts w:ascii="Arial" w:hAnsi="Arial" w:cs="Arial"/>
                <w:sz w:val="21"/>
                <w:szCs w:val="21"/>
                <w:lang w:val="es-CO"/>
              </w:rPr>
              <w:t>buenas prácticas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) y se adelantaron e</w:t>
            </w:r>
            <w:r w:rsidRPr="00AE2A21">
              <w:rPr>
                <w:rFonts w:ascii="Arial" w:hAnsi="Arial" w:cs="Arial"/>
                <w:sz w:val="21"/>
                <w:szCs w:val="21"/>
                <w:lang w:val="es-ES"/>
              </w:rPr>
              <w:t>strategias de sensibilización y formación con servidores públicos y ciudadanía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en general.</w:t>
            </w: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B36059" w:rsidRPr="00B97149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Todo estos permitió ampliar</w:t>
            </w:r>
            <w:r w:rsidRPr="00B97149">
              <w:rPr>
                <w:rFonts w:ascii="Arial" w:hAnsi="Arial" w:cs="Arial"/>
                <w:sz w:val="21"/>
                <w:szCs w:val="21"/>
                <w:lang w:val="es-ES"/>
              </w:rPr>
              <w:t xml:space="preserve"> la cobertura de territorios (en las localidades a través de mesas sectoriales) y actores (academia, privados, organizaciones)</w:t>
            </w:r>
          </w:p>
          <w:p w:rsidR="00B36059" w:rsidRPr="009C1F88" w:rsidRDefault="00B36059" w:rsidP="00C3299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</w:p>
        </w:tc>
      </w:tr>
    </w:tbl>
    <w:p w:rsidR="00B36059" w:rsidRDefault="00B36059"/>
    <w:sectPr w:rsidR="00B36059" w:rsidSect="00B36059">
      <w:headerReference w:type="default" r:id="rId7"/>
      <w:footerReference w:type="default" r:id="rId8"/>
      <w:pgSz w:w="11906" w:h="16838"/>
      <w:pgMar w:top="2552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CB" w:rsidRDefault="004377CB" w:rsidP="00B36059">
      <w:r>
        <w:separator/>
      </w:r>
    </w:p>
  </w:endnote>
  <w:endnote w:type="continuationSeparator" w:id="0">
    <w:p w:rsidR="004377CB" w:rsidRDefault="004377CB" w:rsidP="00B3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59" w:rsidRDefault="00B36059" w:rsidP="00B36059">
    <w:pPr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  <w:lang w:val="es-CO"/>
      </w:rPr>
      <w:drawing>
        <wp:anchor distT="0" distB="0" distL="114300" distR="114300" simplePos="0" relativeHeight="251663360" behindDoc="0" locked="0" layoutInCell="1" allowOverlap="1" wp14:anchorId="4EE6509F" wp14:editId="74AFC7C0">
          <wp:simplePos x="0" y="0"/>
          <wp:positionH relativeFrom="column">
            <wp:posOffset>4635500</wp:posOffset>
          </wp:positionH>
          <wp:positionV relativeFrom="paragraph">
            <wp:posOffset>-29845</wp:posOffset>
          </wp:positionV>
          <wp:extent cx="966470" cy="705485"/>
          <wp:effectExtent l="0" t="0" r="5080" b="0"/>
          <wp:wrapNone/>
          <wp:docPr id="51" name="Imagen 51" descr="logo mejor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mejor para to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8"/>
        <w:lang w:val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4D8E" wp14:editId="1859FA5C">
              <wp:simplePos x="0" y="0"/>
              <wp:positionH relativeFrom="page">
                <wp:posOffset>1019175</wp:posOffset>
              </wp:positionH>
              <wp:positionV relativeFrom="page">
                <wp:posOffset>9620885</wp:posOffset>
              </wp:positionV>
              <wp:extent cx="2819400" cy="666750"/>
              <wp:effectExtent l="0" t="0" r="0" b="0"/>
              <wp:wrapThrough wrapText="bothSides">
                <wp:wrapPolygon edited="0">
                  <wp:start x="0" y="0"/>
                  <wp:lineTo x="0" y="20983"/>
                  <wp:lineTo x="21454" y="20983"/>
                  <wp:lineTo x="21454" y="0"/>
                  <wp:lineTo x="0" y="0"/>
                </wp:wrapPolygon>
              </wp:wrapThrough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59" w:rsidRPr="002C1CDF" w:rsidRDefault="00B36059" w:rsidP="00B3605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1CD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Calle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8 </w:t>
                          </w:r>
                          <w:r w:rsidRPr="002C1CD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Nº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8-52</w:t>
                          </w:r>
                          <w:r w:rsidRPr="002C1CD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36059" w:rsidRDefault="00B36059" w:rsidP="00B3605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1CD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Teléf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ono: 355 0800</w:t>
                          </w:r>
                        </w:p>
                        <w:p w:rsidR="00B36059" w:rsidRPr="002C1CDF" w:rsidRDefault="00B36059" w:rsidP="00B3605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C1CD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www.idpc.gov.co </w:t>
                          </w:r>
                        </w:p>
                        <w:p w:rsidR="00B36059" w:rsidRPr="002C1CDF" w:rsidRDefault="00B36059" w:rsidP="00B36059">
                          <w:r w:rsidRPr="002C1CD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Información: Línea 195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64D8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80.25pt;margin-top:757.55pt;width:22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K0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" stroked="f">
              <v:textbox>
                <w:txbxContent>
                  <w:p w:rsidR="00B36059" w:rsidRPr="002C1CDF" w:rsidRDefault="00B36059" w:rsidP="00B3605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C1CD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Calle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8 </w:t>
                    </w:r>
                    <w:r w:rsidRPr="002C1CDF">
                      <w:rPr>
                        <w:rFonts w:ascii="Arial" w:hAnsi="Arial" w:cs="Arial"/>
                        <w:sz w:val="18"/>
                        <w:szCs w:val="18"/>
                      </w:rPr>
                      <w:t>Nº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8-52</w:t>
                    </w:r>
                    <w:r w:rsidRPr="002C1CD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36059" w:rsidRDefault="00B36059" w:rsidP="00B3605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C1CDF">
                      <w:rPr>
                        <w:rFonts w:ascii="Arial" w:hAnsi="Arial" w:cs="Arial"/>
                        <w:sz w:val="18"/>
                        <w:szCs w:val="18"/>
                      </w:rPr>
                      <w:t>Teléf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ono: 355 0800</w:t>
                    </w:r>
                  </w:p>
                  <w:p w:rsidR="00B36059" w:rsidRPr="002C1CDF" w:rsidRDefault="00B36059" w:rsidP="00B3605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C1CD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www.idpc.gov.co </w:t>
                    </w:r>
                  </w:p>
                  <w:p w:rsidR="00B36059" w:rsidRPr="002C1CDF" w:rsidRDefault="00B36059" w:rsidP="00B36059">
                    <w:r w:rsidRPr="002C1CDF">
                      <w:rPr>
                        <w:rFonts w:ascii="Arial" w:hAnsi="Arial" w:cs="Arial"/>
                        <w:sz w:val="18"/>
                        <w:szCs w:val="18"/>
                      </w:rPr>
                      <w:t>Información: Línea 195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ascii="Arial" w:hAnsi="Arial"/>
        <w:b/>
        <w:sz w:val="18"/>
      </w:rPr>
      <w:t xml:space="preserve">                   </w:t>
    </w:r>
  </w:p>
  <w:p w:rsidR="00B36059" w:rsidRDefault="00B36059" w:rsidP="00B36059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              </w:t>
    </w: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68F0D22" wp14:editId="08F798E9">
              <wp:simplePos x="0" y="0"/>
              <wp:positionH relativeFrom="column">
                <wp:posOffset>25401</wp:posOffset>
              </wp:positionH>
              <wp:positionV relativeFrom="paragraph">
                <wp:posOffset>9067800</wp:posOffset>
              </wp:positionV>
              <wp:extent cx="2422525" cy="809625"/>
              <wp:effectExtent l="0" t="0" r="0" b="0"/>
              <wp:wrapSquare wrapText="bothSides" distT="0" distB="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9500" y="3379950"/>
                        <a:ext cx="2413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36059" w:rsidRDefault="00B36059" w:rsidP="00B3605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Calle 8 Nº 8-52 </w:t>
                          </w:r>
                        </w:p>
                        <w:p w:rsidR="00B36059" w:rsidRDefault="00B36059" w:rsidP="00B3605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Teléfono: 355 0800</w:t>
                          </w:r>
                        </w:p>
                        <w:p w:rsidR="00B36059" w:rsidRDefault="00B36059" w:rsidP="00B3605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www.idpc.gov.co </w:t>
                          </w:r>
                        </w:p>
                        <w:p w:rsidR="00B36059" w:rsidRDefault="00B36059" w:rsidP="00B3605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Información: Línea 195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F0D22" id="Rectángulo 2" o:spid="_x0000_s1027" style="position:absolute;margin-left:2pt;margin-top:714pt;width:190.7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" stroked="f">
              <v:textbox inset="2.53958mm,1.2694mm,2.53958mm,1.2694mm">
                <w:txbxContent>
                  <w:p w:rsidR="00B36059" w:rsidRDefault="00B36059" w:rsidP="00B3605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Calle 8 Nº 8-52 </w:t>
                    </w:r>
                  </w:p>
                  <w:p w:rsidR="00B36059" w:rsidRDefault="00B36059" w:rsidP="00B3605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Teléfono: 355 0800</w:t>
                    </w:r>
                  </w:p>
                  <w:p w:rsidR="00B36059" w:rsidRDefault="00B36059" w:rsidP="00B3605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www.idpc.gov.co </w:t>
                    </w:r>
                  </w:p>
                  <w:p w:rsidR="00B36059" w:rsidRDefault="00B36059" w:rsidP="00B36059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Información: Línea 195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B36059" w:rsidRPr="00B36059" w:rsidRDefault="00B36059" w:rsidP="00B36059">
    <w:pPr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CB" w:rsidRDefault="004377CB" w:rsidP="00B36059">
      <w:r>
        <w:separator/>
      </w:r>
    </w:p>
  </w:footnote>
  <w:footnote w:type="continuationSeparator" w:id="0">
    <w:p w:rsidR="004377CB" w:rsidRDefault="004377CB" w:rsidP="00B3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59" w:rsidRPr="00B36059" w:rsidRDefault="00B36059" w:rsidP="00B360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17F2DD5B" wp14:editId="5B22B93C">
          <wp:simplePos x="0" y="0"/>
          <wp:positionH relativeFrom="margin">
            <wp:posOffset>2352675</wp:posOffset>
          </wp:positionH>
          <wp:positionV relativeFrom="margin">
            <wp:posOffset>-1081405</wp:posOffset>
          </wp:positionV>
          <wp:extent cx="1076325" cy="904875"/>
          <wp:effectExtent l="0" t="0" r="0" b="9525"/>
          <wp:wrapSquare wrapText="bothSides"/>
          <wp:docPr id="50" name="Imagen 50" descr="logo secretaria y ent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secretaria y ent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52BDC">
      <w:rPr>
        <w:rFonts w:ascii="Arial" w:eastAsia="Arial" w:hAnsi="Arial" w:cs="Arial"/>
        <w:b/>
        <w:noProof/>
        <w:color w:val="000000"/>
        <w:sz w:val="16"/>
        <w:szCs w:val="16"/>
      </w:rPr>
      <w:t>9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F52BDC">
      <w:rPr>
        <w:rFonts w:ascii="Arial" w:eastAsia="Arial" w:hAnsi="Arial" w:cs="Arial"/>
        <w:b/>
        <w:noProof/>
        <w:color w:val="000000"/>
        <w:sz w:val="16"/>
        <w:szCs w:val="16"/>
      </w:rPr>
      <w:t>9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44"/>
    <w:multiLevelType w:val="hybridMultilevel"/>
    <w:tmpl w:val="27844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13B"/>
    <w:multiLevelType w:val="hybridMultilevel"/>
    <w:tmpl w:val="3CA874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32"/>
    <w:rsid w:val="00012F70"/>
    <w:rsid w:val="00014088"/>
    <w:rsid w:val="002C0333"/>
    <w:rsid w:val="00324F8D"/>
    <w:rsid w:val="003B28DC"/>
    <w:rsid w:val="003F1AB8"/>
    <w:rsid w:val="004377CB"/>
    <w:rsid w:val="00564407"/>
    <w:rsid w:val="008B60C4"/>
    <w:rsid w:val="009D4E36"/>
    <w:rsid w:val="00A67FFE"/>
    <w:rsid w:val="00B36059"/>
    <w:rsid w:val="00D77755"/>
    <w:rsid w:val="00E33597"/>
    <w:rsid w:val="00F41071"/>
    <w:rsid w:val="00F52BDC"/>
    <w:rsid w:val="00F62732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400CE-B004-4FC2-BC7B-87A2F04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0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6059"/>
  </w:style>
  <w:style w:type="paragraph" w:styleId="Piedepgina">
    <w:name w:val="footer"/>
    <w:basedOn w:val="Normal"/>
    <w:link w:val="PiedepginaCar"/>
    <w:uiPriority w:val="99"/>
    <w:unhideWhenUsed/>
    <w:rsid w:val="00B360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059"/>
  </w:style>
  <w:style w:type="paragraph" w:styleId="Prrafodelista">
    <w:name w:val="List Paragraph"/>
    <w:basedOn w:val="Normal"/>
    <w:uiPriority w:val="34"/>
    <w:qFormat/>
    <w:rsid w:val="00B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3465</Words>
  <Characters>19062</Characters>
  <Application>Microsoft Office Word</Application>
  <DocSecurity>0</DocSecurity>
  <Lines>158</Lines>
  <Paragraphs>44</Paragraphs>
  <ScaleCrop>false</ScaleCrop>
  <Company/>
  <LinksUpToDate>false</LinksUpToDate>
  <CharactersWithSpaces>22483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Francisco Rodriguez Tellez</dc:creator>
  <cp:keywords/>
  <dc:description/>
  <cp:lastModifiedBy>Patricia Quintanilla</cp:lastModifiedBy>
  <cp:revision>6</cp:revision>
  <dcterms:created xsi:type="dcterms:W3CDTF">2019-12-26T19:54:00Z</dcterms:created>
  <dcterms:modified xsi:type="dcterms:W3CDTF">2019-12-28T17:01:00Z</dcterms:modified>
</cp:coreProperties>
</file>