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D0875" w14:textId="77777777" w:rsidR="00425456" w:rsidRPr="00DA79EC" w:rsidRDefault="00425456" w:rsidP="005B4190">
      <w:pPr>
        <w:tabs>
          <w:tab w:val="left" w:pos="1095"/>
        </w:tabs>
        <w:spacing w:line="240" w:lineRule="auto"/>
        <w:rPr>
          <w:rFonts w:ascii="Arial" w:hAnsi="Arial" w:cs="Arial"/>
          <w:sz w:val="20"/>
          <w:szCs w:val="20"/>
        </w:rPr>
      </w:pPr>
    </w:p>
    <w:p w14:paraId="2BFA5057" w14:textId="77777777" w:rsidR="00425456" w:rsidRPr="00730430" w:rsidRDefault="00425456" w:rsidP="005B4190">
      <w:pPr>
        <w:tabs>
          <w:tab w:val="left" w:pos="1095"/>
        </w:tabs>
        <w:spacing w:line="240" w:lineRule="auto"/>
        <w:rPr>
          <w:rFonts w:ascii="Arial" w:hAnsi="Arial" w:cs="Arial"/>
          <w:sz w:val="22"/>
          <w:szCs w:val="22"/>
        </w:rPr>
      </w:pPr>
    </w:p>
    <w:p w14:paraId="6E56C1D4" w14:textId="77777777" w:rsidR="00930B4A" w:rsidRPr="00730430" w:rsidRDefault="00930B4A" w:rsidP="005B4190">
      <w:pPr>
        <w:tabs>
          <w:tab w:val="left" w:pos="1095"/>
        </w:tabs>
        <w:spacing w:line="240" w:lineRule="auto"/>
        <w:rPr>
          <w:rFonts w:ascii="Arial" w:hAnsi="Arial" w:cs="Arial"/>
          <w:sz w:val="22"/>
          <w:szCs w:val="22"/>
        </w:rPr>
      </w:pPr>
    </w:p>
    <w:p w14:paraId="30D3F4F7" w14:textId="77777777" w:rsidR="00E1675C" w:rsidRPr="00730430" w:rsidRDefault="00E1675C" w:rsidP="005B4190">
      <w:pPr>
        <w:tabs>
          <w:tab w:val="left" w:pos="1095"/>
        </w:tabs>
        <w:spacing w:line="240" w:lineRule="auto"/>
        <w:rPr>
          <w:rFonts w:ascii="Arial" w:hAnsi="Arial" w:cs="Arial"/>
          <w:sz w:val="22"/>
          <w:szCs w:val="22"/>
        </w:rPr>
      </w:pPr>
    </w:p>
    <w:p w14:paraId="667CBEA8" w14:textId="77777777" w:rsidR="00A92273" w:rsidRPr="00730430" w:rsidRDefault="00A92273" w:rsidP="005B4190">
      <w:pPr>
        <w:tabs>
          <w:tab w:val="left" w:pos="1095"/>
        </w:tabs>
        <w:spacing w:line="240" w:lineRule="auto"/>
        <w:rPr>
          <w:rFonts w:ascii="Arial" w:hAnsi="Arial" w:cs="Arial"/>
          <w:sz w:val="22"/>
          <w:szCs w:val="22"/>
        </w:rPr>
      </w:pPr>
    </w:p>
    <w:p w14:paraId="33D1B7A8" w14:textId="77777777" w:rsidR="00930B4A" w:rsidRPr="00730430" w:rsidRDefault="00930B4A" w:rsidP="005B4190">
      <w:pPr>
        <w:tabs>
          <w:tab w:val="left" w:pos="1095"/>
        </w:tabs>
        <w:spacing w:line="240" w:lineRule="auto"/>
        <w:rPr>
          <w:rFonts w:ascii="Arial" w:hAnsi="Arial" w:cs="Arial"/>
          <w:sz w:val="22"/>
          <w:szCs w:val="22"/>
        </w:rPr>
      </w:pPr>
    </w:p>
    <w:p w14:paraId="1156DB2E" w14:textId="77777777" w:rsidR="00930B4A" w:rsidRPr="00730430" w:rsidRDefault="00930B4A" w:rsidP="005B4190">
      <w:pPr>
        <w:tabs>
          <w:tab w:val="left" w:pos="1095"/>
        </w:tabs>
        <w:spacing w:line="240" w:lineRule="auto"/>
        <w:rPr>
          <w:rFonts w:ascii="Arial" w:hAnsi="Arial" w:cs="Arial"/>
          <w:sz w:val="22"/>
          <w:szCs w:val="22"/>
        </w:rPr>
      </w:pPr>
    </w:p>
    <w:p w14:paraId="0A37FC0E" w14:textId="6A5BD3FD" w:rsidR="00782980" w:rsidRPr="00730430" w:rsidRDefault="00E1675C" w:rsidP="005B4190">
      <w:pPr>
        <w:tabs>
          <w:tab w:val="left" w:pos="1095"/>
        </w:tabs>
        <w:spacing w:line="240" w:lineRule="auto"/>
        <w:jc w:val="center"/>
        <w:rPr>
          <w:rFonts w:ascii="Arial" w:hAnsi="Arial" w:cs="Arial"/>
          <w:b/>
          <w:sz w:val="22"/>
          <w:szCs w:val="22"/>
        </w:rPr>
      </w:pPr>
      <w:r w:rsidRPr="00730430">
        <w:rPr>
          <w:rFonts w:ascii="Arial" w:hAnsi="Arial" w:cs="Arial"/>
          <w:b/>
          <w:sz w:val="22"/>
          <w:szCs w:val="22"/>
        </w:rPr>
        <w:t>BALANCE DE LA GESTIÓN DE RIESG</w:t>
      </w:r>
      <w:r w:rsidR="00A92273" w:rsidRPr="00730430">
        <w:rPr>
          <w:rFonts w:ascii="Arial" w:hAnsi="Arial" w:cs="Arial"/>
          <w:b/>
          <w:sz w:val="22"/>
          <w:szCs w:val="22"/>
        </w:rPr>
        <w:t xml:space="preserve">OS DE CORRUPCIÓN Y DE GESTIÓN  CORRESPONDIENTE AL </w:t>
      </w:r>
      <w:r w:rsidR="00C8004E">
        <w:rPr>
          <w:rFonts w:ascii="Arial" w:hAnsi="Arial" w:cs="Arial"/>
          <w:b/>
          <w:sz w:val="22"/>
          <w:szCs w:val="22"/>
        </w:rPr>
        <w:t>TERCER</w:t>
      </w:r>
      <w:r w:rsidR="00A92273" w:rsidRPr="00730430">
        <w:rPr>
          <w:rFonts w:ascii="Arial" w:hAnsi="Arial" w:cs="Arial"/>
          <w:b/>
          <w:sz w:val="22"/>
          <w:szCs w:val="22"/>
        </w:rPr>
        <w:t xml:space="preserve"> CUATRIMESTRE DE LA VIGENCIA 2019</w:t>
      </w:r>
    </w:p>
    <w:p w14:paraId="4C231C3F" w14:textId="1873EDD3" w:rsidR="00930B4A" w:rsidRPr="00341111" w:rsidRDefault="00C8004E" w:rsidP="005B4190">
      <w:pPr>
        <w:tabs>
          <w:tab w:val="left" w:pos="1095"/>
        </w:tabs>
        <w:spacing w:line="240" w:lineRule="auto"/>
        <w:jc w:val="center"/>
        <w:rPr>
          <w:rFonts w:ascii="Arial" w:hAnsi="Arial" w:cs="Arial"/>
          <w:b/>
          <w:sz w:val="22"/>
          <w:szCs w:val="22"/>
        </w:rPr>
      </w:pPr>
      <w:r>
        <w:rPr>
          <w:rFonts w:ascii="Arial" w:hAnsi="Arial" w:cs="Arial"/>
          <w:b/>
          <w:sz w:val="22"/>
          <w:szCs w:val="22"/>
        </w:rPr>
        <w:t xml:space="preserve"> (SEPTIEMBRE</w:t>
      </w:r>
      <w:r w:rsidR="00A92273" w:rsidRPr="00341111">
        <w:rPr>
          <w:rFonts w:ascii="Arial" w:hAnsi="Arial" w:cs="Arial"/>
          <w:b/>
          <w:sz w:val="22"/>
          <w:szCs w:val="22"/>
        </w:rPr>
        <w:t xml:space="preserve"> – </w:t>
      </w:r>
      <w:r>
        <w:rPr>
          <w:rFonts w:ascii="Arial" w:hAnsi="Arial" w:cs="Arial"/>
          <w:b/>
          <w:sz w:val="22"/>
          <w:szCs w:val="22"/>
        </w:rPr>
        <w:t>DICIEMBRE</w:t>
      </w:r>
      <w:r w:rsidR="00A92273" w:rsidRPr="00341111">
        <w:rPr>
          <w:rFonts w:ascii="Arial" w:hAnsi="Arial" w:cs="Arial"/>
          <w:b/>
          <w:sz w:val="22"/>
          <w:szCs w:val="22"/>
        </w:rPr>
        <w:t>)</w:t>
      </w:r>
    </w:p>
    <w:p w14:paraId="0F7F6481" w14:textId="77777777" w:rsidR="00930B4A" w:rsidRPr="00730430" w:rsidRDefault="00930B4A" w:rsidP="005B4190">
      <w:pPr>
        <w:tabs>
          <w:tab w:val="left" w:pos="1095"/>
        </w:tabs>
        <w:spacing w:line="240" w:lineRule="auto"/>
        <w:jc w:val="center"/>
        <w:rPr>
          <w:rFonts w:ascii="Arial" w:hAnsi="Arial" w:cs="Arial"/>
          <w:sz w:val="22"/>
          <w:szCs w:val="22"/>
        </w:rPr>
      </w:pPr>
    </w:p>
    <w:p w14:paraId="79FF80FD" w14:textId="77777777" w:rsidR="00930B4A" w:rsidRPr="00730430" w:rsidRDefault="00930B4A" w:rsidP="005B4190">
      <w:pPr>
        <w:tabs>
          <w:tab w:val="left" w:pos="1095"/>
        </w:tabs>
        <w:spacing w:line="240" w:lineRule="auto"/>
        <w:jc w:val="center"/>
        <w:rPr>
          <w:rFonts w:ascii="Arial" w:hAnsi="Arial" w:cs="Arial"/>
          <w:sz w:val="22"/>
          <w:szCs w:val="22"/>
        </w:rPr>
      </w:pPr>
    </w:p>
    <w:p w14:paraId="5A045D86" w14:textId="77777777" w:rsidR="00930B4A" w:rsidRPr="00730430" w:rsidRDefault="00930B4A" w:rsidP="005B4190">
      <w:pPr>
        <w:tabs>
          <w:tab w:val="left" w:pos="1095"/>
        </w:tabs>
        <w:spacing w:line="240" w:lineRule="auto"/>
        <w:jc w:val="center"/>
        <w:rPr>
          <w:rFonts w:ascii="Arial" w:hAnsi="Arial" w:cs="Arial"/>
          <w:sz w:val="22"/>
          <w:szCs w:val="22"/>
        </w:rPr>
      </w:pPr>
    </w:p>
    <w:p w14:paraId="7484C201" w14:textId="77777777" w:rsidR="00930B4A" w:rsidRPr="00730430" w:rsidRDefault="00930B4A" w:rsidP="005B4190">
      <w:pPr>
        <w:tabs>
          <w:tab w:val="left" w:pos="1095"/>
        </w:tabs>
        <w:spacing w:line="240" w:lineRule="auto"/>
        <w:jc w:val="center"/>
        <w:rPr>
          <w:rFonts w:ascii="Arial" w:hAnsi="Arial" w:cs="Arial"/>
          <w:sz w:val="22"/>
          <w:szCs w:val="22"/>
        </w:rPr>
      </w:pPr>
    </w:p>
    <w:p w14:paraId="7AFFBB55" w14:textId="77777777" w:rsidR="00930B4A" w:rsidRPr="00730430" w:rsidRDefault="00930B4A" w:rsidP="005B4190">
      <w:pPr>
        <w:tabs>
          <w:tab w:val="left" w:pos="1095"/>
        </w:tabs>
        <w:spacing w:line="240" w:lineRule="auto"/>
        <w:jc w:val="center"/>
        <w:rPr>
          <w:rFonts w:ascii="Arial" w:hAnsi="Arial" w:cs="Arial"/>
          <w:sz w:val="22"/>
          <w:szCs w:val="22"/>
        </w:rPr>
      </w:pPr>
    </w:p>
    <w:p w14:paraId="3FC292D5" w14:textId="77777777" w:rsidR="00930B4A" w:rsidRPr="00730430" w:rsidRDefault="00930B4A" w:rsidP="005B4190">
      <w:pPr>
        <w:tabs>
          <w:tab w:val="left" w:pos="1095"/>
        </w:tabs>
        <w:spacing w:line="240" w:lineRule="auto"/>
        <w:jc w:val="center"/>
        <w:rPr>
          <w:rFonts w:ascii="Arial" w:hAnsi="Arial" w:cs="Arial"/>
          <w:sz w:val="22"/>
          <w:szCs w:val="22"/>
        </w:rPr>
      </w:pPr>
    </w:p>
    <w:p w14:paraId="04D7B611" w14:textId="77777777" w:rsidR="00425456" w:rsidRPr="00730430" w:rsidRDefault="00425456" w:rsidP="005B4190">
      <w:pPr>
        <w:tabs>
          <w:tab w:val="left" w:pos="1095"/>
        </w:tabs>
        <w:spacing w:line="240" w:lineRule="auto"/>
        <w:jc w:val="center"/>
        <w:rPr>
          <w:rFonts w:ascii="Arial" w:hAnsi="Arial" w:cs="Arial"/>
          <w:sz w:val="22"/>
          <w:szCs w:val="22"/>
        </w:rPr>
      </w:pPr>
    </w:p>
    <w:p w14:paraId="5AAB1A35" w14:textId="77777777" w:rsidR="00A92273" w:rsidRPr="00730430" w:rsidRDefault="00A92273" w:rsidP="005B4190">
      <w:pPr>
        <w:tabs>
          <w:tab w:val="left" w:pos="1095"/>
        </w:tabs>
        <w:spacing w:line="240" w:lineRule="auto"/>
        <w:jc w:val="center"/>
        <w:rPr>
          <w:rFonts w:ascii="Arial" w:hAnsi="Arial" w:cs="Arial"/>
          <w:sz w:val="22"/>
          <w:szCs w:val="22"/>
        </w:rPr>
      </w:pPr>
    </w:p>
    <w:p w14:paraId="711941A9" w14:textId="77777777" w:rsidR="00A92273" w:rsidRPr="00730430" w:rsidRDefault="00A92273" w:rsidP="005B4190">
      <w:pPr>
        <w:tabs>
          <w:tab w:val="left" w:pos="1095"/>
        </w:tabs>
        <w:spacing w:line="240" w:lineRule="auto"/>
        <w:jc w:val="center"/>
        <w:rPr>
          <w:rFonts w:ascii="Arial" w:hAnsi="Arial" w:cs="Arial"/>
          <w:sz w:val="22"/>
          <w:szCs w:val="22"/>
        </w:rPr>
      </w:pPr>
    </w:p>
    <w:p w14:paraId="7DE09265" w14:textId="77777777" w:rsidR="00E1675C" w:rsidRPr="00730430" w:rsidRDefault="00E1675C" w:rsidP="005B4190">
      <w:pPr>
        <w:tabs>
          <w:tab w:val="left" w:pos="1095"/>
        </w:tabs>
        <w:spacing w:line="240" w:lineRule="auto"/>
        <w:jc w:val="center"/>
        <w:rPr>
          <w:rFonts w:ascii="Arial" w:hAnsi="Arial" w:cs="Arial"/>
          <w:sz w:val="22"/>
          <w:szCs w:val="22"/>
        </w:rPr>
      </w:pPr>
    </w:p>
    <w:p w14:paraId="2B5D1C1D" w14:textId="77777777" w:rsidR="00E1675C" w:rsidRPr="00730430" w:rsidRDefault="00E1675C" w:rsidP="005B4190">
      <w:pPr>
        <w:tabs>
          <w:tab w:val="left" w:pos="1095"/>
        </w:tabs>
        <w:spacing w:line="240" w:lineRule="auto"/>
        <w:jc w:val="center"/>
        <w:rPr>
          <w:rFonts w:ascii="Arial" w:hAnsi="Arial" w:cs="Arial"/>
          <w:b/>
          <w:sz w:val="22"/>
          <w:szCs w:val="22"/>
        </w:rPr>
      </w:pPr>
    </w:p>
    <w:p w14:paraId="2E0C3BE9" w14:textId="77777777" w:rsidR="00E1675C" w:rsidRPr="00730430" w:rsidRDefault="00E1675C" w:rsidP="005B4190">
      <w:pPr>
        <w:tabs>
          <w:tab w:val="left" w:pos="1095"/>
        </w:tabs>
        <w:spacing w:line="240" w:lineRule="auto"/>
        <w:jc w:val="center"/>
        <w:rPr>
          <w:rFonts w:ascii="Arial" w:hAnsi="Arial" w:cs="Arial"/>
          <w:b/>
          <w:sz w:val="22"/>
          <w:szCs w:val="22"/>
        </w:rPr>
      </w:pPr>
    </w:p>
    <w:p w14:paraId="2663160A" w14:textId="07C3E5B4" w:rsidR="00E1675C" w:rsidRPr="00730430" w:rsidRDefault="00A92273" w:rsidP="005B4190">
      <w:pPr>
        <w:tabs>
          <w:tab w:val="left" w:pos="1095"/>
        </w:tabs>
        <w:spacing w:line="240" w:lineRule="auto"/>
        <w:jc w:val="center"/>
        <w:rPr>
          <w:rFonts w:ascii="Arial" w:hAnsi="Arial" w:cs="Arial"/>
          <w:b/>
          <w:sz w:val="22"/>
          <w:szCs w:val="22"/>
        </w:rPr>
      </w:pPr>
      <w:r w:rsidRPr="00730430">
        <w:rPr>
          <w:rFonts w:ascii="Arial" w:hAnsi="Arial" w:cs="Arial"/>
          <w:b/>
          <w:sz w:val="22"/>
          <w:szCs w:val="22"/>
        </w:rPr>
        <w:t xml:space="preserve">OFICINA ASESORA DE PLANEACIÓN </w:t>
      </w:r>
    </w:p>
    <w:p w14:paraId="627050FD" w14:textId="31C33617" w:rsidR="00425456" w:rsidRPr="00730430" w:rsidRDefault="00E1675C" w:rsidP="005B4190">
      <w:pPr>
        <w:tabs>
          <w:tab w:val="left" w:pos="1095"/>
        </w:tabs>
        <w:spacing w:line="240" w:lineRule="auto"/>
        <w:jc w:val="center"/>
        <w:rPr>
          <w:rFonts w:ascii="Arial" w:hAnsi="Arial" w:cs="Arial"/>
          <w:b/>
          <w:sz w:val="22"/>
          <w:szCs w:val="22"/>
        </w:rPr>
      </w:pPr>
      <w:r w:rsidRPr="00730430">
        <w:rPr>
          <w:rFonts w:ascii="Arial" w:hAnsi="Arial" w:cs="Arial"/>
          <w:b/>
          <w:sz w:val="22"/>
          <w:szCs w:val="22"/>
        </w:rPr>
        <w:t>PROCESO DE FORTALECIMIENTO DEL SIG</w:t>
      </w:r>
    </w:p>
    <w:p w14:paraId="0B2DEE37" w14:textId="77777777" w:rsidR="00A92273" w:rsidRPr="00730430" w:rsidRDefault="00A92273" w:rsidP="005B4190">
      <w:pPr>
        <w:tabs>
          <w:tab w:val="left" w:pos="1095"/>
        </w:tabs>
        <w:spacing w:line="240" w:lineRule="auto"/>
        <w:jc w:val="center"/>
        <w:rPr>
          <w:rFonts w:ascii="Arial" w:hAnsi="Arial" w:cs="Arial"/>
          <w:b/>
          <w:sz w:val="22"/>
          <w:szCs w:val="22"/>
        </w:rPr>
      </w:pPr>
    </w:p>
    <w:p w14:paraId="3F71F0A3" w14:textId="77777777" w:rsidR="00E1675C" w:rsidRPr="00730430" w:rsidRDefault="00E1675C" w:rsidP="005B4190">
      <w:pPr>
        <w:tabs>
          <w:tab w:val="left" w:pos="1095"/>
        </w:tabs>
        <w:spacing w:line="240" w:lineRule="auto"/>
        <w:rPr>
          <w:rFonts w:ascii="Arial" w:hAnsi="Arial" w:cs="Arial"/>
          <w:b/>
          <w:sz w:val="22"/>
          <w:szCs w:val="22"/>
        </w:rPr>
      </w:pPr>
    </w:p>
    <w:p w14:paraId="11297602" w14:textId="77777777" w:rsidR="00E1675C" w:rsidRPr="00730430" w:rsidRDefault="00E1675C" w:rsidP="005B4190">
      <w:pPr>
        <w:tabs>
          <w:tab w:val="left" w:pos="1095"/>
        </w:tabs>
        <w:spacing w:line="240" w:lineRule="auto"/>
        <w:jc w:val="center"/>
        <w:rPr>
          <w:rFonts w:ascii="Arial" w:hAnsi="Arial" w:cs="Arial"/>
          <w:b/>
          <w:sz w:val="22"/>
          <w:szCs w:val="22"/>
        </w:rPr>
      </w:pPr>
    </w:p>
    <w:p w14:paraId="33C8731C" w14:textId="77777777" w:rsidR="00E1675C" w:rsidRPr="00730430" w:rsidRDefault="00E1675C" w:rsidP="005B4190">
      <w:pPr>
        <w:tabs>
          <w:tab w:val="left" w:pos="1095"/>
        </w:tabs>
        <w:spacing w:line="240" w:lineRule="auto"/>
        <w:jc w:val="center"/>
        <w:rPr>
          <w:rFonts w:ascii="Arial" w:hAnsi="Arial" w:cs="Arial"/>
          <w:b/>
          <w:sz w:val="22"/>
          <w:szCs w:val="22"/>
        </w:rPr>
      </w:pPr>
    </w:p>
    <w:p w14:paraId="2BF4BF15" w14:textId="77777777" w:rsidR="00E1675C" w:rsidRPr="00730430" w:rsidRDefault="00E1675C" w:rsidP="005B4190">
      <w:pPr>
        <w:tabs>
          <w:tab w:val="left" w:pos="1095"/>
        </w:tabs>
        <w:spacing w:line="240" w:lineRule="auto"/>
        <w:jc w:val="center"/>
        <w:rPr>
          <w:rFonts w:ascii="Arial" w:hAnsi="Arial" w:cs="Arial"/>
          <w:b/>
          <w:sz w:val="22"/>
          <w:szCs w:val="22"/>
        </w:rPr>
      </w:pPr>
    </w:p>
    <w:p w14:paraId="67534E29" w14:textId="77777777" w:rsidR="00E1675C" w:rsidRPr="00730430" w:rsidRDefault="00E1675C" w:rsidP="005B4190">
      <w:pPr>
        <w:tabs>
          <w:tab w:val="left" w:pos="1095"/>
        </w:tabs>
        <w:spacing w:line="240" w:lineRule="auto"/>
        <w:jc w:val="center"/>
        <w:rPr>
          <w:rFonts w:ascii="Arial" w:hAnsi="Arial" w:cs="Arial"/>
          <w:b/>
          <w:sz w:val="22"/>
          <w:szCs w:val="22"/>
        </w:rPr>
      </w:pPr>
    </w:p>
    <w:p w14:paraId="01EA6A51" w14:textId="77777777" w:rsidR="00E1675C" w:rsidRPr="00730430" w:rsidRDefault="00E1675C" w:rsidP="005B4190">
      <w:pPr>
        <w:tabs>
          <w:tab w:val="left" w:pos="1095"/>
        </w:tabs>
        <w:spacing w:line="240" w:lineRule="auto"/>
        <w:jc w:val="center"/>
        <w:rPr>
          <w:rFonts w:ascii="Arial" w:hAnsi="Arial" w:cs="Arial"/>
          <w:b/>
          <w:sz w:val="22"/>
          <w:szCs w:val="22"/>
        </w:rPr>
      </w:pPr>
    </w:p>
    <w:p w14:paraId="18FD5CBA" w14:textId="77777777" w:rsidR="00E1675C" w:rsidRPr="00730430" w:rsidRDefault="00E1675C" w:rsidP="005B4190">
      <w:pPr>
        <w:tabs>
          <w:tab w:val="left" w:pos="1095"/>
        </w:tabs>
        <w:spacing w:line="240" w:lineRule="auto"/>
        <w:jc w:val="center"/>
        <w:rPr>
          <w:rFonts w:ascii="Arial" w:hAnsi="Arial" w:cs="Arial"/>
          <w:b/>
          <w:sz w:val="22"/>
          <w:szCs w:val="22"/>
        </w:rPr>
      </w:pPr>
    </w:p>
    <w:p w14:paraId="4ADB00FF" w14:textId="77777777" w:rsidR="00E1675C" w:rsidRPr="00730430" w:rsidRDefault="00E1675C" w:rsidP="005B4190">
      <w:pPr>
        <w:tabs>
          <w:tab w:val="left" w:pos="1095"/>
        </w:tabs>
        <w:spacing w:line="240" w:lineRule="auto"/>
        <w:jc w:val="center"/>
        <w:rPr>
          <w:rFonts w:ascii="Arial" w:hAnsi="Arial" w:cs="Arial"/>
          <w:b/>
          <w:sz w:val="22"/>
          <w:szCs w:val="22"/>
        </w:rPr>
      </w:pPr>
    </w:p>
    <w:p w14:paraId="4EC214AC" w14:textId="77777777" w:rsidR="00E1675C" w:rsidRPr="00730430" w:rsidRDefault="00E1675C" w:rsidP="005B4190">
      <w:pPr>
        <w:tabs>
          <w:tab w:val="left" w:pos="1095"/>
        </w:tabs>
        <w:spacing w:line="240" w:lineRule="auto"/>
        <w:jc w:val="center"/>
        <w:rPr>
          <w:rFonts w:ascii="Arial" w:hAnsi="Arial" w:cs="Arial"/>
          <w:b/>
          <w:sz w:val="22"/>
          <w:szCs w:val="22"/>
        </w:rPr>
      </w:pPr>
    </w:p>
    <w:p w14:paraId="069FE2C1" w14:textId="77777777" w:rsidR="00E1675C" w:rsidRPr="00730430" w:rsidRDefault="00E1675C" w:rsidP="005B4190">
      <w:pPr>
        <w:tabs>
          <w:tab w:val="left" w:pos="1095"/>
        </w:tabs>
        <w:spacing w:line="240" w:lineRule="auto"/>
        <w:jc w:val="center"/>
        <w:rPr>
          <w:rFonts w:ascii="Arial" w:hAnsi="Arial" w:cs="Arial"/>
          <w:b/>
          <w:sz w:val="22"/>
          <w:szCs w:val="22"/>
        </w:rPr>
      </w:pPr>
    </w:p>
    <w:p w14:paraId="3ECAB88A" w14:textId="77777777" w:rsidR="00E1675C" w:rsidRPr="00730430" w:rsidRDefault="00E1675C" w:rsidP="005B4190">
      <w:pPr>
        <w:tabs>
          <w:tab w:val="left" w:pos="1095"/>
        </w:tabs>
        <w:spacing w:line="240" w:lineRule="auto"/>
        <w:jc w:val="center"/>
        <w:rPr>
          <w:rFonts w:ascii="Arial" w:hAnsi="Arial" w:cs="Arial"/>
          <w:b/>
          <w:sz w:val="22"/>
          <w:szCs w:val="22"/>
        </w:rPr>
      </w:pPr>
    </w:p>
    <w:p w14:paraId="02166958" w14:textId="77777777" w:rsidR="00E1675C" w:rsidRPr="00730430" w:rsidRDefault="00E1675C" w:rsidP="005B4190">
      <w:pPr>
        <w:tabs>
          <w:tab w:val="left" w:pos="1095"/>
        </w:tabs>
        <w:spacing w:line="240" w:lineRule="auto"/>
        <w:jc w:val="center"/>
        <w:rPr>
          <w:rFonts w:ascii="Arial" w:hAnsi="Arial" w:cs="Arial"/>
          <w:b/>
          <w:sz w:val="22"/>
          <w:szCs w:val="22"/>
        </w:rPr>
      </w:pPr>
    </w:p>
    <w:p w14:paraId="7EA0E791" w14:textId="77777777" w:rsidR="00E1675C" w:rsidRPr="00730430" w:rsidRDefault="00E1675C" w:rsidP="005B4190">
      <w:pPr>
        <w:tabs>
          <w:tab w:val="left" w:pos="1095"/>
        </w:tabs>
        <w:spacing w:line="240" w:lineRule="auto"/>
        <w:jc w:val="center"/>
        <w:rPr>
          <w:rFonts w:ascii="Arial" w:hAnsi="Arial" w:cs="Arial"/>
          <w:b/>
          <w:sz w:val="22"/>
          <w:szCs w:val="22"/>
        </w:rPr>
      </w:pPr>
    </w:p>
    <w:p w14:paraId="014FD135" w14:textId="77777777" w:rsidR="00A92273" w:rsidRPr="00730430" w:rsidRDefault="00A92273" w:rsidP="005B4190">
      <w:pPr>
        <w:tabs>
          <w:tab w:val="left" w:pos="1095"/>
        </w:tabs>
        <w:spacing w:line="240" w:lineRule="auto"/>
        <w:jc w:val="center"/>
        <w:rPr>
          <w:rFonts w:ascii="Arial" w:hAnsi="Arial" w:cs="Arial"/>
          <w:b/>
          <w:sz w:val="22"/>
          <w:szCs w:val="22"/>
        </w:rPr>
      </w:pPr>
    </w:p>
    <w:p w14:paraId="6E19952D" w14:textId="77777777" w:rsidR="00A92273" w:rsidRPr="00730430" w:rsidRDefault="00A92273" w:rsidP="005B4190">
      <w:pPr>
        <w:tabs>
          <w:tab w:val="left" w:pos="1095"/>
        </w:tabs>
        <w:spacing w:line="240" w:lineRule="auto"/>
        <w:jc w:val="center"/>
        <w:rPr>
          <w:rFonts w:ascii="Arial" w:hAnsi="Arial" w:cs="Arial"/>
          <w:b/>
          <w:sz w:val="22"/>
          <w:szCs w:val="22"/>
        </w:rPr>
      </w:pPr>
    </w:p>
    <w:p w14:paraId="755E405D" w14:textId="77777777" w:rsidR="00730430" w:rsidRDefault="00E1675C" w:rsidP="005B4190">
      <w:pPr>
        <w:pStyle w:val="m7007535857312232601gmail-msolistparagraph"/>
        <w:shd w:val="clear" w:color="auto" w:fill="FFFFFF"/>
        <w:spacing w:before="0" w:beforeAutospacing="0" w:after="0" w:afterAutospacing="0"/>
        <w:jc w:val="center"/>
        <w:rPr>
          <w:rFonts w:ascii="Arial" w:hAnsi="Arial" w:cs="Arial"/>
          <w:b/>
          <w:sz w:val="22"/>
          <w:szCs w:val="22"/>
        </w:rPr>
      </w:pPr>
      <w:r w:rsidRPr="00730430">
        <w:rPr>
          <w:rFonts w:ascii="Arial" w:hAnsi="Arial" w:cs="Arial"/>
          <w:b/>
          <w:sz w:val="22"/>
          <w:szCs w:val="22"/>
        </w:rPr>
        <w:t>BOGOTÁ D.C.</w:t>
      </w:r>
    </w:p>
    <w:p w14:paraId="6EB03A59" w14:textId="77777777" w:rsidR="00730430" w:rsidRDefault="00730430" w:rsidP="005B4190">
      <w:pPr>
        <w:widowControl/>
        <w:suppressAutoHyphens w:val="0"/>
        <w:spacing w:line="240" w:lineRule="auto"/>
        <w:rPr>
          <w:rFonts w:ascii="Arial" w:eastAsia="Times New Roman" w:hAnsi="Arial" w:cs="Arial"/>
          <w:b/>
          <w:color w:val="auto"/>
          <w:sz w:val="22"/>
          <w:szCs w:val="22"/>
          <w:lang w:eastAsia="es-ES"/>
        </w:rPr>
      </w:pPr>
      <w:r>
        <w:rPr>
          <w:rFonts w:ascii="Arial" w:hAnsi="Arial" w:cs="Arial"/>
          <w:b/>
          <w:sz w:val="22"/>
          <w:szCs w:val="22"/>
        </w:rPr>
        <w:br w:type="page"/>
      </w:r>
    </w:p>
    <w:p w14:paraId="0838EEB8" w14:textId="77777777" w:rsidR="005A34AF" w:rsidRDefault="005A34AF" w:rsidP="005B4190">
      <w:pPr>
        <w:pStyle w:val="m7007535857312232601gmail-msolistparagraph"/>
        <w:shd w:val="clear" w:color="auto" w:fill="FFFFFF"/>
        <w:spacing w:before="0" w:beforeAutospacing="0" w:after="0" w:afterAutospacing="0"/>
        <w:jc w:val="center"/>
        <w:rPr>
          <w:rFonts w:ascii="Arial" w:hAnsi="Arial" w:cs="Arial"/>
          <w:b/>
          <w:bCs/>
          <w:sz w:val="28"/>
          <w:szCs w:val="44"/>
        </w:rPr>
      </w:pPr>
    </w:p>
    <w:p w14:paraId="4D47F2D2" w14:textId="3BD8292B" w:rsidR="000F5469" w:rsidRPr="00023B74" w:rsidRDefault="00023B74" w:rsidP="005B4190">
      <w:pPr>
        <w:pStyle w:val="m7007535857312232601gmail-msolistparagraph"/>
        <w:shd w:val="clear" w:color="auto" w:fill="FFFFFF"/>
        <w:spacing w:before="0" w:beforeAutospacing="0" w:after="0" w:afterAutospacing="0"/>
        <w:jc w:val="center"/>
        <w:rPr>
          <w:rFonts w:ascii="Arial" w:hAnsi="Arial" w:cs="Arial"/>
          <w:sz w:val="16"/>
        </w:rPr>
      </w:pPr>
      <w:r>
        <w:rPr>
          <w:rFonts w:ascii="Arial" w:hAnsi="Arial" w:cs="Arial"/>
          <w:b/>
          <w:bCs/>
          <w:sz w:val="28"/>
          <w:szCs w:val="44"/>
        </w:rPr>
        <w:t>Introducción</w:t>
      </w:r>
    </w:p>
    <w:p w14:paraId="56ED0C45" w14:textId="77777777" w:rsidR="00782980" w:rsidRDefault="00782980" w:rsidP="005B4190">
      <w:pPr>
        <w:tabs>
          <w:tab w:val="left" w:pos="1095"/>
        </w:tabs>
        <w:spacing w:line="240" w:lineRule="auto"/>
        <w:jc w:val="both"/>
        <w:rPr>
          <w:rFonts w:ascii="Arial" w:hAnsi="Arial" w:cs="Arial"/>
          <w:sz w:val="22"/>
          <w:szCs w:val="20"/>
        </w:rPr>
      </w:pPr>
    </w:p>
    <w:p w14:paraId="296B8CEA" w14:textId="77777777" w:rsidR="00C8004E" w:rsidRDefault="00C8004E" w:rsidP="005B4190">
      <w:pPr>
        <w:tabs>
          <w:tab w:val="left" w:pos="1095"/>
        </w:tabs>
        <w:spacing w:line="240" w:lineRule="auto"/>
        <w:jc w:val="both"/>
        <w:rPr>
          <w:rFonts w:ascii="Arial" w:hAnsi="Arial" w:cs="Arial"/>
          <w:sz w:val="22"/>
          <w:szCs w:val="20"/>
        </w:rPr>
      </w:pPr>
    </w:p>
    <w:p w14:paraId="0E9353A8" w14:textId="74236911" w:rsidR="00C8004E" w:rsidRDefault="005A34AF" w:rsidP="005B4190">
      <w:pPr>
        <w:tabs>
          <w:tab w:val="left" w:pos="1095"/>
        </w:tabs>
        <w:spacing w:line="240" w:lineRule="auto"/>
        <w:jc w:val="both"/>
        <w:rPr>
          <w:rFonts w:ascii="Arial" w:hAnsi="Arial" w:cs="Arial"/>
          <w:sz w:val="22"/>
          <w:szCs w:val="20"/>
        </w:rPr>
      </w:pPr>
      <w:r>
        <w:rPr>
          <w:rFonts w:ascii="Arial" w:hAnsi="Arial" w:cs="Arial"/>
          <w:sz w:val="22"/>
          <w:szCs w:val="20"/>
        </w:rPr>
        <w:t xml:space="preserve">Al inicio de la vigencia 2019 se llevaron a cabo </w:t>
      </w:r>
      <w:r w:rsidR="00975646" w:rsidRPr="00730430">
        <w:rPr>
          <w:rFonts w:ascii="Arial" w:hAnsi="Arial" w:cs="Arial"/>
          <w:sz w:val="22"/>
          <w:szCs w:val="20"/>
        </w:rPr>
        <w:t>reuniones con los equipos de trabajo</w:t>
      </w:r>
      <w:r w:rsidR="003B7864">
        <w:rPr>
          <w:rFonts w:ascii="Arial" w:hAnsi="Arial" w:cs="Arial"/>
          <w:sz w:val="22"/>
          <w:szCs w:val="20"/>
        </w:rPr>
        <w:t xml:space="preserve"> </w:t>
      </w:r>
      <w:r w:rsidR="00C8004E">
        <w:rPr>
          <w:rFonts w:ascii="Arial" w:hAnsi="Arial" w:cs="Arial"/>
          <w:sz w:val="22"/>
          <w:szCs w:val="20"/>
        </w:rPr>
        <w:t>de cada proceso</w:t>
      </w:r>
      <w:r>
        <w:rPr>
          <w:rFonts w:ascii="Arial" w:hAnsi="Arial" w:cs="Arial"/>
          <w:sz w:val="22"/>
          <w:szCs w:val="20"/>
        </w:rPr>
        <w:t xml:space="preserve"> en las que </w:t>
      </w:r>
      <w:r w:rsidR="00975646" w:rsidRPr="00730430">
        <w:rPr>
          <w:rFonts w:ascii="Arial" w:hAnsi="Arial" w:cs="Arial"/>
          <w:sz w:val="22"/>
          <w:szCs w:val="20"/>
        </w:rPr>
        <w:t xml:space="preserve">se </w:t>
      </w:r>
      <w:r w:rsidR="00975646">
        <w:rPr>
          <w:rFonts w:ascii="Arial" w:hAnsi="Arial" w:cs="Arial"/>
          <w:sz w:val="22"/>
          <w:szCs w:val="20"/>
        </w:rPr>
        <w:t xml:space="preserve">revisaron </w:t>
      </w:r>
      <w:r w:rsidR="00C8004E">
        <w:rPr>
          <w:rFonts w:ascii="Arial" w:hAnsi="Arial" w:cs="Arial"/>
          <w:sz w:val="22"/>
          <w:szCs w:val="20"/>
        </w:rPr>
        <w:t>y documentaron</w:t>
      </w:r>
      <w:r w:rsidR="0015181E">
        <w:rPr>
          <w:rFonts w:ascii="Arial" w:hAnsi="Arial" w:cs="Arial"/>
          <w:sz w:val="22"/>
          <w:szCs w:val="20"/>
        </w:rPr>
        <w:t xml:space="preserve"> los riesgos de c</w:t>
      </w:r>
      <w:r w:rsidR="00975646" w:rsidRPr="00730430">
        <w:rPr>
          <w:rFonts w:ascii="Arial" w:hAnsi="Arial" w:cs="Arial"/>
          <w:sz w:val="22"/>
          <w:szCs w:val="20"/>
        </w:rPr>
        <w:t xml:space="preserve">orrupción </w:t>
      </w:r>
      <w:r w:rsidR="0015181E">
        <w:rPr>
          <w:rFonts w:ascii="Arial" w:hAnsi="Arial" w:cs="Arial"/>
          <w:sz w:val="22"/>
          <w:szCs w:val="20"/>
        </w:rPr>
        <w:t xml:space="preserve">y gestión </w:t>
      </w:r>
      <w:r w:rsidR="00975646" w:rsidRPr="00730430">
        <w:rPr>
          <w:rFonts w:ascii="Arial" w:hAnsi="Arial" w:cs="Arial"/>
          <w:sz w:val="22"/>
          <w:szCs w:val="20"/>
        </w:rPr>
        <w:t>del Instituto Distrital de Patrimonio Cultural</w:t>
      </w:r>
      <w:r w:rsidR="0015181E">
        <w:rPr>
          <w:rFonts w:ascii="Arial" w:hAnsi="Arial" w:cs="Arial"/>
          <w:sz w:val="22"/>
          <w:szCs w:val="20"/>
        </w:rPr>
        <w:t xml:space="preserve"> IDPC</w:t>
      </w:r>
      <w:r>
        <w:rPr>
          <w:rFonts w:ascii="Arial" w:hAnsi="Arial" w:cs="Arial"/>
          <w:sz w:val="22"/>
          <w:szCs w:val="20"/>
        </w:rPr>
        <w:t>,  c</w:t>
      </w:r>
      <w:r w:rsidR="00C8004E">
        <w:rPr>
          <w:rFonts w:ascii="Arial" w:hAnsi="Arial" w:cs="Arial"/>
          <w:sz w:val="22"/>
          <w:szCs w:val="20"/>
        </w:rPr>
        <w:t xml:space="preserve">omo resultado de </w:t>
      </w:r>
      <w:r w:rsidR="003B7864">
        <w:rPr>
          <w:rFonts w:ascii="Arial" w:hAnsi="Arial" w:cs="Arial"/>
          <w:sz w:val="22"/>
          <w:szCs w:val="20"/>
        </w:rPr>
        <w:t>este ejercicio,</w:t>
      </w:r>
      <w:r w:rsidR="0015181E">
        <w:rPr>
          <w:rFonts w:ascii="Arial" w:hAnsi="Arial" w:cs="Arial"/>
          <w:sz w:val="22"/>
          <w:szCs w:val="20"/>
        </w:rPr>
        <w:t xml:space="preserve"> </w:t>
      </w:r>
      <w:r w:rsidR="00C8004E">
        <w:rPr>
          <w:rFonts w:ascii="Arial" w:hAnsi="Arial" w:cs="Arial"/>
          <w:sz w:val="22"/>
          <w:szCs w:val="20"/>
        </w:rPr>
        <w:t xml:space="preserve">se definieron </w:t>
      </w:r>
      <w:r w:rsidR="003B7864">
        <w:rPr>
          <w:rFonts w:ascii="Arial" w:hAnsi="Arial" w:cs="Arial"/>
          <w:sz w:val="22"/>
          <w:szCs w:val="20"/>
        </w:rPr>
        <w:t>nueve (</w:t>
      </w:r>
      <w:r w:rsidR="00C86CDA" w:rsidRPr="00C86CDA">
        <w:rPr>
          <w:rFonts w:ascii="Arial" w:hAnsi="Arial" w:cs="Arial"/>
          <w:sz w:val="22"/>
          <w:szCs w:val="20"/>
        </w:rPr>
        <w:t>9</w:t>
      </w:r>
      <w:r w:rsidR="003B7864">
        <w:rPr>
          <w:rFonts w:ascii="Arial" w:hAnsi="Arial" w:cs="Arial"/>
          <w:sz w:val="22"/>
          <w:szCs w:val="20"/>
        </w:rPr>
        <w:t>)</w:t>
      </w:r>
      <w:r w:rsidR="00C86CDA" w:rsidRPr="00C86CDA">
        <w:rPr>
          <w:rFonts w:ascii="Arial" w:hAnsi="Arial" w:cs="Arial"/>
          <w:sz w:val="22"/>
          <w:szCs w:val="20"/>
        </w:rPr>
        <w:t xml:space="preserve"> riesgos de corrupción y </w:t>
      </w:r>
      <w:r w:rsidR="003B7864">
        <w:rPr>
          <w:rFonts w:ascii="Arial" w:hAnsi="Arial" w:cs="Arial"/>
          <w:sz w:val="22"/>
          <w:szCs w:val="20"/>
        </w:rPr>
        <w:t>treinta y s</w:t>
      </w:r>
      <w:r w:rsidR="008E62F3">
        <w:rPr>
          <w:rFonts w:ascii="Arial" w:hAnsi="Arial" w:cs="Arial"/>
          <w:sz w:val="22"/>
          <w:szCs w:val="20"/>
        </w:rPr>
        <w:t>ie</w:t>
      </w:r>
      <w:r w:rsidR="003B7864">
        <w:rPr>
          <w:rFonts w:ascii="Arial" w:hAnsi="Arial" w:cs="Arial"/>
          <w:sz w:val="22"/>
          <w:szCs w:val="20"/>
        </w:rPr>
        <w:t>te (</w:t>
      </w:r>
      <w:r w:rsidR="00C86CDA" w:rsidRPr="00C86CDA">
        <w:rPr>
          <w:rFonts w:ascii="Arial" w:hAnsi="Arial" w:cs="Arial"/>
          <w:sz w:val="22"/>
          <w:szCs w:val="20"/>
        </w:rPr>
        <w:t>37</w:t>
      </w:r>
      <w:r w:rsidR="003B7864">
        <w:rPr>
          <w:rFonts w:ascii="Arial" w:hAnsi="Arial" w:cs="Arial"/>
          <w:sz w:val="22"/>
          <w:szCs w:val="20"/>
        </w:rPr>
        <w:t>)</w:t>
      </w:r>
      <w:r w:rsidR="00C86CDA" w:rsidRPr="00C86CDA">
        <w:rPr>
          <w:rFonts w:ascii="Arial" w:hAnsi="Arial" w:cs="Arial"/>
          <w:sz w:val="22"/>
          <w:szCs w:val="20"/>
        </w:rPr>
        <w:t xml:space="preserve"> riesgos de gestión para un tot</w:t>
      </w:r>
      <w:r w:rsidR="0015181E">
        <w:rPr>
          <w:rFonts w:ascii="Arial" w:hAnsi="Arial" w:cs="Arial"/>
          <w:sz w:val="22"/>
          <w:szCs w:val="20"/>
        </w:rPr>
        <w:t xml:space="preserve">al de </w:t>
      </w:r>
      <w:r w:rsidR="003B7864">
        <w:rPr>
          <w:rFonts w:ascii="Arial" w:hAnsi="Arial" w:cs="Arial"/>
          <w:sz w:val="22"/>
          <w:szCs w:val="20"/>
        </w:rPr>
        <w:t>cuarenta y seis (</w:t>
      </w:r>
      <w:r w:rsidR="0015181E">
        <w:rPr>
          <w:rFonts w:ascii="Arial" w:hAnsi="Arial" w:cs="Arial"/>
          <w:sz w:val="22"/>
          <w:szCs w:val="20"/>
        </w:rPr>
        <w:t>46</w:t>
      </w:r>
      <w:r w:rsidR="003B7864">
        <w:rPr>
          <w:rFonts w:ascii="Arial" w:hAnsi="Arial" w:cs="Arial"/>
          <w:sz w:val="22"/>
          <w:szCs w:val="20"/>
        </w:rPr>
        <w:t>)</w:t>
      </w:r>
      <w:r w:rsidR="0015181E">
        <w:rPr>
          <w:rFonts w:ascii="Arial" w:hAnsi="Arial" w:cs="Arial"/>
          <w:sz w:val="22"/>
          <w:szCs w:val="20"/>
        </w:rPr>
        <w:t xml:space="preserve"> riesgos, los cuales </w:t>
      </w:r>
      <w:r w:rsidR="003B7864">
        <w:rPr>
          <w:rFonts w:ascii="Arial" w:hAnsi="Arial" w:cs="Arial"/>
          <w:sz w:val="22"/>
          <w:szCs w:val="20"/>
        </w:rPr>
        <w:t xml:space="preserve">se </w:t>
      </w:r>
      <w:r w:rsidR="0015181E">
        <w:rPr>
          <w:rFonts w:ascii="Arial" w:hAnsi="Arial" w:cs="Arial"/>
          <w:sz w:val="22"/>
          <w:szCs w:val="20"/>
        </w:rPr>
        <w:t>analiza</w:t>
      </w:r>
      <w:r w:rsidR="003B7864">
        <w:rPr>
          <w:rFonts w:ascii="Arial" w:hAnsi="Arial" w:cs="Arial"/>
          <w:sz w:val="22"/>
          <w:szCs w:val="20"/>
        </w:rPr>
        <w:t>ran</w:t>
      </w:r>
      <w:r w:rsidR="0015181E">
        <w:rPr>
          <w:rFonts w:ascii="Arial" w:hAnsi="Arial" w:cs="Arial"/>
          <w:sz w:val="22"/>
          <w:szCs w:val="20"/>
        </w:rPr>
        <w:t xml:space="preserve"> en </w:t>
      </w:r>
      <w:r w:rsidR="003B7864">
        <w:rPr>
          <w:rFonts w:ascii="Arial" w:hAnsi="Arial" w:cs="Arial"/>
          <w:sz w:val="22"/>
          <w:szCs w:val="20"/>
        </w:rPr>
        <w:t>los informes de balance que realiza el equipo del Sistema Integrado de Gestión a cargo de la Oficina Asesora de Planeación</w:t>
      </w:r>
      <w:r w:rsidR="005549E6">
        <w:rPr>
          <w:rFonts w:ascii="Arial" w:hAnsi="Arial" w:cs="Arial"/>
          <w:sz w:val="22"/>
          <w:szCs w:val="20"/>
        </w:rPr>
        <w:t xml:space="preserve"> ejerciendo así su rol de segunda línea de defensa de acuerdo al Modelo Integrad</w:t>
      </w:r>
      <w:r>
        <w:rPr>
          <w:rFonts w:ascii="Arial" w:hAnsi="Arial" w:cs="Arial"/>
          <w:sz w:val="22"/>
          <w:szCs w:val="20"/>
        </w:rPr>
        <w:t xml:space="preserve">o de Planeación y Gestión MIPG. </w:t>
      </w:r>
      <w:r w:rsidR="003B7864">
        <w:rPr>
          <w:rFonts w:ascii="Arial" w:hAnsi="Arial" w:cs="Arial"/>
          <w:sz w:val="22"/>
          <w:szCs w:val="20"/>
        </w:rPr>
        <w:t>En el</w:t>
      </w:r>
      <w:r w:rsidR="00C8004E">
        <w:rPr>
          <w:rFonts w:ascii="Arial" w:hAnsi="Arial" w:cs="Arial"/>
          <w:sz w:val="22"/>
          <w:szCs w:val="20"/>
        </w:rPr>
        <w:t xml:space="preserve"> transcurso del año se han realizado dos informes de balance a la gestión de los riesgos los cuales se pueden consultar en el micro-sitio de Transparencia y Acceso a la Información. </w:t>
      </w:r>
    </w:p>
    <w:p w14:paraId="3C171738" w14:textId="77777777" w:rsidR="00C8004E" w:rsidRDefault="00C8004E" w:rsidP="005B4190">
      <w:pPr>
        <w:tabs>
          <w:tab w:val="left" w:pos="1095"/>
        </w:tabs>
        <w:spacing w:line="240" w:lineRule="auto"/>
        <w:jc w:val="both"/>
        <w:rPr>
          <w:rFonts w:ascii="Arial" w:hAnsi="Arial" w:cs="Arial"/>
          <w:sz w:val="22"/>
          <w:szCs w:val="20"/>
        </w:rPr>
      </w:pPr>
    </w:p>
    <w:p w14:paraId="2ECB65A9" w14:textId="5E3F99FB" w:rsidR="005A34AF" w:rsidRDefault="005A34AF" w:rsidP="005A34AF">
      <w:pPr>
        <w:tabs>
          <w:tab w:val="left" w:pos="1095"/>
        </w:tabs>
        <w:spacing w:line="240" w:lineRule="auto"/>
        <w:jc w:val="both"/>
        <w:rPr>
          <w:rFonts w:ascii="Arial" w:hAnsi="Arial" w:cs="Arial"/>
          <w:sz w:val="22"/>
          <w:szCs w:val="20"/>
        </w:rPr>
      </w:pPr>
      <w:r>
        <w:rPr>
          <w:rFonts w:ascii="Arial" w:hAnsi="Arial" w:cs="Arial"/>
          <w:sz w:val="22"/>
          <w:szCs w:val="20"/>
        </w:rPr>
        <w:t xml:space="preserve">Es importante </w:t>
      </w:r>
      <w:r w:rsidRPr="005A34AF">
        <w:rPr>
          <w:rFonts w:ascii="Arial" w:hAnsi="Arial" w:cs="Arial"/>
          <w:sz w:val="22"/>
          <w:szCs w:val="20"/>
        </w:rPr>
        <w:t>monitorear permanentemente la gestión del riesgo y la efectividad de los controles establecidos</w:t>
      </w:r>
      <w:r>
        <w:rPr>
          <w:rFonts w:ascii="Arial" w:hAnsi="Arial" w:cs="Arial"/>
          <w:sz w:val="22"/>
          <w:szCs w:val="20"/>
        </w:rPr>
        <w:t xml:space="preserve">, con el fin de llevar a cabo acciones oportunas que garanticen el logro de los objetivos planteados y evitar la materialización de los riesgos identificados. </w:t>
      </w:r>
    </w:p>
    <w:p w14:paraId="608A27A5" w14:textId="77777777" w:rsidR="005A34AF" w:rsidRDefault="005A34AF" w:rsidP="005A34AF">
      <w:pPr>
        <w:tabs>
          <w:tab w:val="left" w:pos="1095"/>
        </w:tabs>
        <w:spacing w:line="240" w:lineRule="auto"/>
        <w:jc w:val="both"/>
        <w:rPr>
          <w:rFonts w:ascii="Arial" w:hAnsi="Arial" w:cs="Arial"/>
          <w:sz w:val="22"/>
          <w:szCs w:val="20"/>
        </w:rPr>
      </w:pPr>
    </w:p>
    <w:p w14:paraId="19715EE3" w14:textId="4C07C129" w:rsidR="005A34AF" w:rsidRDefault="005A34AF" w:rsidP="005A34AF">
      <w:pPr>
        <w:tabs>
          <w:tab w:val="left" w:pos="1095"/>
        </w:tabs>
        <w:spacing w:line="240" w:lineRule="auto"/>
        <w:jc w:val="both"/>
        <w:rPr>
          <w:rFonts w:ascii="Arial" w:hAnsi="Arial" w:cs="Arial"/>
          <w:sz w:val="22"/>
          <w:szCs w:val="20"/>
        </w:rPr>
      </w:pPr>
      <w:r>
        <w:rPr>
          <w:rFonts w:ascii="Arial" w:hAnsi="Arial" w:cs="Arial"/>
          <w:sz w:val="22"/>
          <w:szCs w:val="20"/>
        </w:rPr>
        <w:t>En el presente informe se dará a conocer el estado, resultado y c</w:t>
      </w:r>
      <w:r w:rsidRPr="003B7864">
        <w:rPr>
          <w:rFonts w:ascii="Arial" w:hAnsi="Arial" w:cs="Arial"/>
          <w:sz w:val="22"/>
          <w:szCs w:val="20"/>
        </w:rPr>
        <w:t>onclusiones</w:t>
      </w:r>
      <w:r>
        <w:rPr>
          <w:rFonts w:ascii="Arial" w:hAnsi="Arial" w:cs="Arial"/>
          <w:sz w:val="22"/>
          <w:szCs w:val="20"/>
        </w:rPr>
        <w:t xml:space="preserve"> de la gestión de riesgos en el IDPC. </w:t>
      </w:r>
    </w:p>
    <w:p w14:paraId="0D82A7F1" w14:textId="6ED750F6" w:rsidR="005A34AF" w:rsidRDefault="005A34AF" w:rsidP="005B4190">
      <w:pPr>
        <w:tabs>
          <w:tab w:val="left" w:pos="1095"/>
        </w:tabs>
        <w:spacing w:line="240" w:lineRule="auto"/>
        <w:jc w:val="both"/>
        <w:rPr>
          <w:rFonts w:ascii="Arial" w:hAnsi="Arial" w:cs="Arial"/>
          <w:sz w:val="22"/>
          <w:szCs w:val="20"/>
        </w:rPr>
      </w:pPr>
    </w:p>
    <w:p w14:paraId="5CE290A4" w14:textId="77777777" w:rsidR="00C8004E" w:rsidRDefault="00C8004E" w:rsidP="005B4190">
      <w:pPr>
        <w:tabs>
          <w:tab w:val="left" w:pos="1095"/>
        </w:tabs>
        <w:spacing w:line="240" w:lineRule="auto"/>
        <w:jc w:val="both"/>
        <w:rPr>
          <w:rFonts w:ascii="Arial" w:hAnsi="Arial" w:cs="Arial"/>
          <w:sz w:val="20"/>
          <w:szCs w:val="20"/>
        </w:rPr>
      </w:pPr>
    </w:p>
    <w:p w14:paraId="490324C0" w14:textId="77777777" w:rsidR="005A34AF" w:rsidRDefault="005A34AF" w:rsidP="005B4190">
      <w:pPr>
        <w:tabs>
          <w:tab w:val="left" w:pos="1095"/>
        </w:tabs>
        <w:spacing w:line="240" w:lineRule="auto"/>
        <w:jc w:val="both"/>
        <w:rPr>
          <w:rFonts w:ascii="Arial" w:hAnsi="Arial" w:cs="Arial"/>
          <w:sz w:val="20"/>
          <w:szCs w:val="20"/>
        </w:rPr>
      </w:pPr>
    </w:p>
    <w:p w14:paraId="18A5A92D" w14:textId="77777777" w:rsidR="005A34AF" w:rsidRDefault="005A34AF" w:rsidP="005B4190">
      <w:pPr>
        <w:tabs>
          <w:tab w:val="left" w:pos="1095"/>
        </w:tabs>
        <w:spacing w:line="240" w:lineRule="auto"/>
        <w:jc w:val="both"/>
        <w:rPr>
          <w:rFonts w:ascii="Arial" w:hAnsi="Arial" w:cs="Arial"/>
          <w:sz w:val="20"/>
          <w:szCs w:val="20"/>
        </w:rPr>
      </w:pPr>
    </w:p>
    <w:p w14:paraId="2657EB81" w14:textId="77777777" w:rsidR="005A34AF" w:rsidRDefault="005A34AF" w:rsidP="005B4190">
      <w:pPr>
        <w:tabs>
          <w:tab w:val="left" w:pos="1095"/>
        </w:tabs>
        <w:spacing w:line="240" w:lineRule="auto"/>
        <w:jc w:val="both"/>
        <w:rPr>
          <w:rFonts w:ascii="Arial" w:hAnsi="Arial" w:cs="Arial"/>
          <w:sz w:val="20"/>
          <w:szCs w:val="20"/>
        </w:rPr>
      </w:pPr>
    </w:p>
    <w:p w14:paraId="15F28AA2" w14:textId="77777777" w:rsidR="005A34AF" w:rsidRDefault="005A34AF" w:rsidP="005B4190">
      <w:pPr>
        <w:tabs>
          <w:tab w:val="left" w:pos="1095"/>
        </w:tabs>
        <w:spacing w:line="240" w:lineRule="auto"/>
        <w:jc w:val="both"/>
        <w:rPr>
          <w:rFonts w:ascii="Arial" w:hAnsi="Arial" w:cs="Arial"/>
          <w:sz w:val="20"/>
          <w:szCs w:val="20"/>
        </w:rPr>
      </w:pPr>
    </w:p>
    <w:p w14:paraId="14BD295E" w14:textId="77777777" w:rsidR="005A34AF" w:rsidRDefault="005A34AF" w:rsidP="005B4190">
      <w:pPr>
        <w:tabs>
          <w:tab w:val="left" w:pos="1095"/>
        </w:tabs>
        <w:spacing w:line="240" w:lineRule="auto"/>
        <w:jc w:val="both"/>
        <w:rPr>
          <w:rFonts w:ascii="Arial" w:hAnsi="Arial" w:cs="Arial"/>
          <w:sz w:val="20"/>
          <w:szCs w:val="20"/>
        </w:rPr>
      </w:pPr>
    </w:p>
    <w:p w14:paraId="37E8BDB0" w14:textId="77777777" w:rsidR="005A34AF" w:rsidRDefault="005A34AF" w:rsidP="005B4190">
      <w:pPr>
        <w:tabs>
          <w:tab w:val="left" w:pos="1095"/>
        </w:tabs>
        <w:spacing w:line="240" w:lineRule="auto"/>
        <w:jc w:val="both"/>
        <w:rPr>
          <w:rFonts w:ascii="Arial" w:hAnsi="Arial" w:cs="Arial"/>
          <w:sz w:val="20"/>
          <w:szCs w:val="20"/>
        </w:rPr>
      </w:pPr>
    </w:p>
    <w:p w14:paraId="76C1C7CD" w14:textId="77777777" w:rsidR="005A34AF" w:rsidRDefault="005A34AF" w:rsidP="005B4190">
      <w:pPr>
        <w:tabs>
          <w:tab w:val="left" w:pos="1095"/>
        </w:tabs>
        <w:spacing w:line="240" w:lineRule="auto"/>
        <w:jc w:val="both"/>
        <w:rPr>
          <w:rFonts w:ascii="Arial" w:hAnsi="Arial" w:cs="Arial"/>
          <w:sz w:val="20"/>
          <w:szCs w:val="20"/>
        </w:rPr>
      </w:pPr>
    </w:p>
    <w:p w14:paraId="031AEC87" w14:textId="77777777" w:rsidR="005A34AF" w:rsidRDefault="005A34AF" w:rsidP="005B4190">
      <w:pPr>
        <w:tabs>
          <w:tab w:val="left" w:pos="1095"/>
        </w:tabs>
        <w:spacing w:line="240" w:lineRule="auto"/>
        <w:jc w:val="both"/>
        <w:rPr>
          <w:rFonts w:ascii="Arial" w:hAnsi="Arial" w:cs="Arial"/>
          <w:sz w:val="20"/>
          <w:szCs w:val="20"/>
        </w:rPr>
      </w:pPr>
    </w:p>
    <w:p w14:paraId="3AF09D7B" w14:textId="77777777" w:rsidR="005A34AF" w:rsidRDefault="005A34AF" w:rsidP="005B4190">
      <w:pPr>
        <w:tabs>
          <w:tab w:val="left" w:pos="1095"/>
        </w:tabs>
        <w:spacing w:line="240" w:lineRule="auto"/>
        <w:jc w:val="both"/>
        <w:rPr>
          <w:rFonts w:ascii="Arial" w:hAnsi="Arial" w:cs="Arial"/>
          <w:sz w:val="20"/>
          <w:szCs w:val="20"/>
        </w:rPr>
      </w:pPr>
    </w:p>
    <w:p w14:paraId="3BD6587E" w14:textId="77777777" w:rsidR="005A34AF" w:rsidRDefault="005A34AF" w:rsidP="005B4190">
      <w:pPr>
        <w:tabs>
          <w:tab w:val="left" w:pos="1095"/>
        </w:tabs>
        <w:spacing w:line="240" w:lineRule="auto"/>
        <w:jc w:val="both"/>
        <w:rPr>
          <w:rFonts w:ascii="Arial" w:hAnsi="Arial" w:cs="Arial"/>
          <w:sz w:val="20"/>
          <w:szCs w:val="20"/>
        </w:rPr>
      </w:pPr>
    </w:p>
    <w:p w14:paraId="290DBE54" w14:textId="77777777" w:rsidR="005A34AF" w:rsidRDefault="005A34AF" w:rsidP="005B4190">
      <w:pPr>
        <w:tabs>
          <w:tab w:val="left" w:pos="1095"/>
        </w:tabs>
        <w:spacing w:line="240" w:lineRule="auto"/>
        <w:jc w:val="both"/>
        <w:rPr>
          <w:rFonts w:ascii="Arial" w:hAnsi="Arial" w:cs="Arial"/>
          <w:sz w:val="20"/>
          <w:szCs w:val="20"/>
        </w:rPr>
      </w:pPr>
    </w:p>
    <w:p w14:paraId="0F4B6D37" w14:textId="77777777" w:rsidR="005A34AF" w:rsidRDefault="005A34AF" w:rsidP="005B4190">
      <w:pPr>
        <w:tabs>
          <w:tab w:val="left" w:pos="1095"/>
        </w:tabs>
        <w:spacing w:line="240" w:lineRule="auto"/>
        <w:jc w:val="both"/>
        <w:rPr>
          <w:rFonts w:ascii="Arial" w:hAnsi="Arial" w:cs="Arial"/>
          <w:sz w:val="20"/>
          <w:szCs w:val="20"/>
        </w:rPr>
      </w:pPr>
    </w:p>
    <w:p w14:paraId="5BA9A282" w14:textId="77777777" w:rsidR="005A34AF" w:rsidRDefault="005A34AF" w:rsidP="005B4190">
      <w:pPr>
        <w:tabs>
          <w:tab w:val="left" w:pos="1095"/>
        </w:tabs>
        <w:spacing w:line="240" w:lineRule="auto"/>
        <w:jc w:val="both"/>
        <w:rPr>
          <w:rFonts w:ascii="Arial" w:hAnsi="Arial" w:cs="Arial"/>
          <w:sz w:val="20"/>
          <w:szCs w:val="20"/>
        </w:rPr>
      </w:pPr>
    </w:p>
    <w:p w14:paraId="15CC32AA" w14:textId="77777777" w:rsidR="005A34AF" w:rsidRDefault="005A34AF" w:rsidP="005B4190">
      <w:pPr>
        <w:tabs>
          <w:tab w:val="left" w:pos="1095"/>
        </w:tabs>
        <w:spacing w:line="240" w:lineRule="auto"/>
        <w:jc w:val="both"/>
        <w:rPr>
          <w:rFonts w:ascii="Arial" w:hAnsi="Arial" w:cs="Arial"/>
          <w:sz w:val="20"/>
          <w:szCs w:val="20"/>
        </w:rPr>
      </w:pPr>
    </w:p>
    <w:p w14:paraId="55C06AA4" w14:textId="77777777" w:rsidR="005A34AF" w:rsidRDefault="005A34AF" w:rsidP="005B4190">
      <w:pPr>
        <w:tabs>
          <w:tab w:val="left" w:pos="1095"/>
        </w:tabs>
        <w:spacing w:line="240" w:lineRule="auto"/>
        <w:jc w:val="both"/>
        <w:rPr>
          <w:rFonts w:ascii="Arial" w:hAnsi="Arial" w:cs="Arial"/>
          <w:sz w:val="20"/>
          <w:szCs w:val="20"/>
        </w:rPr>
      </w:pPr>
    </w:p>
    <w:p w14:paraId="51C7E8F9" w14:textId="77777777" w:rsidR="005A34AF" w:rsidRDefault="005A34AF" w:rsidP="005B4190">
      <w:pPr>
        <w:tabs>
          <w:tab w:val="left" w:pos="1095"/>
        </w:tabs>
        <w:spacing w:line="240" w:lineRule="auto"/>
        <w:jc w:val="both"/>
        <w:rPr>
          <w:rFonts w:ascii="Arial" w:hAnsi="Arial" w:cs="Arial"/>
          <w:sz w:val="20"/>
          <w:szCs w:val="20"/>
        </w:rPr>
      </w:pPr>
    </w:p>
    <w:p w14:paraId="7D4178A9" w14:textId="77777777" w:rsidR="005A34AF" w:rsidRDefault="005A34AF" w:rsidP="005B4190">
      <w:pPr>
        <w:tabs>
          <w:tab w:val="left" w:pos="1095"/>
        </w:tabs>
        <w:spacing w:line="240" w:lineRule="auto"/>
        <w:jc w:val="both"/>
        <w:rPr>
          <w:rFonts w:ascii="Arial" w:hAnsi="Arial" w:cs="Arial"/>
          <w:sz w:val="20"/>
          <w:szCs w:val="20"/>
        </w:rPr>
      </w:pPr>
    </w:p>
    <w:p w14:paraId="53BEF44A" w14:textId="77777777" w:rsidR="005A34AF" w:rsidRDefault="005A34AF" w:rsidP="005B4190">
      <w:pPr>
        <w:tabs>
          <w:tab w:val="left" w:pos="1095"/>
        </w:tabs>
        <w:spacing w:line="240" w:lineRule="auto"/>
        <w:jc w:val="both"/>
        <w:rPr>
          <w:rFonts w:ascii="Arial" w:hAnsi="Arial" w:cs="Arial"/>
          <w:sz w:val="20"/>
          <w:szCs w:val="20"/>
        </w:rPr>
      </w:pPr>
    </w:p>
    <w:p w14:paraId="5FAE8F53" w14:textId="77777777" w:rsidR="005A34AF" w:rsidRDefault="005A34AF" w:rsidP="005B4190">
      <w:pPr>
        <w:tabs>
          <w:tab w:val="left" w:pos="1095"/>
        </w:tabs>
        <w:spacing w:line="240" w:lineRule="auto"/>
        <w:jc w:val="both"/>
        <w:rPr>
          <w:rFonts w:ascii="Arial" w:hAnsi="Arial" w:cs="Arial"/>
          <w:sz w:val="20"/>
          <w:szCs w:val="20"/>
        </w:rPr>
      </w:pPr>
    </w:p>
    <w:p w14:paraId="46BD5831" w14:textId="77777777" w:rsidR="005A34AF" w:rsidRDefault="005A34AF" w:rsidP="005B4190">
      <w:pPr>
        <w:tabs>
          <w:tab w:val="left" w:pos="1095"/>
        </w:tabs>
        <w:spacing w:line="240" w:lineRule="auto"/>
        <w:jc w:val="both"/>
        <w:rPr>
          <w:rFonts w:ascii="Arial" w:hAnsi="Arial" w:cs="Arial"/>
          <w:sz w:val="20"/>
          <w:szCs w:val="20"/>
        </w:rPr>
      </w:pPr>
    </w:p>
    <w:p w14:paraId="68ED1EFF" w14:textId="77777777" w:rsidR="005A34AF" w:rsidRDefault="005A34AF" w:rsidP="005B4190">
      <w:pPr>
        <w:tabs>
          <w:tab w:val="left" w:pos="1095"/>
        </w:tabs>
        <w:spacing w:line="240" w:lineRule="auto"/>
        <w:jc w:val="both"/>
        <w:rPr>
          <w:rFonts w:ascii="Arial" w:hAnsi="Arial" w:cs="Arial"/>
          <w:sz w:val="20"/>
          <w:szCs w:val="20"/>
        </w:rPr>
      </w:pPr>
    </w:p>
    <w:p w14:paraId="6BCB1C9D" w14:textId="77777777" w:rsidR="005A34AF" w:rsidRDefault="005A34AF" w:rsidP="005B4190">
      <w:pPr>
        <w:tabs>
          <w:tab w:val="left" w:pos="1095"/>
        </w:tabs>
        <w:spacing w:line="240" w:lineRule="auto"/>
        <w:jc w:val="both"/>
        <w:rPr>
          <w:rFonts w:ascii="Arial" w:hAnsi="Arial" w:cs="Arial"/>
          <w:sz w:val="20"/>
          <w:szCs w:val="20"/>
        </w:rPr>
      </w:pPr>
    </w:p>
    <w:p w14:paraId="6A15962A" w14:textId="77777777" w:rsidR="005A34AF" w:rsidRDefault="005A34AF" w:rsidP="005B4190">
      <w:pPr>
        <w:tabs>
          <w:tab w:val="left" w:pos="1095"/>
        </w:tabs>
        <w:spacing w:line="240" w:lineRule="auto"/>
        <w:jc w:val="both"/>
        <w:rPr>
          <w:rFonts w:ascii="Arial" w:hAnsi="Arial" w:cs="Arial"/>
          <w:sz w:val="20"/>
          <w:szCs w:val="20"/>
        </w:rPr>
      </w:pPr>
    </w:p>
    <w:p w14:paraId="592EAF16" w14:textId="77777777" w:rsidR="005A34AF" w:rsidRDefault="005A34AF" w:rsidP="005B4190">
      <w:pPr>
        <w:tabs>
          <w:tab w:val="left" w:pos="1095"/>
        </w:tabs>
        <w:spacing w:line="240" w:lineRule="auto"/>
        <w:jc w:val="both"/>
        <w:rPr>
          <w:rFonts w:ascii="Arial" w:hAnsi="Arial" w:cs="Arial"/>
          <w:sz w:val="20"/>
          <w:szCs w:val="20"/>
        </w:rPr>
      </w:pPr>
    </w:p>
    <w:p w14:paraId="6EFFB30F" w14:textId="77777777" w:rsidR="005A34AF" w:rsidRDefault="005A34AF" w:rsidP="005B4190">
      <w:pPr>
        <w:tabs>
          <w:tab w:val="left" w:pos="1095"/>
        </w:tabs>
        <w:spacing w:line="240" w:lineRule="auto"/>
        <w:jc w:val="both"/>
        <w:rPr>
          <w:rFonts w:ascii="Arial" w:hAnsi="Arial" w:cs="Arial"/>
          <w:sz w:val="20"/>
          <w:szCs w:val="20"/>
        </w:rPr>
      </w:pPr>
    </w:p>
    <w:p w14:paraId="62853F02" w14:textId="77777777" w:rsidR="005A34AF" w:rsidRDefault="005A34AF" w:rsidP="005B4190">
      <w:pPr>
        <w:tabs>
          <w:tab w:val="left" w:pos="1095"/>
        </w:tabs>
        <w:spacing w:line="240" w:lineRule="auto"/>
        <w:jc w:val="both"/>
        <w:rPr>
          <w:rFonts w:ascii="Arial" w:hAnsi="Arial" w:cs="Arial"/>
          <w:sz w:val="20"/>
          <w:szCs w:val="20"/>
        </w:rPr>
      </w:pPr>
    </w:p>
    <w:p w14:paraId="2CCF139C" w14:textId="77777777" w:rsidR="005A34AF" w:rsidRDefault="005A34AF" w:rsidP="005B4190">
      <w:pPr>
        <w:tabs>
          <w:tab w:val="left" w:pos="1095"/>
        </w:tabs>
        <w:spacing w:line="240" w:lineRule="auto"/>
        <w:jc w:val="both"/>
        <w:rPr>
          <w:rFonts w:ascii="Arial" w:hAnsi="Arial" w:cs="Arial"/>
          <w:sz w:val="20"/>
          <w:szCs w:val="20"/>
        </w:rPr>
      </w:pPr>
    </w:p>
    <w:p w14:paraId="1F300005" w14:textId="77777777" w:rsidR="005A34AF" w:rsidRDefault="005A34AF" w:rsidP="005B4190">
      <w:pPr>
        <w:tabs>
          <w:tab w:val="left" w:pos="1095"/>
        </w:tabs>
        <w:spacing w:line="240" w:lineRule="auto"/>
        <w:jc w:val="both"/>
        <w:rPr>
          <w:rFonts w:ascii="Arial" w:hAnsi="Arial" w:cs="Arial"/>
          <w:sz w:val="20"/>
          <w:szCs w:val="20"/>
        </w:rPr>
      </w:pPr>
    </w:p>
    <w:p w14:paraId="0F7D8A13" w14:textId="77777777" w:rsidR="005A34AF" w:rsidRDefault="005A34AF" w:rsidP="005B4190">
      <w:pPr>
        <w:tabs>
          <w:tab w:val="left" w:pos="1095"/>
        </w:tabs>
        <w:spacing w:line="240" w:lineRule="auto"/>
        <w:jc w:val="both"/>
        <w:rPr>
          <w:rFonts w:ascii="Arial" w:hAnsi="Arial" w:cs="Arial"/>
          <w:sz w:val="20"/>
          <w:szCs w:val="20"/>
        </w:rPr>
      </w:pPr>
    </w:p>
    <w:p w14:paraId="5E26AE9A" w14:textId="77777777" w:rsidR="005A34AF" w:rsidRDefault="005A34AF" w:rsidP="005B4190">
      <w:pPr>
        <w:tabs>
          <w:tab w:val="left" w:pos="1095"/>
        </w:tabs>
        <w:spacing w:line="240" w:lineRule="auto"/>
        <w:jc w:val="both"/>
        <w:rPr>
          <w:rFonts w:ascii="Arial" w:hAnsi="Arial" w:cs="Arial"/>
          <w:sz w:val="20"/>
          <w:szCs w:val="20"/>
        </w:rPr>
      </w:pPr>
    </w:p>
    <w:p w14:paraId="1D9B7122" w14:textId="77777777" w:rsidR="005A34AF" w:rsidRDefault="005A34AF" w:rsidP="005B4190">
      <w:pPr>
        <w:tabs>
          <w:tab w:val="left" w:pos="1095"/>
        </w:tabs>
        <w:spacing w:line="240" w:lineRule="auto"/>
        <w:jc w:val="both"/>
        <w:rPr>
          <w:rFonts w:ascii="Arial" w:hAnsi="Arial" w:cs="Arial"/>
          <w:sz w:val="20"/>
          <w:szCs w:val="20"/>
        </w:rPr>
      </w:pPr>
    </w:p>
    <w:p w14:paraId="0A62A803" w14:textId="454E5A1D" w:rsidR="006E4313" w:rsidRDefault="000F5469" w:rsidP="005B4190">
      <w:pPr>
        <w:pStyle w:val="m7007535857312232601gmail-msolistparagraph"/>
        <w:numPr>
          <w:ilvl w:val="0"/>
          <w:numId w:val="14"/>
        </w:numPr>
        <w:shd w:val="clear" w:color="auto" w:fill="FFFFFF"/>
        <w:spacing w:before="0" w:beforeAutospacing="0" w:after="0" w:afterAutospacing="0"/>
        <w:ind w:left="426"/>
        <w:jc w:val="both"/>
        <w:rPr>
          <w:rFonts w:ascii="Arial" w:hAnsi="Arial" w:cs="Arial"/>
          <w:b/>
          <w:bCs/>
          <w:sz w:val="28"/>
          <w:szCs w:val="44"/>
        </w:rPr>
      </w:pPr>
      <w:r w:rsidRPr="00023B74">
        <w:rPr>
          <w:rFonts w:ascii="Arial" w:hAnsi="Arial" w:cs="Arial"/>
          <w:b/>
          <w:bCs/>
          <w:sz w:val="28"/>
          <w:szCs w:val="44"/>
        </w:rPr>
        <w:t>Estado de los Riesgos  </w:t>
      </w:r>
    </w:p>
    <w:p w14:paraId="51457032" w14:textId="77777777" w:rsidR="00782980" w:rsidRDefault="00782980" w:rsidP="005B4190">
      <w:pPr>
        <w:pStyle w:val="m7007535857312232601gmail-msolistparagraph"/>
        <w:shd w:val="clear" w:color="auto" w:fill="FFFFFF"/>
        <w:spacing w:before="0" w:beforeAutospacing="0" w:after="0" w:afterAutospacing="0"/>
        <w:jc w:val="both"/>
        <w:rPr>
          <w:rFonts w:ascii="Arial" w:hAnsi="Arial" w:cs="Arial"/>
          <w:b/>
          <w:bCs/>
          <w:sz w:val="28"/>
          <w:szCs w:val="44"/>
        </w:rPr>
      </w:pPr>
    </w:p>
    <w:p w14:paraId="79DC5462" w14:textId="34CF2070" w:rsidR="00782980" w:rsidRDefault="00782980" w:rsidP="005B4190">
      <w:pPr>
        <w:pStyle w:val="m7007535857312232601gmail-msolistparagraph"/>
        <w:numPr>
          <w:ilvl w:val="1"/>
          <w:numId w:val="14"/>
        </w:numPr>
        <w:shd w:val="clear" w:color="auto" w:fill="FFFFFF"/>
        <w:spacing w:before="0" w:beforeAutospacing="0" w:after="0" w:afterAutospacing="0"/>
        <w:ind w:left="851"/>
        <w:jc w:val="both"/>
        <w:rPr>
          <w:rFonts w:ascii="Arial" w:hAnsi="Arial" w:cs="Arial"/>
          <w:b/>
          <w:bCs/>
          <w:sz w:val="28"/>
          <w:szCs w:val="44"/>
        </w:rPr>
      </w:pPr>
      <w:r>
        <w:rPr>
          <w:rFonts w:ascii="Arial" w:hAnsi="Arial" w:cs="Arial"/>
          <w:b/>
          <w:bCs/>
          <w:sz w:val="28"/>
          <w:szCs w:val="44"/>
        </w:rPr>
        <w:t>Riesgos de corrupción</w:t>
      </w:r>
    </w:p>
    <w:p w14:paraId="72564341" w14:textId="77777777" w:rsidR="00F976E2" w:rsidRDefault="00F976E2" w:rsidP="005B4190">
      <w:pPr>
        <w:tabs>
          <w:tab w:val="left" w:pos="1095"/>
        </w:tabs>
        <w:spacing w:line="240" w:lineRule="auto"/>
        <w:jc w:val="both"/>
        <w:rPr>
          <w:rFonts w:ascii="Arial" w:hAnsi="Arial" w:cs="Arial"/>
          <w:sz w:val="22"/>
          <w:szCs w:val="20"/>
        </w:rPr>
      </w:pPr>
    </w:p>
    <w:p w14:paraId="6C917F00" w14:textId="55E3F3C9" w:rsidR="00653DA5" w:rsidRPr="00730430" w:rsidRDefault="005B4190" w:rsidP="005B4190">
      <w:pPr>
        <w:tabs>
          <w:tab w:val="left" w:pos="1095"/>
        </w:tabs>
        <w:spacing w:line="240" w:lineRule="auto"/>
        <w:jc w:val="both"/>
        <w:rPr>
          <w:rFonts w:ascii="Arial" w:hAnsi="Arial" w:cs="Arial"/>
          <w:sz w:val="22"/>
          <w:szCs w:val="20"/>
        </w:rPr>
      </w:pPr>
      <w:r>
        <w:rPr>
          <w:rFonts w:ascii="Arial" w:hAnsi="Arial" w:cs="Arial"/>
          <w:sz w:val="22"/>
          <w:szCs w:val="20"/>
        </w:rPr>
        <w:t xml:space="preserve">Para </w:t>
      </w:r>
      <w:r w:rsidR="0015270A">
        <w:rPr>
          <w:rFonts w:ascii="Arial" w:hAnsi="Arial" w:cs="Arial"/>
          <w:sz w:val="22"/>
          <w:szCs w:val="20"/>
        </w:rPr>
        <w:t>la vigencia 2019</w:t>
      </w:r>
      <w:r>
        <w:rPr>
          <w:rFonts w:ascii="Arial" w:hAnsi="Arial" w:cs="Arial"/>
          <w:sz w:val="22"/>
          <w:szCs w:val="20"/>
        </w:rPr>
        <w:t xml:space="preserve">, la entidad </w:t>
      </w:r>
      <w:r w:rsidR="0015270A">
        <w:rPr>
          <w:rFonts w:ascii="Arial" w:hAnsi="Arial" w:cs="Arial"/>
          <w:sz w:val="22"/>
          <w:szCs w:val="20"/>
        </w:rPr>
        <w:t>identific</w:t>
      </w:r>
      <w:r>
        <w:rPr>
          <w:rFonts w:ascii="Arial" w:hAnsi="Arial" w:cs="Arial"/>
          <w:sz w:val="22"/>
          <w:szCs w:val="20"/>
        </w:rPr>
        <w:t>ó</w:t>
      </w:r>
      <w:r w:rsidR="0015270A">
        <w:rPr>
          <w:rFonts w:ascii="Arial" w:hAnsi="Arial" w:cs="Arial"/>
          <w:sz w:val="22"/>
          <w:szCs w:val="20"/>
        </w:rPr>
        <w:t xml:space="preserve"> </w:t>
      </w:r>
      <w:r>
        <w:rPr>
          <w:rFonts w:ascii="Arial" w:hAnsi="Arial" w:cs="Arial"/>
          <w:sz w:val="22"/>
          <w:szCs w:val="20"/>
        </w:rPr>
        <w:t>nueve (</w:t>
      </w:r>
      <w:r w:rsidR="00034D7D">
        <w:rPr>
          <w:rFonts w:ascii="Arial" w:hAnsi="Arial" w:cs="Arial"/>
          <w:sz w:val="22"/>
          <w:szCs w:val="20"/>
        </w:rPr>
        <w:t>9</w:t>
      </w:r>
      <w:r>
        <w:rPr>
          <w:rFonts w:ascii="Arial" w:hAnsi="Arial" w:cs="Arial"/>
          <w:sz w:val="22"/>
          <w:szCs w:val="20"/>
        </w:rPr>
        <w:t>)</w:t>
      </w:r>
      <w:r w:rsidR="00034D7D" w:rsidRPr="00730430">
        <w:rPr>
          <w:rFonts w:ascii="Arial" w:hAnsi="Arial" w:cs="Arial"/>
          <w:sz w:val="22"/>
          <w:szCs w:val="20"/>
        </w:rPr>
        <w:t xml:space="preserve"> </w:t>
      </w:r>
      <w:r w:rsidR="00B16CA6" w:rsidRPr="00730430">
        <w:rPr>
          <w:rFonts w:ascii="Arial" w:hAnsi="Arial" w:cs="Arial"/>
          <w:sz w:val="22"/>
          <w:szCs w:val="20"/>
        </w:rPr>
        <w:t>riesgos de corrupción</w:t>
      </w:r>
      <w:r w:rsidR="0018595B">
        <w:rPr>
          <w:rFonts w:ascii="Arial" w:hAnsi="Arial" w:cs="Arial"/>
          <w:sz w:val="22"/>
          <w:szCs w:val="20"/>
        </w:rPr>
        <w:t>,</w:t>
      </w:r>
      <w:r w:rsidR="00B16CA6" w:rsidRPr="00730430">
        <w:rPr>
          <w:rFonts w:ascii="Arial" w:hAnsi="Arial" w:cs="Arial"/>
          <w:sz w:val="22"/>
          <w:szCs w:val="20"/>
        </w:rPr>
        <w:t xml:space="preserve"> </w:t>
      </w:r>
      <w:r w:rsidR="002C2D57">
        <w:rPr>
          <w:rFonts w:ascii="Arial" w:hAnsi="Arial" w:cs="Arial"/>
          <w:sz w:val="22"/>
          <w:szCs w:val="20"/>
        </w:rPr>
        <w:t xml:space="preserve"> los cuales </w:t>
      </w:r>
      <w:r w:rsidR="00EB345A" w:rsidRPr="00730430">
        <w:rPr>
          <w:rFonts w:ascii="Arial" w:hAnsi="Arial" w:cs="Arial"/>
          <w:sz w:val="22"/>
          <w:szCs w:val="20"/>
        </w:rPr>
        <w:t xml:space="preserve">se describen </w:t>
      </w:r>
      <w:r w:rsidR="002C2D57">
        <w:rPr>
          <w:rFonts w:ascii="Arial" w:hAnsi="Arial" w:cs="Arial"/>
          <w:sz w:val="22"/>
          <w:szCs w:val="20"/>
        </w:rPr>
        <w:t xml:space="preserve">a continuación con </w:t>
      </w:r>
      <w:r w:rsidR="00EB345A" w:rsidRPr="00730430">
        <w:rPr>
          <w:rFonts w:ascii="Arial" w:hAnsi="Arial" w:cs="Arial"/>
          <w:sz w:val="22"/>
          <w:szCs w:val="20"/>
        </w:rPr>
        <w:t>la zona del riesgo en que se encuentran</w:t>
      </w:r>
      <w:r w:rsidR="00D705E3">
        <w:rPr>
          <w:rFonts w:ascii="Arial" w:hAnsi="Arial" w:cs="Arial"/>
          <w:sz w:val="22"/>
          <w:szCs w:val="20"/>
        </w:rPr>
        <w:t>.</w:t>
      </w:r>
    </w:p>
    <w:p w14:paraId="24C20C34" w14:textId="77777777" w:rsidR="00653DA5" w:rsidRDefault="00653DA5" w:rsidP="005B4190">
      <w:pPr>
        <w:tabs>
          <w:tab w:val="left" w:pos="1095"/>
        </w:tabs>
        <w:spacing w:line="240" w:lineRule="auto"/>
        <w:jc w:val="both"/>
        <w:rPr>
          <w:rFonts w:asciiTheme="minorHAnsi" w:hAnsiTheme="minorHAnsi" w:cs="Arial"/>
          <w:sz w:val="22"/>
          <w:szCs w:val="22"/>
        </w:rPr>
      </w:pPr>
    </w:p>
    <w:p w14:paraId="428942B8" w14:textId="15A994B8" w:rsidR="00932139" w:rsidRPr="008E62F3" w:rsidRDefault="00932139" w:rsidP="008E62F3">
      <w:pPr>
        <w:tabs>
          <w:tab w:val="left" w:pos="1095"/>
        </w:tabs>
        <w:spacing w:line="240" w:lineRule="auto"/>
        <w:jc w:val="center"/>
        <w:rPr>
          <w:rFonts w:ascii="Arial" w:hAnsi="Arial" w:cs="Arial"/>
          <w:sz w:val="18"/>
          <w:szCs w:val="18"/>
        </w:rPr>
      </w:pPr>
      <w:r w:rsidRPr="008E62F3">
        <w:rPr>
          <w:rFonts w:ascii="Arial" w:hAnsi="Arial" w:cs="Arial"/>
          <w:sz w:val="18"/>
          <w:szCs w:val="18"/>
        </w:rPr>
        <w:t xml:space="preserve">Tabla. </w:t>
      </w:r>
      <w:r>
        <w:rPr>
          <w:rFonts w:ascii="Arial" w:hAnsi="Arial" w:cs="Arial"/>
          <w:sz w:val="18"/>
          <w:szCs w:val="18"/>
        </w:rPr>
        <w:t>Riesgos de corrupción por proceso y zona de riesgo residual</w:t>
      </w:r>
    </w:p>
    <w:tbl>
      <w:tblPr>
        <w:tblW w:w="5000" w:type="pct"/>
        <w:jc w:val="center"/>
        <w:tblCellMar>
          <w:left w:w="70" w:type="dxa"/>
          <w:right w:w="70" w:type="dxa"/>
        </w:tblCellMar>
        <w:tblLook w:val="04A0" w:firstRow="1" w:lastRow="0" w:firstColumn="1" w:lastColumn="0" w:noHBand="0" w:noVBand="1"/>
      </w:tblPr>
      <w:tblGrid>
        <w:gridCol w:w="4879"/>
        <w:gridCol w:w="2420"/>
        <w:gridCol w:w="1679"/>
      </w:tblGrid>
      <w:tr w:rsidR="00C85428" w:rsidRPr="005B4190" w14:paraId="7F866A8D" w14:textId="77777777" w:rsidTr="005B4190">
        <w:trPr>
          <w:trHeight w:val="354"/>
          <w:jc w:val="center"/>
        </w:trPr>
        <w:tc>
          <w:tcPr>
            <w:tcW w:w="2717" w:type="pct"/>
            <w:tcBorders>
              <w:top w:val="single" w:sz="4" w:space="0" w:color="auto"/>
              <w:left w:val="single" w:sz="4" w:space="0" w:color="auto"/>
              <w:bottom w:val="single" w:sz="4" w:space="0" w:color="auto"/>
              <w:right w:val="single" w:sz="4" w:space="0" w:color="auto"/>
            </w:tcBorders>
            <w:shd w:val="clear" w:color="000000" w:fill="DCE6F1"/>
            <w:vAlign w:val="center"/>
            <w:hideMark/>
          </w:tcPr>
          <w:p w14:paraId="095AA04C" w14:textId="552EFA2D" w:rsidR="00C85428" w:rsidRPr="005B4190" w:rsidRDefault="00C85428" w:rsidP="005B4190">
            <w:pPr>
              <w:widowControl/>
              <w:suppressAutoHyphens w:val="0"/>
              <w:spacing w:line="240" w:lineRule="auto"/>
              <w:jc w:val="center"/>
              <w:rPr>
                <w:rFonts w:ascii="Arial" w:eastAsia="Times New Roman" w:hAnsi="Arial" w:cs="Arial"/>
                <w:b/>
                <w:bCs/>
                <w:color w:val="auto"/>
                <w:sz w:val="20"/>
                <w:szCs w:val="20"/>
                <w:lang w:eastAsia="es-ES"/>
              </w:rPr>
            </w:pPr>
            <w:r w:rsidRPr="005B4190">
              <w:rPr>
                <w:rFonts w:ascii="Arial" w:eastAsia="Times New Roman" w:hAnsi="Arial" w:cs="Arial"/>
                <w:b/>
                <w:bCs/>
                <w:color w:val="auto"/>
                <w:sz w:val="20"/>
                <w:szCs w:val="20"/>
                <w:lang w:eastAsia="es-ES"/>
              </w:rPr>
              <w:t xml:space="preserve">Riesgo de Corrupción </w:t>
            </w:r>
          </w:p>
        </w:tc>
        <w:tc>
          <w:tcPr>
            <w:tcW w:w="1348" w:type="pct"/>
            <w:tcBorders>
              <w:top w:val="single" w:sz="4" w:space="0" w:color="auto"/>
              <w:left w:val="nil"/>
              <w:bottom w:val="single" w:sz="4" w:space="0" w:color="auto"/>
              <w:right w:val="single" w:sz="4" w:space="0" w:color="auto"/>
            </w:tcBorders>
            <w:shd w:val="clear" w:color="000000" w:fill="DCE6F1"/>
            <w:vAlign w:val="center"/>
            <w:hideMark/>
          </w:tcPr>
          <w:p w14:paraId="74C43A3B" w14:textId="77777777" w:rsidR="00C85428" w:rsidRPr="005B4190" w:rsidRDefault="00C85428" w:rsidP="00131BA6">
            <w:pPr>
              <w:widowControl/>
              <w:suppressAutoHyphens w:val="0"/>
              <w:spacing w:line="240" w:lineRule="auto"/>
              <w:jc w:val="center"/>
              <w:rPr>
                <w:rFonts w:ascii="Arial" w:eastAsia="Times New Roman" w:hAnsi="Arial" w:cs="Arial"/>
                <w:b/>
                <w:bCs/>
                <w:color w:val="auto"/>
                <w:sz w:val="20"/>
                <w:szCs w:val="20"/>
                <w:lang w:eastAsia="es-ES"/>
              </w:rPr>
            </w:pPr>
            <w:r w:rsidRPr="005B4190">
              <w:rPr>
                <w:rFonts w:ascii="Arial" w:eastAsia="Times New Roman" w:hAnsi="Arial" w:cs="Arial"/>
                <w:b/>
                <w:bCs/>
                <w:color w:val="auto"/>
                <w:sz w:val="20"/>
                <w:szCs w:val="20"/>
                <w:lang w:eastAsia="es-ES"/>
              </w:rPr>
              <w:t>Proceso</w:t>
            </w:r>
          </w:p>
        </w:tc>
        <w:tc>
          <w:tcPr>
            <w:tcW w:w="935" w:type="pct"/>
            <w:tcBorders>
              <w:top w:val="single" w:sz="4" w:space="0" w:color="auto"/>
              <w:left w:val="nil"/>
              <w:bottom w:val="single" w:sz="4" w:space="0" w:color="auto"/>
              <w:right w:val="single" w:sz="4" w:space="0" w:color="auto"/>
            </w:tcBorders>
            <w:shd w:val="clear" w:color="000000" w:fill="DCE6F1"/>
            <w:vAlign w:val="center"/>
            <w:hideMark/>
          </w:tcPr>
          <w:p w14:paraId="26FAD33C" w14:textId="77777777" w:rsidR="00C85428" w:rsidRPr="005B4190" w:rsidRDefault="00C85428" w:rsidP="00B32204">
            <w:pPr>
              <w:widowControl/>
              <w:suppressAutoHyphens w:val="0"/>
              <w:spacing w:line="240" w:lineRule="auto"/>
              <w:jc w:val="center"/>
              <w:rPr>
                <w:rFonts w:ascii="Arial" w:eastAsia="Times New Roman" w:hAnsi="Arial" w:cs="Arial"/>
                <w:b/>
                <w:bCs/>
                <w:color w:val="auto"/>
                <w:sz w:val="20"/>
                <w:szCs w:val="20"/>
                <w:lang w:eastAsia="es-ES"/>
              </w:rPr>
            </w:pPr>
            <w:r w:rsidRPr="005B4190">
              <w:rPr>
                <w:rFonts w:ascii="Arial" w:eastAsia="Times New Roman" w:hAnsi="Arial" w:cs="Arial"/>
                <w:b/>
                <w:bCs/>
                <w:color w:val="auto"/>
                <w:sz w:val="20"/>
                <w:szCs w:val="20"/>
                <w:lang w:eastAsia="es-ES"/>
              </w:rPr>
              <w:t>Zona de Riesgo Residual</w:t>
            </w:r>
          </w:p>
        </w:tc>
      </w:tr>
      <w:tr w:rsidR="00C85428" w:rsidRPr="005B4190" w14:paraId="5793CFE1" w14:textId="77777777" w:rsidTr="005B4190">
        <w:trPr>
          <w:trHeight w:val="510"/>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62B2A78B" w14:textId="77777777" w:rsidR="00C85428" w:rsidRPr="005B4190" w:rsidRDefault="00C85428" w:rsidP="005B4190">
            <w:pPr>
              <w:widowControl/>
              <w:suppressAutoHyphens w:val="0"/>
              <w:spacing w:line="240" w:lineRule="auto"/>
              <w:jc w:val="both"/>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Interés indebido en la celebración de</w:t>
            </w:r>
            <w:r w:rsidRPr="005B4190">
              <w:rPr>
                <w:rFonts w:ascii="Arial" w:eastAsia="Times New Roman" w:hAnsi="Arial" w:cs="Arial"/>
                <w:color w:val="auto"/>
                <w:sz w:val="20"/>
                <w:szCs w:val="20"/>
                <w:lang w:eastAsia="es-ES"/>
              </w:rPr>
              <w:br/>
              <w:t>contratos.</w:t>
            </w:r>
          </w:p>
        </w:tc>
        <w:tc>
          <w:tcPr>
            <w:tcW w:w="1348" w:type="pct"/>
            <w:tcBorders>
              <w:top w:val="nil"/>
              <w:left w:val="nil"/>
              <w:bottom w:val="single" w:sz="4" w:space="0" w:color="auto"/>
              <w:right w:val="single" w:sz="4" w:space="0" w:color="auto"/>
            </w:tcBorders>
            <w:shd w:val="clear" w:color="auto" w:fill="auto"/>
            <w:vAlign w:val="center"/>
            <w:hideMark/>
          </w:tcPr>
          <w:p w14:paraId="7AD27727" w14:textId="77777777" w:rsidR="00C85428" w:rsidRPr="005B4190" w:rsidRDefault="00C85428" w:rsidP="00131BA6">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Gestión Contractual</w:t>
            </w:r>
          </w:p>
        </w:tc>
        <w:tc>
          <w:tcPr>
            <w:tcW w:w="935" w:type="pct"/>
            <w:tcBorders>
              <w:top w:val="nil"/>
              <w:left w:val="nil"/>
              <w:bottom w:val="single" w:sz="4" w:space="0" w:color="auto"/>
              <w:right w:val="single" w:sz="4" w:space="0" w:color="auto"/>
            </w:tcBorders>
            <w:shd w:val="clear" w:color="000000" w:fill="FF0000"/>
            <w:noWrap/>
            <w:vAlign w:val="center"/>
            <w:hideMark/>
          </w:tcPr>
          <w:p w14:paraId="77321670" w14:textId="77777777" w:rsidR="00C85428" w:rsidRPr="005B4190" w:rsidRDefault="00C85428" w:rsidP="00B32204">
            <w:pPr>
              <w:widowControl/>
              <w:suppressAutoHyphens w:val="0"/>
              <w:spacing w:line="240" w:lineRule="auto"/>
              <w:jc w:val="center"/>
              <w:rPr>
                <w:rFonts w:ascii="Arial" w:eastAsia="Times New Roman" w:hAnsi="Arial" w:cs="Arial"/>
                <w:color w:val="000000"/>
                <w:sz w:val="20"/>
                <w:szCs w:val="20"/>
                <w:lang w:eastAsia="es-ES"/>
              </w:rPr>
            </w:pPr>
            <w:r w:rsidRPr="005B4190">
              <w:rPr>
                <w:rFonts w:ascii="Arial" w:eastAsia="Times New Roman" w:hAnsi="Arial" w:cs="Arial"/>
                <w:color w:val="000000"/>
                <w:sz w:val="20"/>
                <w:szCs w:val="20"/>
                <w:lang w:eastAsia="es-ES"/>
              </w:rPr>
              <w:t>EXTREMO</w:t>
            </w:r>
          </w:p>
        </w:tc>
      </w:tr>
      <w:tr w:rsidR="00C85428" w:rsidRPr="005B4190" w14:paraId="6230AF52" w14:textId="77777777" w:rsidTr="00932139">
        <w:trPr>
          <w:trHeight w:val="70"/>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5C9ADB0E" w14:textId="77777777" w:rsidR="00C85428" w:rsidRPr="005B4190" w:rsidRDefault="00C85428" w:rsidP="005B4190">
            <w:pPr>
              <w:widowControl/>
              <w:suppressAutoHyphens w:val="0"/>
              <w:spacing w:line="240" w:lineRule="auto"/>
              <w:jc w:val="both"/>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Ocultar o modificar información del desempeño de los procesos o de la Entidad en favorecimiento propio o de un servidor en particular.</w:t>
            </w:r>
          </w:p>
        </w:tc>
        <w:tc>
          <w:tcPr>
            <w:tcW w:w="1348" w:type="pct"/>
            <w:tcBorders>
              <w:top w:val="nil"/>
              <w:left w:val="nil"/>
              <w:bottom w:val="single" w:sz="4" w:space="0" w:color="auto"/>
              <w:right w:val="single" w:sz="4" w:space="0" w:color="auto"/>
            </w:tcBorders>
            <w:shd w:val="clear" w:color="auto" w:fill="auto"/>
            <w:vAlign w:val="center"/>
            <w:hideMark/>
          </w:tcPr>
          <w:p w14:paraId="3BD28CA4" w14:textId="77777777" w:rsidR="00C85428" w:rsidRPr="005B4190" w:rsidRDefault="00C85428" w:rsidP="00131BA6">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 xml:space="preserve">Seguimiento y evaluación </w:t>
            </w:r>
          </w:p>
        </w:tc>
        <w:tc>
          <w:tcPr>
            <w:tcW w:w="935" w:type="pct"/>
            <w:tcBorders>
              <w:top w:val="nil"/>
              <w:left w:val="nil"/>
              <w:bottom w:val="single" w:sz="4" w:space="0" w:color="auto"/>
              <w:right w:val="single" w:sz="4" w:space="0" w:color="auto"/>
            </w:tcBorders>
            <w:shd w:val="clear" w:color="000000" w:fill="FF0000"/>
            <w:noWrap/>
            <w:vAlign w:val="center"/>
            <w:hideMark/>
          </w:tcPr>
          <w:p w14:paraId="176A4047" w14:textId="77777777" w:rsidR="00C85428" w:rsidRPr="005B4190" w:rsidRDefault="00C85428" w:rsidP="00B32204">
            <w:pPr>
              <w:widowControl/>
              <w:suppressAutoHyphens w:val="0"/>
              <w:spacing w:line="240" w:lineRule="auto"/>
              <w:jc w:val="center"/>
              <w:rPr>
                <w:rFonts w:ascii="Arial" w:eastAsia="Times New Roman" w:hAnsi="Arial" w:cs="Arial"/>
                <w:color w:val="000000"/>
                <w:sz w:val="20"/>
                <w:szCs w:val="20"/>
                <w:lang w:eastAsia="es-ES"/>
              </w:rPr>
            </w:pPr>
            <w:r w:rsidRPr="005B4190">
              <w:rPr>
                <w:rFonts w:ascii="Arial" w:eastAsia="Times New Roman" w:hAnsi="Arial" w:cs="Arial"/>
                <w:color w:val="000000"/>
                <w:sz w:val="20"/>
                <w:szCs w:val="20"/>
                <w:lang w:eastAsia="es-ES"/>
              </w:rPr>
              <w:t>EXTREMO</w:t>
            </w:r>
          </w:p>
        </w:tc>
      </w:tr>
      <w:tr w:rsidR="00C85428" w:rsidRPr="005B4190" w14:paraId="29AAA9F1" w14:textId="77777777" w:rsidTr="00932139">
        <w:trPr>
          <w:trHeight w:val="70"/>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00C2BA3B" w14:textId="77777777" w:rsidR="00C85428" w:rsidRPr="005B4190" w:rsidRDefault="00C85428" w:rsidP="005B4190">
            <w:pPr>
              <w:widowControl/>
              <w:suppressAutoHyphens w:val="0"/>
              <w:spacing w:line="240" w:lineRule="auto"/>
              <w:jc w:val="both"/>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Utilización indebida de información oficial</w:t>
            </w:r>
            <w:r w:rsidRPr="005B4190">
              <w:rPr>
                <w:rFonts w:ascii="Arial" w:eastAsia="Times New Roman" w:hAnsi="Arial" w:cs="Arial"/>
                <w:color w:val="auto"/>
                <w:sz w:val="20"/>
                <w:szCs w:val="20"/>
                <w:lang w:eastAsia="es-ES"/>
              </w:rPr>
              <w:br/>
              <w:t>privilegiada.</w:t>
            </w:r>
          </w:p>
        </w:tc>
        <w:tc>
          <w:tcPr>
            <w:tcW w:w="1348" w:type="pct"/>
            <w:tcBorders>
              <w:top w:val="nil"/>
              <w:left w:val="nil"/>
              <w:bottom w:val="single" w:sz="4" w:space="0" w:color="auto"/>
              <w:right w:val="single" w:sz="4" w:space="0" w:color="auto"/>
            </w:tcBorders>
            <w:shd w:val="clear" w:color="auto" w:fill="auto"/>
            <w:vAlign w:val="center"/>
            <w:hideMark/>
          </w:tcPr>
          <w:p w14:paraId="496F09F4" w14:textId="77777777" w:rsidR="00C85428" w:rsidRPr="005B4190" w:rsidRDefault="00C85428" w:rsidP="00131BA6">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Gestión Documental</w:t>
            </w:r>
          </w:p>
        </w:tc>
        <w:tc>
          <w:tcPr>
            <w:tcW w:w="935" w:type="pct"/>
            <w:tcBorders>
              <w:top w:val="nil"/>
              <w:left w:val="nil"/>
              <w:bottom w:val="single" w:sz="4" w:space="0" w:color="auto"/>
              <w:right w:val="single" w:sz="4" w:space="0" w:color="auto"/>
            </w:tcBorders>
            <w:shd w:val="clear" w:color="000000" w:fill="FFC000"/>
            <w:noWrap/>
            <w:vAlign w:val="center"/>
            <w:hideMark/>
          </w:tcPr>
          <w:p w14:paraId="43DDA909" w14:textId="77777777" w:rsidR="00C85428" w:rsidRPr="005B4190" w:rsidRDefault="00C85428" w:rsidP="00B32204">
            <w:pPr>
              <w:widowControl/>
              <w:suppressAutoHyphens w:val="0"/>
              <w:spacing w:line="240" w:lineRule="auto"/>
              <w:jc w:val="center"/>
              <w:rPr>
                <w:rFonts w:ascii="Arial" w:eastAsia="Times New Roman" w:hAnsi="Arial" w:cs="Arial"/>
                <w:color w:val="000000"/>
                <w:sz w:val="20"/>
                <w:szCs w:val="20"/>
                <w:lang w:eastAsia="es-ES"/>
              </w:rPr>
            </w:pPr>
            <w:r w:rsidRPr="005B4190">
              <w:rPr>
                <w:rFonts w:ascii="Arial" w:eastAsia="Times New Roman" w:hAnsi="Arial" w:cs="Arial"/>
                <w:color w:val="000000"/>
                <w:sz w:val="20"/>
                <w:szCs w:val="20"/>
                <w:lang w:eastAsia="es-ES"/>
              </w:rPr>
              <w:t>ALTO</w:t>
            </w:r>
          </w:p>
        </w:tc>
      </w:tr>
      <w:tr w:rsidR="00C85428" w:rsidRPr="005B4190" w14:paraId="22D5FB61" w14:textId="77777777" w:rsidTr="005B4190">
        <w:trPr>
          <w:trHeight w:val="510"/>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13465D11" w14:textId="77777777" w:rsidR="00C85428" w:rsidRPr="005B4190" w:rsidRDefault="00C85428" w:rsidP="005B4190">
            <w:pPr>
              <w:widowControl/>
              <w:suppressAutoHyphens w:val="0"/>
              <w:spacing w:line="240" w:lineRule="auto"/>
              <w:jc w:val="both"/>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Debilidad en la supervisión e interventoría de contratos con  el fin de favorecer a un tercero.</w:t>
            </w:r>
          </w:p>
        </w:tc>
        <w:tc>
          <w:tcPr>
            <w:tcW w:w="1348" w:type="pct"/>
            <w:tcBorders>
              <w:top w:val="nil"/>
              <w:left w:val="nil"/>
              <w:bottom w:val="single" w:sz="4" w:space="0" w:color="auto"/>
              <w:right w:val="single" w:sz="4" w:space="0" w:color="auto"/>
            </w:tcBorders>
            <w:shd w:val="clear" w:color="auto" w:fill="auto"/>
            <w:vAlign w:val="center"/>
            <w:hideMark/>
          </w:tcPr>
          <w:p w14:paraId="0D6D18D7" w14:textId="77777777" w:rsidR="00C85428" w:rsidRPr="005B4190" w:rsidRDefault="00C85428" w:rsidP="00131BA6">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Gestión Contractual</w:t>
            </w:r>
          </w:p>
        </w:tc>
        <w:tc>
          <w:tcPr>
            <w:tcW w:w="935" w:type="pct"/>
            <w:tcBorders>
              <w:top w:val="nil"/>
              <w:left w:val="nil"/>
              <w:bottom w:val="single" w:sz="4" w:space="0" w:color="auto"/>
              <w:right w:val="single" w:sz="4" w:space="0" w:color="auto"/>
            </w:tcBorders>
            <w:shd w:val="clear" w:color="000000" w:fill="FFFF00"/>
            <w:noWrap/>
            <w:vAlign w:val="center"/>
            <w:hideMark/>
          </w:tcPr>
          <w:p w14:paraId="2D5EA468" w14:textId="77777777" w:rsidR="00C85428" w:rsidRPr="005B4190" w:rsidRDefault="00C85428" w:rsidP="00B32204">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MODERADO</w:t>
            </w:r>
          </w:p>
        </w:tc>
      </w:tr>
      <w:tr w:rsidR="00C85428" w:rsidRPr="005B4190" w14:paraId="7EC5B1EA" w14:textId="77777777" w:rsidTr="00932139">
        <w:trPr>
          <w:trHeight w:val="158"/>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06198AAA" w14:textId="77777777" w:rsidR="00C85428" w:rsidRPr="005B4190" w:rsidRDefault="00C85428" w:rsidP="005B4190">
            <w:pPr>
              <w:widowControl/>
              <w:suppressAutoHyphens w:val="0"/>
              <w:spacing w:line="240" w:lineRule="auto"/>
              <w:jc w:val="both"/>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 xml:space="preserve">Irregularidades en las visitas de control urbano y/o manipulación de los conceptos técnicos a cambio de dádivas. </w:t>
            </w:r>
          </w:p>
        </w:tc>
        <w:tc>
          <w:tcPr>
            <w:tcW w:w="1348" w:type="pct"/>
            <w:tcBorders>
              <w:top w:val="nil"/>
              <w:left w:val="nil"/>
              <w:bottom w:val="single" w:sz="4" w:space="0" w:color="auto"/>
              <w:right w:val="single" w:sz="4" w:space="0" w:color="auto"/>
            </w:tcBorders>
            <w:shd w:val="clear" w:color="auto" w:fill="auto"/>
            <w:vAlign w:val="center"/>
            <w:hideMark/>
          </w:tcPr>
          <w:p w14:paraId="1CE947BE" w14:textId="77777777" w:rsidR="00C85428" w:rsidRPr="005B4190" w:rsidRDefault="00C85428" w:rsidP="00131BA6">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Protección e Intervención del Patrimonio</w:t>
            </w:r>
          </w:p>
        </w:tc>
        <w:tc>
          <w:tcPr>
            <w:tcW w:w="935" w:type="pct"/>
            <w:tcBorders>
              <w:top w:val="nil"/>
              <w:left w:val="nil"/>
              <w:bottom w:val="single" w:sz="4" w:space="0" w:color="auto"/>
              <w:right w:val="single" w:sz="4" w:space="0" w:color="auto"/>
            </w:tcBorders>
            <w:shd w:val="clear" w:color="000000" w:fill="FFFF00"/>
            <w:noWrap/>
            <w:vAlign w:val="center"/>
            <w:hideMark/>
          </w:tcPr>
          <w:p w14:paraId="3C720F67" w14:textId="77777777" w:rsidR="00C85428" w:rsidRPr="005B4190" w:rsidRDefault="00C85428" w:rsidP="00B32204">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MODERADO</w:t>
            </w:r>
          </w:p>
        </w:tc>
      </w:tr>
      <w:tr w:rsidR="00C85428" w:rsidRPr="005B4190" w14:paraId="750D8128" w14:textId="77777777" w:rsidTr="00932139">
        <w:trPr>
          <w:trHeight w:val="239"/>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01475380" w14:textId="77777777" w:rsidR="00C85428" w:rsidRPr="005B4190" w:rsidRDefault="00C85428" w:rsidP="005B4190">
            <w:pPr>
              <w:widowControl/>
              <w:suppressAutoHyphens w:val="0"/>
              <w:spacing w:line="240" w:lineRule="auto"/>
              <w:jc w:val="both"/>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Incorrecta verificación, asignación o administración de los  activos fijos y elementos de consumo.</w:t>
            </w:r>
          </w:p>
        </w:tc>
        <w:tc>
          <w:tcPr>
            <w:tcW w:w="1348" w:type="pct"/>
            <w:tcBorders>
              <w:top w:val="nil"/>
              <w:left w:val="nil"/>
              <w:bottom w:val="single" w:sz="4" w:space="0" w:color="auto"/>
              <w:right w:val="single" w:sz="4" w:space="0" w:color="auto"/>
            </w:tcBorders>
            <w:shd w:val="clear" w:color="auto" w:fill="auto"/>
            <w:vAlign w:val="center"/>
            <w:hideMark/>
          </w:tcPr>
          <w:p w14:paraId="285B01C9" w14:textId="77777777" w:rsidR="00C85428" w:rsidRPr="005B4190" w:rsidRDefault="00C85428" w:rsidP="00131BA6">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Administración de bienes</w:t>
            </w:r>
          </w:p>
        </w:tc>
        <w:tc>
          <w:tcPr>
            <w:tcW w:w="935" w:type="pct"/>
            <w:tcBorders>
              <w:top w:val="nil"/>
              <w:left w:val="nil"/>
              <w:bottom w:val="single" w:sz="4" w:space="0" w:color="auto"/>
              <w:right w:val="single" w:sz="4" w:space="0" w:color="auto"/>
            </w:tcBorders>
            <w:shd w:val="clear" w:color="000000" w:fill="FFFF00"/>
            <w:noWrap/>
            <w:vAlign w:val="center"/>
            <w:hideMark/>
          </w:tcPr>
          <w:p w14:paraId="46603CE9" w14:textId="77777777" w:rsidR="00C85428" w:rsidRPr="005B4190" w:rsidRDefault="00C85428" w:rsidP="00B32204">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MODERADO</w:t>
            </w:r>
          </w:p>
        </w:tc>
      </w:tr>
      <w:tr w:rsidR="00C85428" w:rsidRPr="005B4190" w14:paraId="09334514" w14:textId="77777777" w:rsidTr="00932139">
        <w:trPr>
          <w:trHeight w:val="70"/>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2220E135" w14:textId="77777777" w:rsidR="00C85428" w:rsidRPr="005B4190" w:rsidRDefault="00C85428" w:rsidP="005B4190">
            <w:pPr>
              <w:widowControl/>
              <w:suppressAutoHyphens w:val="0"/>
              <w:spacing w:line="240" w:lineRule="auto"/>
              <w:jc w:val="both"/>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Uso  indebido de la información que administra el  proceso de Gestión del talento humano para favorecer un interés particular.</w:t>
            </w:r>
          </w:p>
        </w:tc>
        <w:tc>
          <w:tcPr>
            <w:tcW w:w="1348" w:type="pct"/>
            <w:tcBorders>
              <w:top w:val="nil"/>
              <w:left w:val="nil"/>
              <w:bottom w:val="single" w:sz="4" w:space="0" w:color="auto"/>
              <w:right w:val="single" w:sz="4" w:space="0" w:color="auto"/>
            </w:tcBorders>
            <w:shd w:val="clear" w:color="auto" w:fill="auto"/>
            <w:vAlign w:val="center"/>
            <w:hideMark/>
          </w:tcPr>
          <w:p w14:paraId="626C6387" w14:textId="77777777" w:rsidR="00C85428" w:rsidRPr="005B4190" w:rsidRDefault="00C85428" w:rsidP="00131BA6">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Gestión del Talento Humano</w:t>
            </w:r>
          </w:p>
        </w:tc>
        <w:tc>
          <w:tcPr>
            <w:tcW w:w="935" w:type="pct"/>
            <w:tcBorders>
              <w:top w:val="nil"/>
              <w:left w:val="nil"/>
              <w:bottom w:val="single" w:sz="4" w:space="0" w:color="auto"/>
              <w:right w:val="single" w:sz="4" w:space="0" w:color="auto"/>
            </w:tcBorders>
            <w:shd w:val="clear" w:color="000000" w:fill="FFFF00"/>
            <w:noWrap/>
            <w:vAlign w:val="center"/>
            <w:hideMark/>
          </w:tcPr>
          <w:p w14:paraId="73331180" w14:textId="77777777" w:rsidR="00C85428" w:rsidRPr="005B4190" w:rsidRDefault="00C85428" w:rsidP="00B32204">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MODERADO</w:t>
            </w:r>
          </w:p>
        </w:tc>
      </w:tr>
      <w:tr w:rsidR="00C85428" w:rsidRPr="005B4190" w14:paraId="2F35D76B" w14:textId="77777777" w:rsidTr="00932139">
        <w:trPr>
          <w:trHeight w:val="70"/>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0EEDC132" w14:textId="77777777" w:rsidR="00C85428" w:rsidRPr="005B4190" w:rsidRDefault="00C85428" w:rsidP="005B4190">
            <w:pPr>
              <w:widowControl/>
              <w:suppressAutoHyphens w:val="0"/>
              <w:spacing w:line="240" w:lineRule="auto"/>
              <w:jc w:val="both"/>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Clientelismo y conflicto de interés</w:t>
            </w:r>
          </w:p>
        </w:tc>
        <w:tc>
          <w:tcPr>
            <w:tcW w:w="1348" w:type="pct"/>
            <w:tcBorders>
              <w:top w:val="nil"/>
              <w:left w:val="nil"/>
              <w:bottom w:val="single" w:sz="4" w:space="0" w:color="auto"/>
              <w:right w:val="single" w:sz="4" w:space="0" w:color="auto"/>
            </w:tcBorders>
            <w:shd w:val="clear" w:color="auto" w:fill="auto"/>
            <w:vAlign w:val="center"/>
            <w:hideMark/>
          </w:tcPr>
          <w:p w14:paraId="52196617" w14:textId="58B043E2" w:rsidR="00C85428" w:rsidRPr="005B4190" w:rsidRDefault="00C85428" w:rsidP="00131BA6">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Divulgación y Apropiación  Social del Patrimonio</w:t>
            </w:r>
          </w:p>
        </w:tc>
        <w:tc>
          <w:tcPr>
            <w:tcW w:w="935" w:type="pct"/>
            <w:tcBorders>
              <w:top w:val="nil"/>
              <w:left w:val="nil"/>
              <w:bottom w:val="single" w:sz="4" w:space="0" w:color="auto"/>
              <w:right w:val="single" w:sz="4" w:space="0" w:color="auto"/>
            </w:tcBorders>
            <w:shd w:val="clear" w:color="000000" w:fill="FFFF00"/>
            <w:noWrap/>
            <w:vAlign w:val="center"/>
            <w:hideMark/>
          </w:tcPr>
          <w:p w14:paraId="336E72C6" w14:textId="77777777" w:rsidR="00C85428" w:rsidRPr="005B4190" w:rsidRDefault="00C85428" w:rsidP="00B32204">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MODERADO</w:t>
            </w:r>
          </w:p>
        </w:tc>
      </w:tr>
      <w:tr w:rsidR="00C85428" w:rsidRPr="005B4190" w14:paraId="47C3E6AE" w14:textId="77777777" w:rsidTr="00932139">
        <w:trPr>
          <w:trHeight w:val="180"/>
          <w:jc w:val="center"/>
        </w:trPr>
        <w:tc>
          <w:tcPr>
            <w:tcW w:w="2717" w:type="pct"/>
            <w:tcBorders>
              <w:top w:val="nil"/>
              <w:left w:val="single" w:sz="4" w:space="0" w:color="auto"/>
              <w:bottom w:val="single" w:sz="4" w:space="0" w:color="auto"/>
              <w:right w:val="single" w:sz="4" w:space="0" w:color="auto"/>
            </w:tcBorders>
            <w:shd w:val="clear" w:color="auto" w:fill="auto"/>
            <w:vAlign w:val="center"/>
            <w:hideMark/>
          </w:tcPr>
          <w:p w14:paraId="3F95F445" w14:textId="77777777" w:rsidR="00C85428" w:rsidRPr="005B4190" w:rsidRDefault="00C85428" w:rsidP="005B4190">
            <w:pPr>
              <w:widowControl/>
              <w:suppressAutoHyphens w:val="0"/>
              <w:spacing w:line="240" w:lineRule="auto"/>
              <w:jc w:val="both"/>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Ausencia o debilidad en los  canales de</w:t>
            </w:r>
            <w:r w:rsidRPr="005B4190">
              <w:rPr>
                <w:rFonts w:ascii="Arial" w:eastAsia="Times New Roman" w:hAnsi="Arial" w:cs="Arial"/>
                <w:color w:val="auto"/>
                <w:sz w:val="20"/>
                <w:szCs w:val="20"/>
                <w:lang w:eastAsia="es-ES"/>
              </w:rPr>
              <w:br/>
              <w:t>comunicación</w:t>
            </w:r>
          </w:p>
        </w:tc>
        <w:tc>
          <w:tcPr>
            <w:tcW w:w="1348" w:type="pct"/>
            <w:tcBorders>
              <w:top w:val="nil"/>
              <w:left w:val="nil"/>
              <w:bottom w:val="single" w:sz="4" w:space="0" w:color="auto"/>
              <w:right w:val="single" w:sz="4" w:space="0" w:color="auto"/>
            </w:tcBorders>
            <w:shd w:val="clear" w:color="auto" w:fill="auto"/>
            <w:vAlign w:val="center"/>
            <w:hideMark/>
          </w:tcPr>
          <w:p w14:paraId="76C8D115" w14:textId="77777777" w:rsidR="00C85428" w:rsidRPr="005B4190" w:rsidRDefault="00C85428" w:rsidP="00131BA6">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 xml:space="preserve">Comunicación Estratégica </w:t>
            </w:r>
          </w:p>
        </w:tc>
        <w:tc>
          <w:tcPr>
            <w:tcW w:w="935" w:type="pct"/>
            <w:tcBorders>
              <w:top w:val="nil"/>
              <w:left w:val="nil"/>
              <w:bottom w:val="single" w:sz="4" w:space="0" w:color="auto"/>
              <w:right w:val="single" w:sz="4" w:space="0" w:color="auto"/>
            </w:tcBorders>
            <w:shd w:val="clear" w:color="000000" w:fill="FFFF00"/>
            <w:noWrap/>
            <w:vAlign w:val="center"/>
            <w:hideMark/>
          </w:tcPr>
          <w:p w14:paraId="110A008D" w14:textId="77777777" w:rsidR="00C85428" w:rsidRPr="005B4190" w:rsidRDefault="00C85428" w:rsidP="00B32204">
            <w:pPr>
              <w:widowControl/>
              <w:suppressAutoHyphens w:val="0"/>
              <w:spacing w:line="240" w:lineRule="auto"/>
              <w:jc w:val="center"/>
              <w:rPr>
                <w:rFonts w:ascii="Arial" w:eastAsia="Times New Roman" w:hAnsi="Arial" w:cs="Arial"/>
                <w:color w:val="auto"/>
                <w:sz w:val="20"/>
                <w:szCs w:val="20"/>
                <w:lang w:eastAsia="es-ES"/>
              </w:rPr>
            </w:pPr>
            <w:r w:rsidRPr="005B4190">
              <w:rPr>
                <w:rFonts w:ascii="Arial" w:eastAsia="Times New Roman" w:hAnsi="Arial" w:cs="Arial"/>
                <w:color w:val="auto"/>
                <w:sz w:val="20"/>
                <w:szCs w:val="20"/>
                <w:lang w:eastAsia="es-ES"/>
              </w:rPr>
              <w:t>MODERADO</w:t>
            </w:r>
          </w:p>
        </w:tc>
      </w:tr>
    </w:tbl>
    <w:p w14:paraId="1B8A13D9" w14:textId="77777777" w:rsidR="00B16CA6" w:rsidRDefault="00B16CA6" w:rsidP="005B4190">
      <w:pPr>
        <w:spacing w:line="240" w:lineRule="auto"/>
        <w:jc w:val="both"/>
        <w:rPr>
          <w:rFonts w:asciiTheme="minorHAnsi" w:hAnsiTheme="minorHAnsi" w:cs="Arial"/>
          <w:b/>
          <w:sz w:val="22"/>
          <w:szCs w:val="22"/>
        </w:rPr>
      </w:pPr>
    </w:p>
    <w:p w14:paraId="41B19F29" w14:textId="5638D6DC" w:rsidR="00034D7D" w:rsidRPr="005B4190" w:rsidRDefault="005B4190" w:rsidP="005B4190">
      <w:pPr>
        <w:spacing w:line="240" w:lineRule="auto"/>
        <w:jc w:val="both"/>
        <w:rPr>
          <w:rFonts w:ascii="Arial" w:hAnsi="Arial" w:cs="Arial"/>
          <w:sz w:val="22"/>
          <w:szCs w:val="20"/>
        </w:rPr>
      </w:pPr>
      <w:r>
        <w:rPr>
          <w:rFonts w:ascii="Arial" w:hAnsi="Arial" w:cs="Arial"/>
          <w:sz w:val="22"/>
          <w:szCs w:val="20"/>
        </w:rPr>
        <w:t>En seguimiento realizado con corte a</w:t>
      </w:r>
      <w:r w:rsidR="0015270A">
        <w:rPr>
          <w:rFonts w:ascii="Arial" w:hAnsi="Arial" w:cs="Arial"/>
          <w:sz w:val="22"/>
          <w:szCs w:val="20"/>
        </w:rPr>
        <w:t>l 3</w:t>
      </w:r>
      <w:r>
        <w:rPr>
          <w:rFonts w:ascii="Arial" w:hAnsi="Arial" w:cs="Arial"/>
          <w:sz w:val="22"/>
          <w:szCs w:val="20"/>
        </w:rPr>
        <w:t>1</w:t>
      </w:r>
      <w:r w:rsidR="0015270A">
        <w:rPr>
          <w:rFonts w:ascii="Arial" w:hAnsi="Arial" w:cs="Arial"/>
          <w:sz w:val="22"/>
          <w:szCs w:val="20"/>
        </w:rPr>
        <w:t xml:space="preserve"> de </w:t>
      </w:r>
      <w:r w:rsidR="002C2D57">
        <w:rPr>
          <w:rFonts w:ascii="Arial" w:hAnsi="Arial" w:cs="Arial"/>
          <w:sz w:val="22"/>
          <w:szCs w:val="20"/>
        </w:rPr>
        <w:t>diciembre</w:t>
      </w:r>
      <w:r>
        <w:rPr>
          <w:rFonts w:ascii="Arial" w:hAnsi="Arial" w:cs="Arial"/>
          <w:sz w:val="22"/>
          <w:szCs w:val="20"/>
        </w:rPr>
        <w:t>,</w:t>
      </w:r>
      <w:r w:rsidR="00A859CA">
        <w:rPr>
          <w:rFonts w:ascii="Arial" w:hAnsi="Arial" w:cs="Arial"/>
          <w:sz w:val="22"/>
          <w:szCs w:val="20"/>
        </w:rPr>
        <w:t xml:space="preserve"> </w:t>
      </w:r>
      <w:r w:rsidR="00034D7D">
        <w:rPr>
          <w:rFonts w:ascii="Arial" w:hAnsi="Arial" w:cs="Arial"/>
          <w:sz w:val="22"/>
          <w:szCs w:val="20"/>
        </w:rPr>
        <w:t xml:space="preserve">se </w:t>
      </w:r>
      <w:r>
        <w:rPr>
          <w:rFonts w:ascii="Arial" w:hAnsi="Arial" w:cs="Arial"/>
          <w:sz w:val="22"/>
          <w:szCs w:val="20"/>
        </w:rPr>
        <w:t xml:space="preserve">evidencia que no sea </w:t>
      </w:r>
      <w:r w:rsidR="00034D7D" w:rsidRPr="00730430">
        <w:rPr>
          <w:rFonts w:ascii="Arial" w:hAnsi="Arial" w:cs="Arial"/>
          <w:sz w:val="22"/>
          <w:szCs w:val="20"/>
        </w:rPr>
        <w:t xml:space="preserve">ha presentado materialización de los riesgos </w:t>
      </w:r>
      <w:r w:rsidR="002C2D57">
        <w:rPr>
          <w:rFonts w:ascii="Arial" w:hAnsi="Arial" w:cs="Arial"/>
          <w:sz w:val="22"/>
          <w:szCs w:val="20"/>
        </w:rPr>
        <w:t>nombrados anteriormente</w:t>
      </w:r>
      <w:r w:rsidR="00034D7D" w:rsidRPr="00730430">
        <w:rPr>
          <w:rFonts w:ascii="Arial" w:hAnsi="Arial" w:cs="Arial"/>
          <w:sz w:val="22"/>
          <w:szCs w:val="20"/>
        </w:rPr>
        <w:t>.</w:t>
      </w:r>
    </w:p>
    <w:p w14:paraId="2AED19D0" w14:textId="77777777" w:rsidR="00FC2E3F" w:rsidRDefault="00FC2E3F" w:rsidP="005B4190">
      <w:pPr>
        <w:spacing w:line="240" w:lineRule="auto"/>
        <w:jc w:val="both"/>
        <w:rPr>
          <w:rFonts w:asciiTheme="minorHAnsi" w:hAnsiTheme="minorHAnsi" w:cs="Arial"/>
          <w:b/>
          <w:sz w:val="22"/>
          <w:szCs w:val="22"/>
        </w:rPr>
      </w:pPr>
    </w:p>
    <w:p w14:paraId="407748CB" w14:textId="77777777" w:rsidR="00763A7E" w:rsidRDefault="00763A7E" w:rsidP="005B4190">
      <w:pPr>
        <w:spacing w:line="240" w:lineRule="auto"/>
        <w:jc w:val="both"/>
        <w:rPr>
          <w:rFonts w:asciiTheme="minorHAnsi" w:hAnsiTheme="minorHAnsi" w:cs="Arial"/>
          <w:b/>
          <w:sz w:val="22"/>
          <w:szCs w:val="22"/>
        </w:rPr>
      </w:pPr>
    </w:p>
    <w:p w14:paraId="7730AF6F" w14:textId="099B2859" w:rsidR="00782980" w:rsidRPr="00730430" w:rsidRDefault="00782980" w:rsidP="005B4190">
      <w:pPr>
        <w:pStyle w:val="m7007535857312232601gmail-msolistparagraph"/>
        <w:numPr>
          <w:ilvl w:val="1"/>
          <w:numId w:val="14"/>
        </w:numPr>
        <w:shd w:val="clear" w:color="auto" w:fill="FFFFFF"/>
        <w:spacing w:before="0" w:beforeAutospacing="0" w:after="0" w:afterAutospacing="0"/>
        <w:ind w:left="851"/>
        <w:jc w:val="both"/>
        <w:rPr>
          <w:rFonts w:ascii="Arial" w:hAnsi="Arial" w:cs="Arial"/>
          <w:b/>
          <w:bCs/>
          <w:sz w:val="28"/>
          <w:szCs w:val="44"/>
        </w:rPr>
      </w:pPr>
      <w:r w:rsidRPr="00730430">
        <w:rPr>
          <w:rFonts w:ascii="Arial" w:hAnsi="Arial" w:cs="Arial"/>
          <w:b/>
          <w:bCs/>
          <w:sz w:val="28"/>
          <w:szCs w:val="44"/>
        </w:rPr>
        <w:t>Riesgos de gestión</w:t>
      </w:r>
    </w:p>
    <w:p w14:paraId="21C73E72" w14:textId="77777777" w:rsidR="00782980" w:rsidRDefault="00782980" w:rsidP="005B4190">
      <w:pPr>
        <w:tabs>
          <w:tab w:val="left" w:pos="1095"/>
        </w:tabs>
        <w:spacing w:line="240" w:lineRule="auto"/>
        <w:jc w:val="both"/>
        <w:rPr>
          <w:rFonts w:ascii="Arial" w:hAnsi="Arial" w:cs="Arial"/>
          <w:sz w:val="20"/>
          <w:szCs w:val="20"/>
        </w:rPr>
      </w:pPr>
    </w:p>
    <w:p w14:paraId="65F17F16" w14:textId="6F316358" w:rsidR="00B16CA6" w:rsidRPr="00730430" w:rsidRDefault="00B16CA6" w:rsidP="005B4190">
      <w:pPr>
        <w:tabs>
          <w:tab w:val="left" w:pos="1095"/>
        </w:tabs>
        <w:spacing w:line="240" w:lineRule="auto"/>
        <w:jc w:val="both"/>
        <w:rPr>
          <w:rFonts w:ascii="Arial" w:hAnsi="Arial" w:cs="Arial"/>
          <w:sz w:val="22"/>
          <w:szCs w:val="20"/>
        </w:rPr>
      </w:pPr>
      <w:r w:rsidRPr="00730430">
        <w:rPr>
          <w:rFonts w:ascii="Arial" w:hAnsi="Arial" w:cs="Arial"/>
          <w:sz w:val="22"/>
          <w:szCs w:val="20"/>
        </w:rPr>
        <w:t>Entre febrero y marzo de 2019</w:t>
      </w:r>
      <w:r w:rsidR="00341111">
        <w:rPr>
          <w:rFonts w:ascii="Arial" w:hAnsi="Arial" w:cs="Arial"/>
          <w:sz w:val="22"/>
          <w:szCs w:val="20"/>
        </w:rPr>
        <w:t>,</w:t>
      </w:r>
      <w:r w:rsidRPr="00730430">
        <w:rPr>
          <w:rFonts w:ascii="Arial" w:hAnsi="Arial" w:cs="Arial"/>
          <w:sz w:val="22"/>
          <w:szCs w:val="20"/>
        </w:rPr>
        <w:t xml:space="preserve"> los</w:t>
      </w:r>
      <w:r w:rsidR="0018595B">
        <w:rPr>
          <w:rFonts w:ascii="Arial" w:hAnsi="Arial" w:cs="Arial"/>
          <w:sz w:val="22"/>
          <w:szCs w:val="20"/>
        </w:rPr>
        <w:t xml:space="preserve"> responsables de los</w:t>
      </w:r>
      <w:r w:rsidRPr="00730430">
        <w:rPr>
          <w:rFonts w:ascii="Arial" w:hAnsi="Arial" w:cs="Arial"/>
          <w:sz w:val="22"/>
          <w:szCs w:val="20"/>
        </w:rPr>
        <w:t xml:space="preserve"> procesos del IDPC realizaron </w:t>
      </w:r>
      <w:r w:rsidR="00BF25E3">
        <w:rPr>
          <w:rFonts w:ascii="Arial" w:hAnsi="Arial" w:cs="Arial"/>
          <w:sz w:val="22"/>
          <w:szCs w:val="20"/>
        </w:rPr>
        <w:t xml:space="preserve">el </w:t>
      </w:r>
      <w:r w:rsidRPr="00730430">
        <w:rPr>
          <w:rFonts w:ascii="Arial" w:hAnsi="Arial" w:cs="Arial"/>
          <w:sz w:val="22"/>
          <w:szCs w:val="20"/>
        </w:rPr>
        <w:t>cierre del mapa de riesgos trabajado en la vigencia 2018</w:t>
      </w:r>
      <w:r w:rsidR="00BF25E3">
        <w:rPr>
          <w:rFonts w:ascii="Arial" w:hAnsi="Arial" w:cs="Arial"/>
          <w:sz w:val="22"/>
          <w:szCs w:val="20"/>
        </w:rPr>
        <w:t>;</w:t>
      </w:r>
      <w:r w:rsidRPr="00730430">
        <w:rPr>
          <w:rFonts w:ascii="Arial" w:hAnsi="Arial" w:cs="Arial"/>
          <w:sz w:val="22"/>
          <w:szCs w:val="20"/>
        </w:rPr>
        <w:t xml:space="preserve"> </w:t>
      </w:r>
      <w:r w:rsidR="003A537E" w:rsidRPr="00D705E3">
        <w:rPr>
          <w:rFonts w:ascii="Arial" w:hAnsi="Arial" w:cs="Arial"/>
          <w:sz w:val="22"/>
          <w:szCs w:val="20"/>
        </w:rPr>
        <w:t>adicionalmente, realizaron la revisión y actualización del Mapa de Riesgos de Gestión para la presente vigencia, a partir del análisis de los controles existentes y los resultados de la ejecución de las actividades de mitigación, así como la probabilidad e impacto de los riesgos identificados</w:t>
      </w:r>
      <w:r w:rsidR="00280EE9">
        <w:rPr>
          <w:rFonts w:ascii="Arial" w:hAnsi="Arial" w:cs="Arial"/>
          <w:sz w:val="22"/>
          <w:szCs w:val="20"/>
        </w:rPr>
        <w:t>.</w:t>
      </w:r>
    </w:p>
    <w:p w14:paraId="03B6257C" w14:textId="77777777" w:rsidR="00F000F3" w:rsidRPr="00730430" w:rsidRDefault="00F000F3" w:rsidP="005B4190">
      <w:pPr>
        <w:tabs>
          <w:tab w:val="left" w:pos="1095"/>
        </w:tabs>
        <w:spacing w:line="240" w:lineRule="auto"/>
        <w:jc w:val="both"/>
        <w:rPr>
          <w:rFonts w:ascii="Arial" w:hAnsi="Arial" w:cs="Arial"/>
          <w:sz w:val="22"/>
          <w:szCs w:val="20"/>
        </w:rPr>
      </w:pPr>
    </w:p>
    <w:p w14:paraId="4B7D0585" w14:textId="63B260D3" w:rsidR="00C85428" w:rsidRDefault="00131BA6" w:rsidP="005B4190">
      <w:pPr>
        <w:tabs>
          <w:tab w:val="left" w:pos="1095"/>
        </w:tabs>
        <w:spacing w:line="240" w:lineRule="auto"/>
        <w:jc w:val="both"/>
        <w:rPr>
          <w:rFonts w:ascii="Arial" w:hAnsi="Arial" w:cs="Arial"/>
          <w:sz w:val="22"/>
          <w:szCs w:val="20"/>
        </w:rPr>
      </w:pPr>
      <w:r>
        <w:rPr>
          <w:rFonts w:ascii="Arial" w:hAnsi="Arial" w:cs="Arial"/>
          <w:sz w:val="22"/>
          <w:szCs w:val="20"/>
        </w:rPr>
        <w:t>En la siguiente tabla</w:t>
      </w:r>
      <w:r w:rsidR="0018595B" w:rsidRPr="00730430">
        <w:rPr>
          <w:rFonts w:ascii="Arial" w:hAnsi="Arial" w:cs="Arial"/>
          <w:sz w:val="22"/>
          <w:szCs w:val="20"/>
        </w:rPr>
        <w:t xml:space="preserve"> se </w:t>
      </w:r>
      <w:r w:rsidR="0018595B">
        <w:rPr>
          <w:rFonts w:ascii="Arial" w:hAnsi="Arial" w:cs="Arial"/>
          <w:sz w:val="22"/>
          <w:szCs w:val="20"/>
        </w:rPr>
        <w:t>relaciona</w:t>
      </w:r>
      <w:r w:rsidR="005B4190">
        <w:rPr>
          <w:rFonts w:ascii="Arial" w:hAnsi="Arial" w:cs="Arial"/>
          <w:sz w:val="22"/>
          <w:szCs w:val="20"/>
        </w:rPr>
        <w:t>n</w:t>
      </w:r>
      <w:r w:rsidR="0018595B">
        <w:rPr>
          <w:rFonts w:ascii="Arial" w:hAnsi="Arial" w:cs="Arial"/>
          <w:sz w:val="22"/>
          <w:szCs w:val="20"/>
        </w:rPr>
        <w:t xml:space="preserve"> </w:t>
      </w:r>
      <w:r w:rsidR="0018595B" w:rsidRPr="00730430">
        <w:rPr>
          <w:rFonts w:ascii="Arial" w:hAnsi="Arial" w:cs="Arial"/>
          <w:sz w:val="22"/>
          <w:szCs w:val="20"/>
        </w:rPr>
        <w:t>los riesgos</w:t>
      </w:r>
      <w:r w:rsidR="00280EE9">
        <w:rPr>
          <w:rFonts w:ascii="Arial" w:hAnsi="Arial" w:cs="Arial"/>
          <w:sz w:val="22"/>
          <w:szCs w:val="20"/>
        </w:rPr>
        <w:t xml:space="preserve"> de gestión </w:t>
      </w:r>
      <w:r w:rsidR="0018595B" w:rsidRPr="00730430">
        <w:rPr>
          <w:rFonts w:ascii="Arial" w:hAnsi="Arial" w:cs="Arial"/>
          <w:sz w:val="22"/>
          <w:szCs w:val="20"/>
        </w:rPr>
        <w:t xml:space="preserve">y la zona del </w:t>
      </w:r>
      <w:r w:rsidR="00280EE9">
        <w:rPr>
          <w:rFonts w:ascii="Arial" w:hAnsi="Arial" w:cs="Arial"/>
          <w:sz w:val="22"/>
          <w:szCs w:val="20"/>
        </w:rPr>
        <w:t xml:space="preserve">riesgo en </w:t>
      </w:r>
      <w:r w:rsidR="005B4190">
        <w:rPr>
          <w:rFonts w:ascii="Arial" w:hAnsi="Arial" w:cs="Arial"/>
          <w:sz w:val="22"/>
          <w:szCs w:val="20"/>
        </w:rPr>
        <w:t xml:space="preserve">la </w:t>
      </w:r>
      <w:r w:rsidR="00280EE9">
        <w:rPr>
          <w:rFonts w:ascii="Arial" w:hAnsi="Arial" w:cs="Arial"/>
          <w:sz w:val="22"/>
          <w:szCs w:val="20"/>
        </w:rPr>
        <w:t>que se encuentran:</w:t>
      </w:r>
    </w:p>
    <w:p w14:paraId="6C6DAB8A" w14:textId="77777777" w:rsidR="00131BA6" w:rsidRDefault="00131BA6" w:rsidP="005B4190">
      <w:pPr>
        <w:tabs>
          <w:tab w:val="left" w:pos="1095"/>
        </w:tabs>
        <w:spacing w:line="240" w:lineRule="auto"/>
        <w:jc w:val="both"/>
        <w:rPr>
          <w:rFonts w:ascii="Arial" w:hAnsi="Arial" w:cs="Arial"/>
          <w:sz w:val="22"/>
          <w:szCs w:val="20"/>
        </w:rPr>
      </w:pPr>
    </w:p>
    <w:p w14:paraId="3B306C76" w14:textId="77777777" w:rsidR="00763A7E" w:rsidRDefault="00763A7E" w:rsidP="005B4190">
      <w:pPr>
        <w:tabs>
          <w:tab w:val="left" w:pos="1095"/>
        </w:tabs>
        <w:spacing w:line="240" w:lineRule="auto"/>
        <w:jc w:val="both"/>
        <w:rPr>
          <w:rFonts w:ascii="Arial" w:hAnsi="Arial" w:cs="Arial"/>
          <w:sz w:val="22"/>
          <w:szCs w:val="20"/>
        </w:rPr>
      </w:pPr>
    </w:p>
    <w:p w14:paraId="41544A93" w14:textId="77777777" w:rsidR="00763A7E" w:rsidRDefault="00763A7E" w:rsidP="005B4190">
      <w:pPr>
        <w:tabs>
          <w:tab w:val="left" w:pos="1095"/>
        </w:tabs>
        <w:spacing w:line="240" w:lineRule="auto"/>
        <w:jc w:val="both"/>
        <w:rPr>
          <w:rFonts w:ascii="Arial" w:hAnsi="Arial" w:cs="Arial"/>
          <w:sz w:val="22"/>
          <w:szCs w:val="20"/>
        </w:rPr>
      </w:pPr>
    </w:p>
    <w:p w14:paraId="4BBDC71B" w14:textId="77777777" w:rsidR="00763A7E" w:rsidRDefault="00763A7E" w:rsidP="005B4190">
      <w:pPr>
        <w:tabs>
          <w:tab w:val="left" w:pos="1095"/>
        </w:tabs>
        <w:spacing w:line="240" w:lineRule="auto"/>
        <w:jc w:val="both"/>
        <w:rPr>
          <w:rFonts w:ascii="Arial" w:hAnsi="Arial" w:cs="Arial"/>
          <w:sz w:val="22"/>
          <w:szCs w:val="20"/>
        </w:rPr>
      </w:pPr>
    </w:p>
    <w:p w14:paraId="722F902B" w14:textId="5807585F" w:rsidR="00131BA6" w:rsidRDefault="00131BA6" w:rsidP="00131BA6">
      <w:pPr>
        <w:tabs>
          <w:tab w:val="left" w:pos="1095"/>
        </w:tabs>
        <w:spacing w:line="240" w:lineRule="auto"/>
        <w:jc w:val="center"/>
        <w:rPr>
          <w:rFonts w:ascii="Arial" w:hAnsi="Arial" w:cs="Arial"/>
          <w:sz w:val="18"/>
          <w:szCs w:val="18"/>
        </w:rPr>
      </w:pPr>
      <w:r w:rsidRPr="00932139">
        <w:rPr>
          <w:rFonts w:ascii="Arial" w:hAnsi="Arial" w:cs="Arial"/>
          <w:sz w:val="18"/>
          <w:szCs w:val="18"/>
        </w:rPr>
        <w:t xml:space="preserve">Tabla. Relación de riesgos de gestión por proceso y </w:t>
      </w:r>
      <w:r w:rsidR="00A859CA">
        <w:rPr>
          <w:rFonts w:ascii="Arial" w:hAnsi="Arial" w:cs="Arial"/>
          <w:sz w:val="18"/>
          <w:szCs w:val="18"/>
        </w:rPr>
        <w:t>zona de</w:t>
      </w:r>
      <w:r w:rsidRPr="00932139">
        <w:rPr>
          <w:rFonts w:ascii="Arial" w:hAnsi="Arial" w:cs="Arial"/>
          <w:sz w:val="18"/>
          <w:szCs w:val="18"/>
        </w:rPr>
        <w:t xml:space="preserve"> riesgo</w:t>
      </w:r>
      <w:r w:rsidR="00A859CA">
        <w:rPr>
          <w:rFonts w:ascii="Arial" w:hAnsi="Arial" w:cs="Arial"/>
          <w:sz w:val="18"/>
          <w:szCs w:val="18"/>
        </w:rPr>
        <w:t xml:space="preserve"> residual</w:t>
      </w:r>
    </w:p>
    <w:p w14:paraId="59BDCA35" w14:textId="77777777" w:rsidR="00763A7E" w:rsidRPr="00932139" w:rsidRDefault="00763A7E" w:rsidP="00131BA6">
      <w:pPr>
        <w:tabs>
          <w:tab w:val="left" w:pos="1095"/>
        </w:tabs>
        <w:spacing w:line="240" w:lineRule="auto"/>
        <w:jc w:val="center"/>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2441"/>
        <w:gridCol w:w="1693"/>
      </w:tblGrid>
      <w:tr w:rsidR="008E62F3" w:rsidRPr="000A1821" w14:paraId="7F8CEE98" w14:textId="77777777" w:rsidTr="008E62F3">
        <w:trPr>
          <w:tblHeader/>
        </w:trPr>
        <w:tc>
          <w:tcPr>
            <w:tcW w:w="2717" w:type="pct"/>
            <w:shd w:val="clear" w:color="auto" w:fill="BFBFBF" w:themeFill="background1" w:themeFillShade="BF"/>
            <w:vAlign w:val="center"/>
            <w:hideMark/>
          </w:tcPr>
          <w:p w14:paraId="40DD1844" w14:textId="77777777" w:rsidR="008E62F3" w:rsidRPr="00922756" w:rsidRDefault="008E62F3" w:rsidP="00BF6752">
            <w:pPr>
              <w:widowControl/>
              <w:suppressAutoHyphens w:val="0"/>
              <w:spacing w:line="240" w:lineRule="auto"/>
              <w:jc w:val="center"/>
              <w:rPr>
                <w:rFonts w:ascii="Arial" w:eastAsia="Times New Roman" w:hAnsi="Arial" w:cs="Arial"/>
                <w:b/>
                <w:bCs/>
                <w:color w:val="auto"/>
                <w:sz w:val="18"/>
                <w:szCs w:val="18"/>
                <w:lang w:eastAsia="es-ES"/>
              </w:rPr>
            </w:pPr>
            <w:r w:rsidRPr="00922756">
              <w:rPr>
                <w:rFonts w:ascii="Arial" w:eastAsia="Times New Roman" w:hAnsi="Arial" w:cs="Arial"/>
                <w:b/>
                <w:bCs/>
                <w:color w:val="auto"/>
                <w:sz w:val="18"/>
                <w:szCs w:val="18"/>
                <w:lang w:eastAsia="es-ES"/>
              </w:rPr>
              <w:t xml:space="preserve">Riesgo de Gestión </w:t>
            </w:r>
          </w:p>
        </w:tc>
        <w:tc>
          <w:tcPr>
            <w:tcW w:w="1348" w:type="pct"/>
            <w:shd w:val="clear" w:color="auto" w:fill="BFBFBF" w:themeFill="background1" w:themeFillShade="BF"/>
            <w:vAlign w:val="center"/>
            <w:hideMark/>
          </w:tcPr>
          <w:p w14:paraId="7CF8BC05" w14:textId="77777777" w:rsidR="008E62F3" w:rsidRPr="00922756" w:rsidRDefault="008E62F3" w:rsidP="00BF6752">
            <w:pPr>
              <w:widowControl/>
              <w:suppressAutoHyphens w:val="0"/>
              <w:spacing w:line="240" w:lineRule="auto"/>
              <w:jc w:val="center"/>
              <w:rPr>
                <w:rFonts w:ascii="Arial" w:eastAsia="Times New Roman" w:hAnsi="Arial" w:cs="Arial"/>
                <w:b/>
                <w:bCs/>
                <w:color w:val="auto"/>
                <w:sz w:val="18"/>
                <w:szCs w:val="18"/>
                <w:lang w:eastAsia="es-ES"/>
              </w:rPr>
            </w:pPr>
            <w:r w:rsidRPr="00922756">
              <w:rPr>
                <w:rFonts w:ascii="Arial" w:eastAsia="Times New Roman" w:hAnsi="Arial" w:cs="Arial"/>
                <w:b/>
                <w:bCs/>
                <w:color w:val="auto"/>
                <w:sz w:val="18"/>
                <w:szCs w:val="18"/>
                <w:lang w:eastAsia="es-ES"/>
              </w:rPr>
              <w:t>Proceso</w:t>
            </w:r>
          </w:p>
        </w:tc>
        <w:tc>
          <w:tcPr>
            <w:tcW w:w="935" w:type="pct"/>
            <w:shd w:val="clear" w:color="auto" w:fill="BFBFBF" w:themeFill="background1" w:themeFillShade="BF"/>
            <w:vAlign w:val="center"/>
            <w:hideMark/>
          </w:tcPr>
          <w:p w14:paraId="6D520B6B" w14:textId="77777777" w:rsidR="008E62F3" w:rsidRPr="00922756" w:rsidRDefault="008E62F3" w:rsidP="00BF6752">
            <w:pPr>
              <w:widowControl/>
              <w:suppressAutoHyphens w:val="0"/>
              <w:spacing w:line="240" w:lineRule="auto"/>
              <w:jc w:val="center"/>
              <w:rPr>
                <w:rFonts w:ascii="Arial" w:eastAsia="Times New Roman" w:hAnsi="Arial" w:cs="Arial"/>
                <w:b/>
                <w:bCs/>
                <w:color w:val="auto"/>
                <w:sz w:val="18"/>
                <w:szCs w:val="18"/>
                <w:lang w:eastAsia="es-ES"/>
              </w:rPr>
            </w:pPr>
            <w:r w:rsidRPr="00922756">
              <w:rPr>
                <w:rFonts w:ascii="Arial" w:eastAsia="Times New Roman" w:hAnsi="Arial" w:cs="Arial"/>
                <w:b/>
                <w:bCs/>
                <w:color w:val="auto"/>
                <w:sz w:val="18"/>
                <w:szCs w:val="18"/>
                <w:lang w:eastAsia="es-ES"/>
              </w:rPr>
              <w:t>Zona de Riesgo Residual</w:t>
            </w:r>
          </w:p>
        </w:tc>
      </w:tr>
      <w:tr w:rsidR="008E62F3" w:rsidRPr="000A1821" w14:paraId="788C3BD7" w14:textId="77777777" w:rsidTr="00763A7E">
        <w:trPr>
          <w:trHeight w:val="600"/>
        </w:trPr>
        <w:tc>
          <w:tcPr>
            <w:tcW w:w="2717" w:type="pct"/>
            <w:vAlign w:val="center"/>
            <w:hideMark/>
          </w:tcPr>
          <w:p w14:paraId="5CAA3E9E"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Incumplimiento en la generación de respuestas oportunas a los trámites presentados por la ciudadanía.</w:t>
            </w:r>
          </w:p>
        </w:tc>
        <w:tc>
          <w:tcPr>
            <w:tcW w:w="1348" w:type="pct"/>
            <w:vAlign w:val="center"/>
            <w:hideMark/>
          </w:tcPr>
          <w:p w14:paraId="0A3127EA"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Protección e Intervención del Patrimonio</w:t>
            </w:r>
          </w:p>
        </w:tc>
        <w:tc>
          <w:tcPr>
            <w:tcW w:w="935" w:type="pct"/>
            <w:shd w:val="clear" w:color="auto" w:fill="FF0000"/>
            <w:noWrap/>
            <w:vAlign w:val="center"/>
            <w:hideMark/>
          </w:tcPr>
          <w:p w14:paraId="1AD500CB"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EXTREMO</w:t>
            </w:r>
          </w:p>
        </w:tc>
      </w:tr>
      <w:tr w:rsidR="008E62F3" w:rsidRPr="000A1821" w14:paraId="2AEB1A31" w14:textId="77777777" w:rsidTr="00763A7E">
        <w:trPr>
          <w:trHeight w:val="552"/>
        </w:trPr>
        <w:tc>
          <w:tcPr>
            <w:tcW w:w="2717" w:type="pct"/>
            <w:vAlign w:val="center"/>
            <w:hideMark/>
          </w:tcPr>
          <w:p w14:paraId="36E0ADFA"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Interrupción del servicio de la página WEB institucional</w:t>
            </w:r>
          </w:p>
        </w:tc>
        <w:tc>
          <w:tcPr>
            <w:tcW w:w="1348" w:type="pct"/>
            <w:vAlign w:val="center"/>
            <w:hideMark/>
          </w:tcPr>
          <w:p w14:paraId="647F27DC"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Divulgación y Apropiación Social del Patrimonio</w:t>
            </w:r>
          </w:p>
        </w:tc>
        <w:tc>
          <w:tcPr>
            <w:tcW w:w="935" w:type="pct"/>
            <w:shd w:val="clear" w:color="auto" w:fill="FF0000"/>
            <w:noWrap/>
            <w:vAlign w:val="center"/>
            <w:hideMark/>
          </w:tcPr>
          <w:p w14:paraId="7D290D2B"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EXTREMO</w:t>
            </w:r>
          </w:p>
        </w:tc>
      </w:tr>
      <w:tr w:rsidR="008E62F3" w:rsidRPr="000A1821" w14:paraId="183EB63F" w14:textId="77777777" w:rsidTr="00763A7E">
        <w:trPr>
          <w:trHeight w:val="546"/>
        </w:trPr>
        <w:tc>
          <w:tcPr>
            <w:tcW w:w="2717" w:type="pct"/>
            <w:vAlign w:val="center"/>
            <w:hideMark/>
          </w:tcPr>
          <w:p w14:paraId="18588F1D"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Seguimiento  inadecuado en la formulación y ejecución de las metas  institucionales</w:t>
            </w:r>
          </w:p>
        </w:tc>
        <w:tc>
          <w:tcPr>
            <w:tcW w:w="1348" w:type="pct"/>
            <w:vAlign w:val="center"/>
            <w:hideMark/>
          </w:tcPr>
          <w:p w14:paraId="1876FFB0"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Direccionamiento Estratégico</w:t>
            </w:r>
          </w:p>
        </w:tc>
        <w:tc>
          <w:tcPr>
            <w:tcW w:w="935" w:type="pct"/>
            <w:shd w:val="clear" w:color="auto" w:fill="FFC000" w:themeFill="accent4"/>
            <w:noWrap/>
            <w:vAlign w:val="center"/>
            <w:hideMark/>
          </w:tcPr>
          <w:p w14:paraId="283BC699"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72EE20ED" w14:textId="77777777" w:rsidTr="008A1279">
        <w:tc>
          <w:tcPr>
            <w:tcW w:w="2717" w:type="pct"/>
            <w:vAlign w:val="center"/>
            <w:hideMark/>
          </w:tcPr>
          <w:p w14:paraId="38E2607C"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Daño significativo en inmuebles</w:t>
            </w:r>
          </w:p>
        </w:tc>
        <w:tc>
          <w:tcPr>
            <w:tcW w:w="1348" w:type="pct"/>
            <w:vAlign w:val="center"/>
            <w:hideMark/>
          </w:tcPr>
          <w:p w14:paraId="5F9C4777"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Administración de Bienes e Infraestructura</w:t>
            </w:r>
          </w:p>
        </w:tc>
        <w:tc>
          <w:tcPr>
            <w:tcW w:w="935" w:type="pct"/>
            <w:shd w:val="clear" w:color="auto" w:fill="FFC000" w:themeFill="accent4"/>
            <w:noWrap/>
            <w:vAlign w:val="center"/>
            <w:hideMark/>
          </w:tcPr>
          <w:p w14:paraId="096E98F2"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375E4704" w14:textId="77777777" w:rsidTr="008A1279">
        <w:tc>
          <w:tcPr>
            <w:tcW w:w="2717" w:type="pct"/>
            <w:vAlign w:val="center"/>
            <w:hideMark/>
          </w:tcPr>
          <w:p w14:paraId="347219F6"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Daños, deterioro o pérdida de los recursos tecnológicos</w:t>
            </w:r>
          </w:p>
        </w:tc>
        <w:tc>
          <w:tcPr>
            <w:tcW w:w="1348" w:type="pct"/>
            <w:vAlign w:val="center"/>
            <w:hideMark/>
          </w:tcPr>
          <w:p w14:paraId="185AC192"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de Sistemas de Información y Tecnología</w:t>
            </w:r>
          </w:p>
        </w:tc>
        <w:tc>
          <w:tcPr>
            <w:tcW w:w="935" w:type="pct"/>
            <w:shd w:val="clear" w:color="auto" w:fill="FFC000" w:themeFill="accent4"/>
            <w:noWrap/>
            <w:vAlign w:val="center"/>
            <w:hideMark/>
          </w:tcPr>
          <w:p w14:paraId="6CC0B14A"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63EEC3C4" w14:textId="77777777" w:rsidTr="00763A7E">
        <w:trPr>
          <w:trHeight w:val="423"/>
        </w:trPr>
        <w:tc>
          <w:tcPr>
            <w:tcW w:w="2717" w:type="pct"/>
            <w:vAlign w:val="center"/>
            <w:hideMark/>
          </w:tcPr>
          <w:p w14:paraId="36D723EB"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Deficiente supervisión Contractual</w:t>
            </w:r>
          </w:p>
        </w:tc>
        <w:tc>
          <w:tcPr>
            <w:tcW w:w="1348" w:type="pct"/>
            <w:vAlign w:val="center"/>
            <w:hideMark/>
          </w:tcPr>
          <w:p w14:paraId="7689C270"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Contractual</w:t>
            </w:r>
          </w:p>
        </w:tc>
        <w:tc>
          <w:tcPr>
            <w:tcW w:w="935" w:type="pct"/>
            <w:shd w:val="clear" w:color="auto" w:fill="FFC000" w:themeFill="accent4"/>
            <w:noWrap/>
            <w:vAlign w:val="center"/>
            <w:hideMark/>
          </w:tcPr>
          <w:p w14:paraId="1DF53B40"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3F648125" w14:textId="77777777" w:rsidTr="00763A7E">
        <w:trPr>
          <w:trHeight w:val="557"/>
        </w:trPr>
        <w:tc>
          <w:tcPr>
            <w:tcW w:w="2717" w:type="pct"/>
            <w:vAlign w:val="center"/>
            <w:hideMark/>
          </w:tcPr>
          <w:p w14:paraId="59D914E9"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 xml:space="preserve">Desactualización de la información del inventario de Activos </w:t>
            </w:r>
          </w:p>
        </w:tc>
        <w:tc>
          <w:tcPr>
            <w:tcW w:w="1348" w:type="pct"/>
            <w:vAlign w:val="center"/>
            <w:hideMark/>
          </w:tcPr>
          <w:p w14:paraId="78041F42"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Administración de Bienes e Infraestructura</w:t>
            </w:r>
          </w:p>
        </w:tc>
        <w:tc>
          <w:tcPr>
            <w:tcW w:w="935" w:type="pct"/>
            <w:shd w:val="clear" w:color="auto" w:fill="FFC000" w:themeFill="accent4"/>
            <w:noWrap/>
            <w:vAlign w:val="center"/>
            <w:hideMark/>
          </w:tcPr>
          <w:p w14:paraId="51302767"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196E7A0D" w14:textId="77777777" w:rsidTr="008A1279">
        <w:tc>
          <w:tcPr>
            <w:tcW w:w="2717" w:type="pct"/>
            <w:vAlign w:val="center"/>
            <w:hideMark/>
          </w:tcPr>
          <w:p w14:paraId="0DBB4368"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 xml:space="preserve">Desaparición o  hurto de piezas de la colección del Museo de Bogotá   </w:t>
            </w:r>
          </w:p>
        </w:tc>
        <w:tc>
          <w:tcPr>
            <w:tcW w:w="1348" w:type="pct"/>
            <w:vAlign w:val="center"/>
            <w:hideMark/>
          </w:tcPr>
          <w:p w14:paraId="6415B3E3"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Divulgación y Apropiación Social del Patrimonio</w:t>
            </w:r>
          </w:p>
        </w:tc>
        <w:tc>
          <w:tcPr>
            <w:tcW w:w="935" w:type="pct"/>
            <w:shd w:val="clear" w:color="auto" w:fill="FFC000" w:themeFill="accent4"/>
            <w:noWrap/>
            <w:vAlign w:val="center"/>
            <w:hideMark/>
          </w:tcPr>
          <w:p w14:paraId="2FA2F3C4"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55ABF728" w14:textId="77777777" w:rsidTr="00763A7E">
        <w:trPr>
          <w:trHeight w:val="558"/>
        </w:trPr>
        <w:tc>
          <w:tcPr>
            <w:tcW w:w="2717" w:type="pct"/>
            <w:vAlign w:val="center"/>
            <w:hideMark/>
          </w:tcPr>
          <w:p w14:paraId="3E4D0204"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Generación de  respuesta por fuera de los términos establecidos para atender solicitudes ciudadanas</w:t>
            </w:r>
          </w:p>
        </w:tc>
        <w:tc>
          <w:tcPr>
            <w:tcW w:w="1348" w:type="pct"/>
            <w:vAlign w:val="center"/>
            <w:hideMark/>
          </w:tcPr>
          <w:p w14:paraId="2B531D42"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Atención a la Ciudadanía</w:t>
            </w:r>
          </w:p>
        </w:tc>
        <w:tc>
          <w:tcPr>
            <w:tcW w:w="935" w:type="pct"/>
            <w:shd w:val="clear" w:color="auto" w:fill="FFC000" w:themeFill="accent4"/>
            <w:noWrap/>
            <w:vAlign w:val="center"/>
            <w:hideMark/>
          </w:tcPr>
          <w:p w14:paraId="2E964398"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645DC384" w14:textId="77777777" w:rsidTr="00763A7E">
        <w:trPr>
          <w:trHeight w:val="565"/>
        </w:trPr>
        <w:tc>
          <w:tcPr>
            <w:tcW w:w="2717" w:type="pct"/>
            <w:vAlign w:val="center"/>
            <w:hideMark/>
          </w:tcPr>
          <w:p w14:paraId="4135AAAC"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Generar hallazgos  y/o conceptos que no cuenten con el debido soporte o evidencias del caso</w:t>
            </w:r>
          </w:p>
        </w:tc>
        <w:tc>
          <w:tcPr>
            <w:tcW w:w="1348" w:type="pct"/>
            <w:vAlign w:val="center"/>
            <w:hideMark/>
          </w:tcPr>
          <w:p w14:paraId="42E16CF7"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Seguimiento y Evaluación</w:t>
            </w:r>
          </w:p>
        </w:tc>
        <w:tc>
          <w:tcPr>
            <w:tcW w:w="935" w:type="pct"/>
            <w:shd w:val="clear" w:color="auto" w:fill="FFC000" w:themeFill="accent4"/>
            <w:noWrap/>
            <w:vAlign w:val="center"/>
            <w:hideMark/>
          </w:tcPr>
          <w:p w14:paraId="5D1E0975"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525D8827" w14:textId="77777777" w:rsidTr="00763A7E">
        <w:trPr>
          <w:trHeight w:val="546"/>
        </w:trPr>
        <w:tc>
          <w:tcPr>
            <w:tcW w:w="2717" w:type="pct"/>
            <w:vAlign w:val="center"/>
            <w:hideMark/>
          </w:tcPr>
          <w:p w14:paraId="7C227C03"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 xml:space="preserve">Información incompleta y desactualizada en las historias laborales, según lo dispuesto en las TRD. </w:t>
            </w:r>
          </w:p>
        </w:tc>
        <w:tc>
          <w:tcPr>
            <w:tcW w:w="1348" w:type="pct"/>
            <w:vAlign w:val="center"/>
            <w:hideMark/>
          </w:tcPr>
          <w:p w14:paraId="51FC6FDB"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del Talento Humano</w:t>
            </w:r>
          </w:p>
        </w:tc>
        <w:tc>
          <w:tcPr>
            <w:tcW w:w="935" w:type="pct"/>
            <w:shd w:val="clear" w:color="auto" w:fill="FFC000" w:themeFill="accent4"/>
            <w:noWrap/>
            <w:vAlign w:val="center"/>
            <w:hideMark/>
          </w:tcPr>
          <w:p w14:paraId="5C5C0CA2"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789309BB" w14:textId="77777777" w:rsidTr="00763A7E">
        <w:trPr>
          <w:trHeight w:val="567"/>
        </w:trPr>
        <w:tc>
          <w:tcPr>
            <w:tcW w:w="2717" w:type="pct"/>
            <w:vAlign w:val="center"/>
            <w:hideMark/>
          </w:tcPr>
          <w:p w14:paraId="693D302F"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Inoportunidad en la entrega de informes y recomendaciones para el mejoramiento de los procesos</w:t>
            </w:r>
          </w:p>
        </w:tc>
        <w:tc>
          <w:tcPr>
            <w:tcW w:w="1348" w:type="pct"/>
            <w:vAlign w:val="center"/>
            <w:hideMark/>
          </w:tcPr>
          <w:p w14:paraId="6B6E6A1E"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Seguimiento y Evaluación</w:t>
            </w:r>
          </w:p>
        </w:tc>
        <w:tc>
          <w:tcPr>
            <w:tcW w:w="935" w:type="pct"/>
            <w:shd w:val="clear" w:color="auto" w:fill="FFC000" w:themeFill="accent4"/>
            <w:noWrap/>
            <w:vAlign w:val="center"/>
            <w:hideMark/>
          </w:tcPr>
          <w:p w14:paraId="05E9E216"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7ABAB653" w14:textId="77777777" w:rsidTr="00763A7E">
        <w:trPr>
          <w:trHeight w:val="561"/>
        </w:trPr>
        <w:tc>
          <w:tcPr>
            <w:tcW w:w="2717" w:type="pct"/>
            <w:vAlign w:val="center"/>
            <w:hideMark/>
          </w:tcPr>
          <w:p w14:paraId="3BE93D6D"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Puede suceder que no se conserve la integridad y legibilidad de los documentos</w:t>
            </w:r>
          </w:p>
        </w:tc>
        <w:tc>
          <w:tcPr>
            <w:tcW w:w="1348" w:type="pct"/>
            <w:vAlign w:val="center"/>
            <w:hideMark/>
          </w:tcPr>
          <w:p w14:paraId="7DE6470D"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 xml:space="preserve">Gestión Documental </w:t>
            </w:r>
          </w:p>
        </w:tc>
        <w:tc>
          <w:tcPr>
            <w:tcW w:w="935" w:type="pct"/>
            <w:shd w:val="clear" w:color="auto" w:fill="FFC000" w:themeFill="accent4"/>
            <w:noWrap/>
            <w:vAlign w:val="center"/>
            <w:hideMark/>
          </w:tcPr>
          <w:p w14:paraId="0640B05E"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305D09DF" w14:textId="77777777" w:rsidTr="00763A7E">
        <w:trPr>
          <w:trHeight w:val="556"/>
        </w:trPr>
        <w:tc>
          <w:tcPr>
            <w:tcW w:w="2717" w:type="pct"/>
            <w:vAlign w:val="center"/>
            <w:hideMark/>
          </w:tcPr>
          <w:p w14:paraId="67F1867C"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 xml:space="preserve">Puede suceder que se pierdan documentos que hacen parte de la información institucional </w:t>
            </w:r>
          </w:p>
        </w:tc>
        <w:tc>
          <w:tcPr>
            <w:tcW w:w="1348" w:type="pct"/>
            <w:vAlign w:val="center"/>
            <w:hideMark/>
          </w:tcPr>
          <w:p w14:paraId="37C13876"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 xml:space="preserve">Gestión Documental </w:t>
            </w:r>
          </w:p>
        </w:tc>
        <w:tc>
          <w:tcPr>
            <w:tcW w:w="935" w:type="pct"/>
            <w:shd w:val="clear" w:color="auto" w:fill="FFC000" w:themeFill="accent4"/>
            <w:noWrap/>
            <w:vAlign w:val="center"/>
            <w:hideMark/>
          </w:tcPr>
          <w:p w14:paraId="0A9FD28C"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58ED6320" w14:textId="77777777" w:rsidTr="008A1279">
        <w:tc>
          <w:tcPr>
            <w:tcW w:w="2717" w:type="pct"/>
            <w:vAlign w:val="center"/>
            <w:hideMark/>
          </w:tcPr>
          <w:p w14:paraId="7C506EA6"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Vulnerabilidad y perdida de información</w:t>
            </w:r>
          </w:p>
        </w:tc>
        <w:tc>
          <w:tcPr>
            <w:tcW w:w="1348" w:type="pct"/>
            <w:vAlign w:val="center"/>
            <w:hideMark/>
          </w:tcPr>
          <w:p w14:paraId="34B1D0D0"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de Sistemas de Información y Tecnología</w:t>
            </w:r>
          </w:p>
        </w:tc>
        <w:tc>
          <w:tcPr>
            <w:tcW w:w="935" w:type="pct"/>
            <w:shd w:val="clear" w:color="auto" w:fill="FFC000" w:themeFill="accent4"/>
            <w:noWrap/>
            <w:vAlign w:val="center"/>
            <w:hideMark/>
          </w:tcPr>
          <w:p w14:paraId="24A494CE" w14:textId="77777777" w:rsidR="008E62F3" w:rsidRPr="00922756" w:rsidRDefault="008E62F3" w:rsidP="00BF6752">
            <w:pPr>
              <w:widowControl/>
              <w:suppressAutoHyphens w:val="0"/>
              <w:spacing w:line="240" w:lineRule="auto"/>
              <w:jc w:val="center"/>
              <w:rPr>
                <w:rFonts w:ascii="Arial" w:eastAsia="Times New Roman" w:hAnsi="Arial" w:cs="Arial"/>
                <w:b/>
                <w:bCs/>
                <w:color w:val="000000"/>
                <w:sz w:val="18"/>
                <w:szCs w:val="18"/>
                <w:lang w:eastAsia="es-ES"/>
              </w:rPr>
            </w:pPr>
            <w:r w:rsidRPr="00922756">
              <w:rPr>
                <w:rFonts w:ascii="Arial" w:eastAsia="Times New Roman" w:hAnsi="Arial" w:cs="Arial"/>
                <w:b/>
                <w:bCs/>
                <w:color w:val="000000"/>
                <w:sz w:val="18"/>
                <w:szCs w:val="18"/>
                <w:lang w:eastAsia="es-ES"/>
              </w:rPr>
              <w:t>ALTO</w:t>
            </w:r>
          </w:p>
        </w:tc>
      </w:tr>
      <w:tr w:rsidR="008E62F3" w:rsidRPr="000A1821" w14:paraId="1741D230" w14:textId="77777777" w:rsidTr="008A1279">
        <w:tc>
          <w:tcPr>
            <w:tcW w:w="2717" w:type="pct"/>
            <w:vAlign w:val="center"/>
            <w:hideMark/>
          </w:tcPr>
          <w:p w14:paraId="2600969F"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Deterioro de los bienes propiedad del Instituto</w:t>
            </w:r>
          </w:p>
        </w:tc>
        <w:tc>
          <w:tcPr>
            <w:tcW w:w="1348" w:type="pct"/>
            <w:vAlign w:val="center"/>
            <w:hideMark/>
          </w:tcPr>
          <w:p w14:paraId="7F9F1CFC"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Administración de Bienes e Infraestructura</w:t>
            </w:r>
          </w:p>
        </w:tc>
        <w:tc>
          <w:tcPr>
            <w:tcW w:w="935" w:type="pct"/>
            <w:shd w:val="clear" w:color="auto" w:fill="FFFF00"/>
            <w:noWrap/>
            <w:vAlign w:val="center"/>
            <w:hideMark/>
          </w:tcPr>
          <w:p w14:paraId="1627FDD7"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1A9FE389" w14:textId="77777777" w:rsidTr="00763A7E">
        <w:trPr>
          <w:trHeight w:val="547"/>
        </w:trPr>
        <w:tc>
          <w:tcPr>
            <w:tcW w:w="2717" w:type="pct"/>
            <w:vAlign w:val="center"/>
            <w:hideMark/>
          </w:tcPr>
          <w:p w14:paraId="53292DF0"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Diferencia entre los reportes generados y los subidos a la plataforma</w:t>
            </w:r>
          </w:p>
        </w:tc>
        <w:tc>
          <w:tcPr>
            <w:tcW w:w="1348" w:type="pct"/>
            <w:vAlign w:val="center"/>
            <w:hideMark/>
          </w:tcPr>
          <w:p w14:paraId="6DD43A5C"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Financiera</w:t>
            </w:r>
          </w:p>
        </w:tc>
        <w:tc>
          <w:tcPr>
            <w:tcW w:w="935" w:type="pct"/>
            <w:shd w:val="clear" w:color="auto" w:fill="FFFF00"/>
            <w:noWrap/>
            <w:vAlign w:val="center"/>
            <w:hideMark/>
          </w:tcPr>
          <w:p w14:paraId="01CFC407"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3F70880A" w14:textId="77777777" w:rsidTr="00763A7E">
        <w:trPr>
          <w:trHeight w:val="428"/>
        </w:trPr>
        <w:tc>
          <w:tcPr>
            <w:tcW w:w="2717" w:type="pct"/>
            <w:vAlign w:val="center"/>
            <w:hideMark/>
          </w:tcPr>
          <w:p w14:paraId="02E8D1F2"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Divulgación inadecuada del patrimonio  de la ciudad</w:t>
            </w:r>
          </w:p>
        </w:tc>
        <w:tc>
          <w:tcPr>
            <w:tcW w:w="1348" w:type="pct"/>
            <w:vAlign w:val="center"/>
            <w:hideMark/>
          </w:tcPr>
          <w:p w14:paraId="38CAECDC"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Comunicación Estratégica</w:t>
            </w:r>
          </w:p>
        </w:tc>
        <w:tc>
          <w:tcPr>
            <w:tcW w:w="935" w:type="pct"/>
            <w:shd w:val="clear" w:color="auto" w:fill="FFFF00"/>
            <w:noWrap/>
            <w:vAlign w:val="center"/>
            <w:hideMark/>
          </w:tcPr>
          <w:p w14:paraId="5BED7363"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3033ADBF" w14:textId="77777777" w:rsidTr="008A1279">
        <w:tc>
          <w:tcPr>
            <w:tcW w:w="2717" w:type="pct"/>
            <w:vAlign w:val="center"/>
            <w:hideMark/>
          </w:tcPr>
          <w:p w14:paraId="5B1FB0C3"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 xml:space="preserve">Inconsistencias en el pago de la nómina. </w:t>
            </w:r>
          </w:p>
        </w:tc>
        <w:tc>
          <w:tcPr>
            <w:tcW w:w="1348" w:type="pct"/>
            <w:vAlign w:val="center"/>
            <w:hideMark/>
          </w:tcPr>
          <w:p w14:paraId="69CD0D77"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del Talento Humano</w:t>
            </w:r>
          </w:p>
        </w:tc>
        <w:tc>
          <w:tcPr>
            <w:tcW w:w="935" w:type="pct"/>
            <w:shd w:val="clear" w:color="auto" w:fill="FFFF00"/>
            <w:noWrap/>
            <w:vAlign w:val="center"/>
            <w:hideMark/>
          </w:tcPr>
          <w:p w14:paraId="7A8A8C42"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5E6411AE" w14:textId="77777777" w:rsidTr="00763A7E">
        <w:trPr>
          <w:trHeight w:val="554"/>
        </w:trPr>
        <w:tc>
          <w:tcPr>
            <w:tcW w:w="2717" w:type="pct"/>
            <w:vAlign w:val="center"/>
            <w:hideMark/>
          </w:tcPr>
          <w:p w14:paraId="499D5646"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Incumplimiento   en el pago de  los bienes y servicios que requiere la entidad</w:t>
            </w:r>
          </w:p>
        </w:tc>
        <w:tc>
          <w:tcPr>
            <w:tcW w:w="1348" w:type="pct"/>
            <w:vAlign w:val="center"/>
            <w:hideMark/>
          </w:tcPr>
          <w:p w14:paraId="340385C2"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Financiera</w:t>
            </w:r>
          </w:p>
        </w:tc>
        <w:tc>
          <w:tcPr>
            <w:tcW w:w="935" w:type="pct"/>
            <w:shd w:val="clear" w:color="auto" w:fill="FFFF00"/>
            <w:noWrap/>
            <w:vAlign w:val="center"/>
            <w:hideMark/>
          </w:tcPr>
          <w:p w14:paraId="062F4483"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2C864C16" w14:textId="77777777" w:rsidTr="008A1279">
        <w:tc>
          <w:tcPr>
            <w:tcW w:w="2717" w:type="pct"/>
            <w:vAlign w:val="center"/>
            <w:hideMark/>
          </w:tcPr>
          <w:p w14:paraId="400733FA"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Incumplimiento del cronograma de exposiciones</w:t>
            </w:r>
          </w:p>
        </w:tc>
        <w:tc>
          <w:tcPr>
            <w:tcW w:w="1348" w:type="pct"/>
            <w:vAlign w:val="center"/>
            <w:hideMark/>
          </w:tcPr>
          <w:p w14:paraId="6F61C9A5"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Divulgación y Apropiación Social del Patrimonio</w:t>
            </w:r>
          </w:p>
        </w:tc>
        <w:tc>
          <w:tcPr>
            <w:tcW w:w="935" w:type="pct"/>
            <w:shd w:val="clear" w:color="auto" w:fill="FFFF00"/>
            <w:noWrap/>
            <w:vAlign w:val="center"/>
            <w:hideMark/>
          </w:tcPr>
          <w:p w14:paraId="1581B841"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60DFE23C" w14:textId="77777777" w:rsidTr="00763A7E">
        <w:trPr>
          <w:trHeight w:val="553"/>
        </w:trPr>
        <w:tc>
          <w:tcPr>
            <w:tcW w:w="2717" w:type="pct"/>
            <w:vAlign w:val="center"/>
            <w:hideMark/>
          </w:tcPr>
          <w:p w14:paraId="3721C3DB"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 xml:space="preserve">Incumplimiento en los parámetros establecidos en el SIG-MIPG </w:t>
            </w:r>
          </w:p>
        </w:tc>
        <w:tc>
          <w:tcPr>
            <w:tcW w:w="1348" w:type="pct"/>
            <w:vAlign w:val="center"/>
            <w:hideMark/>
          </w:tcPr>
          <w:p w14:paraId="25637690"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Financiera</w:t>
            </w:r>
          </w:p>
        </w:tc>
        <w:tc>
          <w:tcPr>
            <w:tcW w:w="935" w:type="pct"/>
            <w:shd w:val="clear" w:color="auto" w:fill="FFFF00"/>
            <w:noWrap/>
            <w:vAlign w:val="center"/>
            <w:hideMark/>
          </w:tcPr>
          <w:p w14:paraId="73C82928"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3FF95C01" w14:textId="77777777" w:rsidTr="008A1279">
        <w:tc>
          <w:tcPr>
            <w:tcW w:w="2717" w:type="pct"/>
            <w:vAlign w:val="center"/>
            <w:hideMark/>
          </w:tcPr>
          <w:p w14:paraId="6103472B" w14:textId="77777777" w:rsidR="008E62F3"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Información financiera con inconsistencias</w:t>
            </w:r>
          </w:p>
          <w:p w14:paraId="07F6F7A2" w14:textId="77777777" w:rsidR="00763A7E" w:rsidRPr="00922756" w:rsidRDefault="00763A7E" w:rsidP="00BF6752">
            <w:pPr>
              <w:widowControl/>
              <w:suppressAutoHyphens w:val="0"/>
              <w:spacing w:line="240" w:lineRule="auto"/>
              <w:jc w:val="both"/>
              <w:rPr>
                <w:rFonts w:ascii="Arial" w:eastAsia="Times New Roman" w:hAnsi="Arial" w:cs="Arial"/>
                <w:color w:val="000000"/>
                <w:sz w:val="18"/>
                <w:szCs w:val="18"/>
                <w:lang w:eastAsia="es-ES"/>
              </w:rPr>
            </w:pPr>
          </w:p>
        </w:tc>
        <w:tc>
          <w:tcPr>
            <w:tcW w:w="1348" w:type="pct"/>
            <w:vAlign w:val="center"/>
            <w:hideMark/>
          </w:tcPr>
          <w:p w14:paraId="2886C18B"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Financiera</w:t>
            </w:r>
          </w:p>
        </w:tc>
        <w:tc>
          <w:tcPr>
            <w:tcW w:w="935" w:type="pct"/>
            <w:shd w:val="clear" w:color="auto" w:fill="FFFF00"/>
            <w:noWrap/>
            <w:vAlign w:val="center"/>
            <w:hideMark/>
          </w:tcPr>
          <w:p w14:paraId="54BBB41B"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172956A1" w14:textId="77777777" w:rsidTr="00763A7E">
        <w:trPr>
          <w:trHeight w:val="548"/>
        </w:trPr>
        <w:tc>
          <w:tcPr>
            <w:tcW w:w="2717" w:type="pct"/>
            <w:vAlign w:val="center"/>
            <w:hideMark/>
          </w:tcPr>
          <w:p w14:paraId="5C4B774A"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Uso de imágenes o material audiovisual sin contar con los derechos de uso y reproducción</w:t>
            </w:r>
          </w:p>
        </w:tc>
        <w:tc>
          <w:tcPr>
            <w:tcW w:w="1348" w:type="pct"/>
            <w:vAlign w:val="center"/>
            <w:hideMark/>
          </w:tcPr>
          <w:p w14:paraId="562C456C"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Divulgación y Apropiación Social del Patrimonio</w:t>
            </w:r>
          </w:p>
        </w:tc>
        <w:tc>
          <w:tcPr>
            <w:tcW w:w="935" w:type="pct"/>
            <w:shd w:val="clear" w:color="auto" w:fill="FFFF00"/>
            <w:noWrap/>
            <w:vAlign w:val="center"/>
            <w:hideMark/>
          </w:tcPr>
          <w:p w14:paraId="7B701D84"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0594124B" w14:textId="77777777" w:rsidTr="00763A7E">
        <w:trPr>
          <w:trHeight w:val="556"/>
        </w:trPr>
        <w:tc>
          <w:tcPr>
            <w:tcW w:w="2717" w:type="pct"/>
            <w:vAlign w:val="center"/>
            <w:hideMark/>
          </w:tcPr>
          <w:p w14:paraId="27ED13C4" w14:textId="5E3D9EAB" w:rsidR="00763A7E"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Declaratoria de desierto de las convocatorias ofertadas a través del Programa de Estímulos del IDPC</w:t>
            </w:r>
          </w:p>
        </w:tc>
        <w:tc>
          <w:tcPr>
            <w:tcW w:w="1348" w:type="pct"/>
            <w:vAlign w:val="center"/>
            <w:hideMark/>
          </w:tcPr>
          <w:p w14:paraId="4D1BFF4C"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Divulgación y Apropiación Social del Patrimonio</w:t>
            </w:r>
          </w:p>
        </w:tc>
        <w:tc>
          <w:tcPr>
            <w:tcW w:w="935" w:type="pct"/>
            <w:shd w:val="clear" w:color="auto" w:fill="FFFF00"/>
            <w:noWrap/>
            <w:vAlign w:val="center"/>
            <w:hideMark/>
          </w:tcPr>
          <w:p w14:paraId="461DF02F"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5CE615D2" w14:textId="77777777" w:rsidTr="00763A7E">
        <w:trPr>
          <w:trHeight w:val="563"/>
        </w:trPr>
        <w:tc>
          <w:tcPr>
            <w:tcW w:w="2717" w:type="pct"/>
            <w:vAlign w:val="center"/>
            <w:hideMark/>
          </w:tcPr>
          <w:p w14:paraId="1C8E8B35"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Deterioro o perdida de los valores patrimoniales de un Bien de Interés Cultural Declarado o Potencial</w:t>
            </w:r>
          </w:p>
        </w:tc>
        <w:tc>
          <w:tcPr>
            <w:tcW w:w="1348" w:type="pct"/>
            <w:vAlign w:val="center"/>
            <w:hideMark/>
          </w:tcPr>
          <w:p w14:paraId="237F406E"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Protección e Intervención del Patrimonio</w:t>
            </w:r>
          </w:p>
        </w:tc>
        <w:tc>
          <w:tcPr>
            <w:tcW w:w="935" w:type="pct"/>
            <w:shd w:val="clear" w:color="auto" w:fill="FFFF00"/>
            <w:noWrap/>
            <w:vAlign w:val="center"/>
            <w:hideMark/>
          </w:tcPr>
          <w:p w14:paraId="63D77D12"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MODERADO</w:t>
            </w:r>
          </w:p>
        </w:tc>
      </w:tr>
      <w:tr w:rsidR="008E62F3" w:rsidRPr="000A1821" w14:paraId="287807A9" w14:textId="77777777" w:rsidTr="00763A7E">
        <w:trPr>
          <w:trHeight w:val="543"/>
        </w:trPr>
        <w:tc>
          <w:tcPr>
            <w:tcW w:w="2717" w:type="pct"/>
            <w:vAlign w:val="center"/>
            <w:hideMark/>
          </w:tcPr>
          <w:p w14:paraId="01E003EB"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Aprobar estudios sin el cumplimiento debido de los requisitos y conforme a la normatividad vigente</w:t>
            </w:r>
          </w:p>
        </w:tc>
        <w:tc>
          <w:tcPr>
            <w:tcW w:w="1348" w:type="pct"/>
            <w:vAlign w:val="center"/>
            <w:hideMark/>
          </w:tcPr>
          <w:p w14:paraId="0A02EDB2"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Protección e Intervención del Patrimonio</w:t>
            </w:r>
          </w:p>
        </w:tc>
        <w:tc>
          <w:tcPr>
            <w:tcW w:w="935" w:type="pct"/>
            <w:shd w:val="clear" w:color="auto" w:fill="70AD47" w:themeFill="accent6"/>
            <w:noWrap/>
            <w:vAlign w:val="center"/>
            <w:hideMark/>
          </w:tcPr>
          <w:p w14:paraId="2D65764C"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07055251" w14:textId="77777777" w:rsidTr="00A83ED0">
        <w:trPr>
          <w:trHeight w:val="423"/>
        </w:trPr>
        <w:tc>
          <w:tcPr>
            <w:tcW w:w="2717" w:type="pct"/>
            <w:vAlign w:val="center"/>
            <w:hideMark/>
          </w:tcPr>
          <w:p w14:paraId="1FCAA29E"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Asesoría inadecuada a los procesos en tem</w:t>
            </w:r>
            <w:bookmarkStart w:id="0" w:name="_GoBack"/>
            <w:bookmarkEnd w:id="0"/>
            <w:r w:rsidRPr="00922756">
              <w:rPr>
                <w:rFonts w:ascii="Arial" w:eastAsia="Times New Roman" w:hAnsi="Arial" w:cs="Arial"/>
                <w:color w:val="000000"/>
                <w:sz w:val="18"/>
                <w:szCs w:val="18"/>
                <w:lang w:eastAsia="es-ES"/>
              </w:rPr>
              <w:t>as del SIG</w:t>
            </w:r>
          </w:p>
        </w:tc>
        <w:tc>
          <w:tcPr>
            <w:tcW w:w="1348" w:type="pct"/>
            <w:vAlign w:val="center"/>
            <w:hideMark/>
          </w:tcPr>
          <w:p w14:paraId="3BCD5CC8"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Fortalecimiento del SIG</w:t>
            </w:r>
          </w:p>
        </w:tc>
        <w:tc>
          <w:tcPr>
            <w:tcW w:w="935" w:type="pct"/>
            <w:shd w:val="clear" w:color="auto" w:fill="70AD47" w:themeFill="accent6"/>
            <w:noWrap/>
            <w:vAlign w:val="center"/>
            <w:hideMark/>
          </w:tcPr>
          <w:p w14:paraId="506D2A87"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6A91D9B2" w14:textId="77777777" w:rsidTr="00763A7E">
        <w:trPr>
          <w:trHeight w:val="555"/>
        </w:trPr>
        <w:tc>
          <w:tcPr>
            <w:tcW w:w="2717" w:type="pct"/>
            <w:vAlign w:val="center"/>
            <w:hideMark/>
          </w:tcPr>
          <w:p w14:paraId="723395A9"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Bajos nivel de asistencia a las actividades educativas y culturales del Museo de Bogotá</w:t>
            </w:r>
          </w:p>
        </w:tc>
        <w:tc>
          <w:tcPr>
            <w:tcW w:w="1348" w:type="pct"/>
            <w:vAlign w:val="center"/>
            <w:hideMark/>
          </w:tcPr>
          <w:p w14:paraId="400162FD"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Divulgación y Apropiación  Social del Patrimonio</w:t>
            </w:r>
          </w:p>
        </w:tc>
        <w:tc>
          <w:tcPr>
            <w:tcW w:w="935" w:type="pct"/>
            <w:shd w:val="clear" w:color="auto" w:fill="70AD47" w:themeFill="accent6"/>
            <w:noWrap/>
            <w:vAlign w:val="center"/>
            <w:hideMark/>
          </w:tcPr>
          <w:p w14:paraId="103F61A6"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1E2456E4" w14:textId="77777777" w:rsidTr="00A83ED0">
        <w:trPr>
          <w:trHeight w:val="565"/>
        </w:trPr>
        <w:tc>
          <w:tcPr>
            <w:tcW w:w="2717" w:type="pct"/>
            <w:vAlign w:val="center"/>
            <w:hideMark/>
          </w:tcPr>
          <w:p w14:paraId="78596AEF"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 xml:space="preserve">Deterioro de los Bienes de Interés Cultural del Distrito Capital </w:t>
            </w:r>
          </w:p>
        </w:tc>
        <w:tc>
          <w:tcPr>
            <w:tcW w:w="1348" w:type="pct"/>
            <w:vAlign w:val="center"/>
            <w:hideMark/>
          </w:tcPr>
          <w:p w14:paraId="19685AE6"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Protección e Intervención del Patrimonio</w:t>
            </w:r>
          </w:p>
        </w:tc>
        <w:tc>
          <w:tcPr>
            <w:tcW w:w="935" w:type="pct"/>
            <w:shd w:val="clear" w:color="auto" w:fill="70AD47" w:themeFill="accent6"/>
            <w:noWrap/>
            <w:vAlign w:val="center"/>
            <w:hideMark/>
          </w:tcPr>
          <w:p w14:paraId="5373D7A2"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1C9EA426" w14:textId="77777777" w:rsidTr="00A83ED0">
        <w:trPr>
          <w:trHeight w:val="559"/>
        </w:trPr>
        <w:tc>
          <w:tcPr>
            <w:tcW w:w="2717" w:type="pct"/>
            <w:vAlign w:val="center"/>
            <w:hideMark/>
          </w:tcPr>
          <w:p w14:paraId="73263806"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Errores o inconsistencias en estudios previos y expedientes de la etapa precontractual.</w:t>
            </w:r>
          </w:p>
        </w:tc>
        <w:tc>
          <w:tcPr>
            <w:tcW w:w="1348" w:type="pct"/>
            <w:vAlign w:val="center"/>
            <w:hideMark/>
          </w:tcPr>
          <w:p w14:paraId="1C403E29"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Contractual</w:t>
            </w:r>
          </w:p>
        </w:tc>
        <w:tc>
          <w:tcPr>
            <w:tcW w:w="935" w:type="pct"/>
            <w:shd w:val="clear" w:color="auto" w:fill="70AD47" w:themeFill="accent6"/>
            <w:noWrap/>
            <w:vAlign w:val="center"/>
            <w:hideMark/>
          </w:tcPr>
          <w:p w14:paraId="679D67A9"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30747F5B" w14:textId="77777777" w:rsidTr="00A83ED0">
        <w:trPr>
          <w:trHeight w:val="412"/>
        </w:trPr>
        <w:tc>
          <w:tcPr>
            <w:tcW w:w="2717" w:type="pct"/>
            <w:vAlign w:val="center"/>
            <w:hideMark/>
          </w:tcPr>
          <w:p w14:paraId="0D0C12E9"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 xml:space="preserve">Incumpliendo en las respuestas </w:t>
            </w:r>
          </w:p>
        </w:tc>
        <w:tc>
          <w:tcPr>
            <w:tcW w:w="1348" w:type="pct"/>
            <w:vAlign w:val="center"/>
            <w:hideMark/>
          </w:tcPr>
          <w:p w14:paraId="233E249A"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Control Interno Disciplinario</w:t>
            </w:r>
          </w:p>
        </w:tc>
        <w:tc>
          <w:tcPr>
            <w:tcW w:w="935" w:type="pct"/>
            <w:shd w:val="clear" w:color="auto" w:fill="70AD47" w:themeFill="accent6"/>
            <w:noWrap/>
            <w:vAlign w:val="center"/>
            <w:hideMark/>
          </w:tcPr>
          <w:p w14:paraId="220EE504"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10C9EA67" w14:textId="77777777" w:rsidTr="00A83ED0">
        <w:trPr>
          <w:trHeight w:val="559"/>
        </w:trPr>
        <w:tc>
          <w:tcPr>
            <w:tcW w:w="2717" w:type="pct"/>
            <w:vAlign w:val="center"/>
            <w:hideMark/>
          </w:tcPr>
          <w:p w14:paraId="004682AE"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Incumplimiento del término establecido en el contrato para liquidar</w:t>
            </w:r>
          </w:p>
        </w:tc>
        <w:tc>
          <w:tcPr>
            <w:tcW w:w="1348" w:type="pct"/>
            <w:vAlign w:val="center"/>
            <w:hideMark/>
          </w:tcPr>
          <w:p w14:paraId="2C0FFEAA"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Contractual</w:t>
            </w:r>
          </w:p>
        </w:tc>
        <w:tc>
          <w:tcPr>
            <w:tcW w:w="935" w:type="pct"/>
            <w:shd w:val="clear" w:color="auto" w:fill="70AD47" w:themeFill="accent6"/>
            <w:noWrap/>
            <w:vAlign w:val="center"/>
            <w:hideMark/>
          </w:tcPr>
          <w:p w14:paraId="7CA99519"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196BFC98" w14:textId="77777777" w:rsidTr="00A83ED0">
        <w:trPr>
          <w:trHeight w:val="695"/>
        </w:trPr>
        <w:tc>
          <w:tcPr>
            <w:tcW w:w="2717" w:type="pct"/>
            <w:vAlign w:val="center"/>
            <w:hideMark/>
          </w:tcPr>
          <w:p w14:paraId="2D3230E2"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Incumplimiento en los términos de las etapas o actividades para los procesos administrativos y/o judiciales que se adelantan en el IDPC.</w:t>
            </w:r>
          </w:p>
        </w:tc>
        <w:tc>
          <w:tcPr>
            <w:tcW w:w="1348" w:type="pct"/>
            <w:vAlign w:val="center"/>
            <w:hideMark/>
          </w:tcPr>
          <w:p w14:paraId="798A222B"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Jurídica</w:t>
            </w:r>
          </w:p>
        </w:tc>
        <w:tc>
          <w:tcPr>
            <w:tcW w:w="935" w:type="pct"/>
            <w:shd w:val="clear" w:color="auto" w:fill="70AD47" w:themeFill="accent6"/>
            <w:noWrap/>
            <w:vAlign w:val="center"/>
            <w:hideMark/>
          </w:tcPr>
          <w:p w14:paraId="434DC42E"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185CCA69" w14:textId="77777777" w:rsidTr="00A83ED0">
        <w:trPr>
          <w:trHeight w:val="563"/>
        </w:trPr>
        <w:tc>
          <w:tcPr>
            <w:tcW w:w="2717" w:type="pct"/>
            <w:vAlign w:val="center"/>
            <w:hideMark/>
          </w:tcPr>
          <w:p w14:paraId="5EC60B90"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No proveer oportunamente el Talento Humano requerido por la entidad.</w:t>
            </w:r>
          </w:p>
        </w:tc>
        <w:tc>
          <w:tcPr>
            <w:tcW w:w="1348" w:type="pct"/>
            <w:vAlign w:val="center"/>
            <w:hideMark/>
          </w:tcPr>
          <w:p w14:paraId="6EB683ED"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Gestión del Talento Humano</w:t>
            </w:r>
          </w:p>
        </w:tc>
        <w:tc>
          <w:tcPr>
            <w:tcW w:w="935" w:type="pct"/>
            <w:shd w:val="clear" w:color="auto" w:fill="70AD47" w:themeFill="accent6"/>
            <w:noWrap/>
            <w:vAlign w:val="center"/>
            <w:hideMark/>
          </w:tcPr>
          <w:p w14:paraId="6AF01B86"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36C88EF3" w14:textId="77777777" w:rsidTr="00A83ED0">
        <w:trPr>
          <w:trHeight w:val="416"/>
        </w:trPr>
        <w:tc>
          <w:tcPr>
            <w:tcW w:w="2717" w:type="pct"/>
            <w:vAlign w:val="center"/>
            <w:hideMark/>
          </w:tcPr>
          <w:p w14:paraId="3ACDD2D2"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Pérdida de piezas procesales o del expediente.</w:t>
            </w:r>
          </w:p>
        </w:tc>
        <w:tc>
          <w:tcPr>
            <w:tcW w:w="1348" w:type="pct"/>
            <w:vAlign w:val="center"/>
            <w:hideMark/>
          </w:tcPr>
          <w:p w14:paraId="051D905E"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Control Interno Disciplinario</w:t>
            </w:r>
          </w:p>
        </w:tc>
        <w:tc>
          <w:tcPr>
            <w:tcW w:w="935" w:type="pct"/>
            <w:shd w:val="clear" w:color="auto" w:fill="70AD47" w:themeFill="accent6"/>
            <w:noWrap/>
            <w:vAlign w:val="center"/>
            <w:hideMark/>
          </w:tcPr>
          <w:p w14:paraId="5A3823F7"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r w:rsidR="008E62F3" w:rsidRPr="000A1821" w14:paraId="27FD3F38" w14:textId="77777777" w:rsidTr="008A1279">
        <w:tc>
          <w:tcPr>
            <w:tcW w:w="2717" w:type="pct"/>
            <w:vAlign w:val="center"/>
            <w:hideMark/>
          </w:tcPr>
          <w:p w14:paraId="4720E069" w14:textId="77777777" w:rsidR="008E62F3" w:rsidRPr="00922756" w:rsidRDefault="008E62F3" w:rsidP="00BF6752">
            <w:pPr>
              <w:widowControl/>
              <w:suppressAutoHyphens w:val="0"/>
              <w:spacing w:line="240" w:lineRule="auto"/>
              <w:jc w:val="both"/>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Daño o alteración total o parcial de las características físicas de las piezas de las colecciones del Museo de Bogotá</w:t>
            </w:r>
          </w:p>
        </w:tc>
        <w:tc>
          <w:tcPr>
            <w:tcW w:w="1348" w:type="pct"/>
            <w:vAlign w:val="center"/>
            <w:hideMark/>
          </w:tcPr>
          <w:p w14:paraId="534DF7B5" w14:textId="77777777" w:rsidR="008E62F3" w:rsidRPr="00922756" w:rsidRDefault="008E62F3" w:rsidP="00BF6752">
            <w:pPr>
              <w:widowControl/>
              <w:suppressAutoHyphens w:val="0"/>
              <w:spacing w:line="240" w:lineRule="auto"/>
              <w:jc w:val="center"/>
              <w:rPr>
                <w:rFonts w:ascii="Arial" w:eastAsia="Times New Roman" w:hAnsi="Arial" w:cs="Arial"/>
                <w:color w:val="auto"/>
                <w:sz w:val="18"/>
                <w:szCs w:val="18"/>
                <w:lang w:eastAsia="es-ES"/>
              </w:rPr>
            </w:pPr>
            <w:r w:rsidRPr="00922756">
              <w:rPr>
                <w:rFonts w:ascii="Arial" w:eastAsia="Times New Roman" w:hAnsi="Arial" w:cs="Arial"/>
                <w:color w:val="auto"/>
                <w:sz w:val="18"/>
                <w:szCs w:val="18"/>
                <w:lang w:eastAsia="es-ES"/>
              </w:rPr>
              <w:t>Divulgación y Apropiación Social del Patrimonio</w:t>
            </w:r>
          </w:p>
        </w:tc>
        <w:tc>
          <w:tcPr>
            <w:tcW w:w="935" w:type="pct"/>
            <w:shd w:val="clear" w:color="auto" w:fill="70AD47" w:themeFill="accent6"/>
            <w:noWrap/>
            <w:vAlign w:val="center"/>
            <w:hideMark/>
          </w:tcPr>
          <w:p w14:paraId="7124B33E" w14:textId="77777777" w:rsidR="008E62F3" w:rsidRPr="00922756" w:rsidRDefault="008E62F3" w:rsidP="00BF6752">
            <w:pPr>
              <w:widowControl/>
              <w:suppressAutoHyphens w:val="0"/>
              <w:spacing w:line="240" w:lineRule="auto"/>
              <w:jc w:val="center"/>
              <w:rPr>
                <w:rFonts w:ascii="Arial" w:eastAsia="Times New Roman" w:hAnsi="Arial" w:cs="Arial"/>
                <w:color w:val="000000"/>
                <w:sz w:val="18"/>
                <w:szCs w:val="18"/>
                <w:lang w:eastAsia="es-ES"/>
              </w:rPr>
            </w:pPr>
            <w:r w:rsidRPr="00922756">
              <w:rPr>
                <w:rFonts w:ascii="Arial" w:eastAsia="Times New Roman" w:hAnsi="Arial" w:cs="Arial"/>
                <w:color w:val="000000"/>
                <w:sz w:val="18"/>
                <w:szCs w:val="18"/>
                <w:lang w:eastAsia="es-ES"/>
              </w:rPr>
              <w:t>BAJO</w:t>
            </w:r>
          </w:p>
        </w:tc>
      </w:tr>
    </w:tbl>
    <w:p w14:paraId="422C8452" w14:textId="77777777" w:rsidR="008E62F3" w:rsidRPr="00C85428" w:rsidRDefault="008E62F3" w:rsidP="005B4190">
      <w:pPr>
        <w:tabs>
          <w:tab w:val="left" w:pos="1095"/>
        </w:tabs>
        <w:spacing w:line="240" w:lineRule="auto"/>
        <w:jc w:val="both"/>
        <w:rPr>
          <w:rFonts w:ascii="Arial" w:hAnsi="Arial" w:cs="Arial"/>
          <w:sz w:val="22"/>
          <w:szCs w:val="20"/>
        </w:rPr>
      </w:pPr>
    </w:p>
    <w:p w14:paraId="37FBD044" w14:textId="3BA5BE8E" w:rsidR="00782980" w:rsidRPr="005B4190" w:rsidRDefault="00763A7E" w:rsidP="005B4190">
      <w:pPr>
        <w:tabs>
          <w:tab w:val="left" w:pos="1095"/>
        </w:tabs>
        <w:spacing w:line="240" w:lineRule="auto"/>
        <w:jc w:val="both"/>
        <w:rPr>
          <w:rFonts w:ascii="Arial" w:hAnsi="Arial" w:cs="Arial"/>
          <w:sz w:val="22"/>
          <w:szCs w:val="20"/>
        </w:rPr>
      </w:pPr>
      <w:r>
        <w:rPr>
          <w:rFonts w:ascii="Arial" w:hAnsi="Arial" w:cs="Arial"/>
          <w:sz w:val="22"/>
          <w:szCs w:val="20"/>
        </w:rPr>
        <w:t>Para el tercer</w:t>
      </w:r>
      <w:r w:rsidR="00BF25E3" w:rsidRPr="005B4190">
        <w:rPr>
          <w:rFonts w:ascii="Arial" w:hAnsi="Arial" w:cs="Arial"/>
          <w:sz w:val="22"/>
          <w:szCs w:val="20"/>
        </w:rPr>
        <w:t xml:space="preserve"> cuatrimestre de la vigencia 2019, </w:t>
      </w:r>
      <w:r w:rsidR="005B4190">
        <w:rPr>
          <w:rFonts w:ascii="Arial" w:hAnsi="Arial" w:cs="Arial"/>
          <w:sz w:val="22"/>
          <w:szCs w:val="20"/>
        </w:rPr>
        <w:t xml:space="preserve">no </w:t>
      </w:r>
      <w:r w:rsidR="001D35D3">
        <w:rPr>
          <w:rFonts w:ascii="Arial" w:hAnsi="Arial" w:cs="Arial"/>
          <w:sz w:val="22"/>
          <w:szCs w:val="20"/>
        </w:rPr>
        <w:t xml:space="preserve">hay </w:t>
      </w:r>
      <w:r w:rsidR="005B4190" w:rsidRPr="005B4190">
        <w:rPr>
          <w:rFonts w:ascii="Arial" w:hAnsi="Arial" w:cs="Arial"/>
          <w:sz w:val="22"/>
          <w:szCs w:val="20"/>
        </w:rPr>
        <w:t xml:space="preserve"> materialización ni cambio alguno en </w:t>
      </w:r>
      <w:r w:rsidR="001D35D3">
        <w:rPr>
          <w:rFonts w:ascii="Arial" w:hAnsi="Arial" w:cs="Arial"/>
          <w:sz w:val="22"/>
          <w:szCs w:val="20"/>
        </w:rPr>
        <w:t>la</w:t>
      </w:r>
      <w:r w:rsidR="005B4190" w:rsidRPr="005B4190">
        <w:rPr>
          <w:rFonts w:ascii="Arial" w:hAnsi="Arial" w:cs="Arial"/>
          <w:sz w:val="22"/>
          <w:szCs w:val="20"/>
        </w:rPr>
        <w:t xml:space="preserve"> definición </w:t>
      </w:r>
      <w:r w:rsidR="005B4190">
        <w:rPr>
          <w:rFonts w:ascii="Arial" w:hAnsi="Arial" w:cs="Arial"/>
          <w:sz w:val="22"/>
          <w:szCs w:val="20"/>
        </w:rPr>
        <w:t xml:space="preserve">de </w:t>
      </w:r>
      <w:r w:rsidR="00BF25E3" w:rsidRPr="005B4190">
        <w:rPr>
          <w:rFonts w:ascii="Arial" w:hAnsi="Arial" w:cs="Arial"/>
          <w:sz w:val="22"/>
          <w:szCs w:val="20"/>
        </w:rPr>
        <w:t>l</w:t>
      </w:r>
      <w:r w:rsidR="00782980" w:rsidRPr="005B4190">
        <w:rPr>
          <w:rFonts w:ascii="Arial" w:hAnsi="Arial" w:cs="Arial"/>
          <w:sz w:val="22"/>
          <w:szCs w:val="20"/>
        </w:rPr>
        <w:t>os riesgos de gestión.</w:t>
      </w:r>
      <w:r w:rsidR="00280EE9" w:rsidRPr="005B4190">
        <w:rPr>
          <w:rFonts w:ascii="Arial" w:hAnsi="Arial" w:cs="Arial"/>
          <w:sz w:val="22"/>
          <w:szCs w:val="20"/>
        </w:rPr>
        <w:t xml:space="preserve"> </w:t>
      </w:r>
    </w:p>
    <w:p w14:paraId="73C0A8D7" w14:textId="32174054" w:rsidR="00D705E3" w:rsidRPr="005B4190" w:rsidRDefault="00D705E3" w:rsidP="00932139">
      <w:pPr>
        <w:widowControl/>
        <w:suppressAutoHyphens w:val="0"/>
        <w:spacing w:line="240" w:lineRule="auto"/>
        <w:rPr>
          <w:rFonts w:ascii="Arial" w:hAnsi="Arial" w:cs="Arial"/>
          <w:sz w:val="22"/>
          <w:szCs w:val="20"/>
        </w:rPr>
      </w:pPr>
    </w:p>
    <w:p w14:paraId="49163A02" w14:textId="076A9A34" w:rsidR="0095129B" w:rsidRPr="00730430" w:rsidRDefault="000F5469" w:rsidP="005B4190">
      <w:pPr>
        <w:pStyle w:val="m7007535857312232601gmail-msolistparagraph"/>
        <w:numPr>
          <w:ilvl w:val="0"/>
          <w:numId w:val="14"/>
        </w:numPr>
        <w:shd w:val="clear" w:color="auto" w:fill="FFFFFF"/>
        <w:spacing w:before="0" w:beforeAutospacing="0" w:after="0" w:afterAutospacing="0"/>
        <w:ind w:left="426"/>
        <w:jc w:val="both"/>
        <w:rPr>
          <w:rFonts w:ascii="Arial" w:hAnsi="Arial" w:cs="Arial"/>
          <w:b/>
          <w:bCs/>
          <w:sz w:val="28"/>
          <w:szCs w:val="44"/>
        </w:rPr>
      </w:pPr>
      <w:r w:rsidRPr="00730430">
        <w:rPr>
          <w:rFonts w:ascii="Arial" w:hAnsi="Arial" w:cs="Arial"/>
          <w:b/>
          <w:bCs/>
          <w:sz w:val="28"/>
          <w:szCs w:val="44"/>
        </w:rPr>
        <w:t>Resu</w:t>
      </w:r>
      <w:r w:rsidR="00F8628F" w:rsidRPr="00730430">
        <w:rPr>
          <w:rFonts w:ascii="Arial" w:hAnsi="Arial" w:cs="Arial"/>
          <w:b/>
          <w:bCs/>
          <w:sz w:val="28"/>
          <w:szCs w:val="44"/>
        </w:rPr>
        <w:t xml:space="preserve">ltados de la gestión del </w:t>
      </w:r>
      <w:r w:rsidR="00683674">
        <w:rPr>
          <w:rFonts w:ascii="Arial" w:hAnsi="Arial" w:cs="Arial"/>
          <w:b/>
          <w:bCs/>
          <w:sz w:val="28"/>
          <w:szCs w:val="44"/>
        </w:rPr>
        <w:t>r</w:t>
      </w:r>
      <w:r w:rsidR="00F8628F" w:rsidRPr="00730430">
        <w:rPr>
          <w:rFonts w:ascii="Arial" w:hAnsi="Arial" w:cs="Arial"/>
          <w:b/>
          <w:bCs/>
          <w:sz w:val="28"/>
          <w:szCs w:val="44"/>
        </w:rPr>
        <w:t>iesgo</w:t>
      </w:r>
      <w:r w:rsidRPr="00730430">
        <w:rPr>
          <w:rFonts w:ascii="Arial" w:hAnsi="Arial" w:cs="Arial"/>
          <w:b/>
          <w:bCs/>
          <w:sz w:val="28"/>
          <w:szCs w:val="44"/>
        </w:rPr>
        <w:t> </w:t>
      </w:r>
    </w:p>
    <w:p w14:paraId="411A3358" w14:textId="77777777" w:rsidR="00131BA6" w:rsidRDefault="00131BA6" w:rsidP="005B4190">
      <w:pPr>
        <w:pStyle w:val="m7007535857312232601gmail-msolistparagraph"/>
        <w:shd w:val="clear" w:color="auto" w:fill="FFFFFF"/>
        <w:spacing w:before="0" w:beforeAutospacing="0" w:after="0" w:afterAutospacing="0"/>
        <w:jc w:val="both"/>
        <w:rPr>
          <w:rFonts w:ascii="Arial" w:hAnsi="Arial" w:cs="Arial"/>
          <w:color w:val="222222"/>
          <w:sz w:val="22"/>
        </w:rPr>
      </w:pPr>
    </w:p>
    <w:p w14:paraId="1345532F" w14:textId="6C2C8520" w:rsidR="00341111" w:rsidRDefault="000E00A7" w:rsidP="005B4190">
      <w:pPr>
        <w:pStyle w:val="m7007535857312232601gmail-msolistparagraph"/>
        <w:shd w:val="clear" w:color="auto" w:fill="FFFFFF"/>
        <w:spacing w:before="0" w:beforeAutospacing="0" w:after="0" w:afterAutospacing="0"/>
        <w:jc w:val="both"/>
        <w:rPr>
          <w:rFonts w:ascii="Arial" w:hAnsi="Arial" w:cs="Arial"/>
          <w:color w:val="222222"/>
          <w:sz w:val="22"/>
        </w:rPr>
      </w:pPr>
      <w:r>
        <w:rPr>
          <w:rFonts w:ascii="Arial" w:hAnsi="Arial" w:cs="Arial"/>
          <w:color w:val="222222"/>
          <w:sz w:val="22"/>
        </w:rPr>
        <w:t>L</w:t>
      </w:r>
      <w:r w:rsidR="00B51ED3">
        <w:rPr>
          <w:rFonts w:ascii="Arial" w:hAnsi="Arial" w:cs="Arial"/>
          <w:color w:val="222222"/>
          <w:sz w:val="22"/>
        </w:rPr>
        <w:t xml:space="preserve">a Entidad </w:t>
      </w:r>
      <w:r w:rsidR="00341111" w:rsidRPr="00730430">
        <w:rPr>
          <w:rFonts w:ascii="Arial" w:hAnsi="Arial" w:cs="Arial"/>
          <w:color w:val="222222"/>
          <w:sz w:val="22"/>
        </w:rPr>
        <w:t>cuenta con</w:t>
      </w:r>
      <w:r w:rsidR="00341111" w:rsidRPr="00782980">
        <w:rPr>
          <w:rFonts w:ascii="Arial" w:hAnsi="Arial" w:cs="Arial"/>
          <w:color w:val="222222"/>
          <w:sz w:val="22"/>
        </w:rPr>
        <w:t xml:space="preserve"> un total de</w:t>
      </w:r>
      <w:r w:rsidR="005B4190">
        <w:rPr>
          <w:rFonts w:ascii="Arial" w:hAnsi="Arial" w:cs="Arial"/>
          <w:color w:val="222222"/>
          <w:sz w:val="22"/>
        </w:rPr>
        <w:t xml:space="preserve"> nueve</w:t>
      </w:r>
      <w:r w:rsidR="00341111" w:rsidRPr="00782980">
        <w:rPr>
          <w:rFonts w:ascii="Arial" w:hAnsi="Arial" w:cs="Arial"/>
          <w:color w:val="222222"/>
          <w:sz w:val="22"/>
        </w:rPr>
        <w:t xml:space="preserve"> </w:t>
      </w:r>
      <w:r w:rsidR="005B4190">
        <w:rPr>
          <w:rFonts w:ascii="Arial" w:hAnsi="Arial" w:cs="Arial"/>
          <w:color w:val="222222"/>
          <w:sz w:val="22"/>
        </w:rPr>
        <w:t>(</w:t>
      </w:r>
      <w:r w:rsidR="00341111" w:rsidRPr="00782980">
        <w:rPr>
          <w:rFonts w:ascii="Arial" w:hAnsi="Arial" w:cs="Arial"/>
          <w:color w:val="222222"/>
          <w:sz w:val="22"/>
        </w:rPr>
        <w:t>9</w:t>
      </w:r>
      <w:r w:rsidR="005B4190">
        <w:rPr>
          <w:rFonts w:ascii="Arial" w:hAnsi="Arial" w:cs="Arial"/>
          <w:color w:val="222222"/>
          <w:sz w:val="22"/>
        </w:rPr>
        <w:t>)</w:t>
      </w:r>
      <w:r w:rsidR="00341111" w:rsidRPr="00782980">
        <w:rPr>
          <w:rFonts w:ascii="Arial" w:hAnsi="Arial" w:cs="Arial"/>
          <w:color w:val="222222"/>
          <w:sz w:val="22"/>
        </w:rPr>
        <w:t xml:space="preserve"> riesgos de corrupción y </w:t>
      </w:r>
      <w:r w:rsidR="005B4190">
        <w:rPr>
          <w:rFonts w:ascii="Arial" w:hAnsi="Arial" w:cs="Arial"/>
          <w:color w:val="222222"/>
          <w:sz w:val="22"/>
        </w:rPr>
        <w:t>treinta y siete (</w:t>
      </w:r>
      <w:r w:rsidR="00341111" w:rsidRPr="00782980">
        <w:rPr>
          <w:rFonts w:ascii="Arial" w:hAnsi="Arial" w:cs="Arial"/>
          <w:color w:val="222222"/>
          <w:sz w:val="22"/>
        </w:rPr>
        <w:t>37</w:t>
      </w:r>
      <w:r w:rsidR="005B4190">
        <w:rPr>
          <w:rFonts w:ascii="Arial" w:hAnsi="Arial" w:cs="Arial"/>
          <w:color w:val="222222"/>
          <w:sz w:val="22"/>
        </w:rPr>
        <w:t>)</w:t>
      </w:r>
      <w:r w:rsidR="00341111" w:rsidRPr="00782980">
        <w:rPr>
          <w:rFonts w:ascii="Arial" w:hAnsi="Arial" w:cs="Arial"/>
          <w:color w:val="222222"/>
          <w:sz w:val="22"/>
        </w:rPr>
        <w:t xml:space="preserve"> riesgos de gestión para </w:t>
      </w:r>
      <w:r w:rsidR="00341111">
        <w:rPr>
          <w:rFonts w:ascii="Arial" w:hAnsi="Arial" w:cs="Arial"/>
          <w:color w:val="222222"/>
          <w:sz w:val="22"/>
        </w:rPr>
        <w:t>u</w:t>
      </w:r>
      <w:r w:rsidR="00341111" w:rsidRPr="00782980">
        <w:rPr>
          <w:rFonts w:ascii="Arial" w:hAnsi="Arial" w:cs="Arial"/>
          <w:color w:val="222222"/>
          <w:sz w:val="22"/>
        </w:rPr>
        <w:t>n to</w:t>
      </w:r>
      <w:r w:rsidR="00341111">
        <w:rPr>
          <w:rFonts w:ascii="Arial" w:hAnsi="Arial" w:cs="Arial"/>
          <w:color w:val="222222"/>
          <w:sz w:val="22"/>
        </w:rPr>
        <w:t>t</w:t>
      </w:r>
      <w:r w:rsidR="00341111" w:rsidRPr="00782980">
        <w:rPr>
          <w:rFonts w:ascii="Arial" w:hAnsi="Arial" w:cs="Arial"/>
          <w:color w:val="222222"/>
          <w:sz w:val="22"/>
        </w:rPr>
        <w:t>al de</w:t>
      </w:r>
      <w:r w:rsidR="005B4190">
        <w:rPr>
          <w:rFonts w:ascii="Arial" w:hAnsi="Arial" w:cs="Arial"/>
          <w:color w:val="222222"/>
          <w:sz w:val="22"/>
        </w:rPr>
        <w:t xml:space="preserve"> cuarenta y seis</w:t>
      </w:r>
      <w:r w:rsidR="00341111" w:rsidRPr="00782980">
        <w:rPr>
          <w:rFonts w:ascii="Arial" w:hAnsi="Arial" w:cs="Arial"/>
          <w:color w:val="222222"/>
          <w:sz w:val="22"/>
        </w:rPr>
        <w:t xml:space="preserve"> </w:t>
      </w:r>
      <w:r w:rsidR="005B4190">
        <w:rPr>
          <w:rFonts w:ascii="Arial" w:hAnsi="Arial" w:cs="Arial"/>
          <w:color w:val="222222"/>
          <w:sz w:val="22"/>
        </w:rPr>
        <w:t>(</w:t>
      </w:r>
      <w:r w:rsidR="00341111" w:rsidRPr="00782980">
        <w:rPr>
          <w:rFonts w:ascii="Arial" w:hAnsi="Arial" w:cs="Arial"/>
          <w:color w:val="222222"/>
          <w:sz w:val="22"/>
        </w:rPr>
        <w:t>46</w:t>
      </w:r>
      <w:r w:rsidR="005B4190">
        <w:rPr>
          <w:rFonts w:ascii="Arial" w:hAnsi="Arial" w:cs="Arial"/>
          <w:color w:val="222222"/>
          <w:sz w:val="22"/>
        </w:rPr>
        <w:t>)</w:t>
      </w:r>
      <w:r w:rsidR="00341111" w:rsidRPr="00782980">
        <w:rPr>
          <w:rFonts w:ascii="Arial" w:hAnsi="Arial" w:cs="Arial"/>
          <w:color w:val="222222"/>
          <w:sz w:val="22"/>
        </w:rPr>
        <w:t xml:space="preserve"> </w:t>
      </w:r>
      <w:r w:rsidR="00341111" w:rsidRPr="00730430">
        <w:rPr>
          <w:rFonts w:ascii="Arial" w:hAnsi="Arial" w:cs="Arial"/>
          <w:color w:val="222222"/>
          <w:sz w:val="22"/>
        </w:rPr>
        <w:t>r</w:t>
      </w:r>
      <w:r w:rsidR="00341111" w:rsidRPr="00782980">
        <w:rPr>
          <w:rFonts w:ascii="Arial" w:hAnsi="Arial" w:cs="Arial"/>
          <w:color w:val="222222"/>
          <w:sz w:val="22"/>
        </w:rPr>
        <w:t xml:space="preserve">iesgos, los cuales se </w:t>
      </w:r>
      <w:r>
        <w:rPr>
          <w:rFonts w:ascii="Arial" w:hAnsi="Arial" w:cs="Arial"/>
          <w:color w:val="222222"/>
          <w:sz w:val="22"/>
        </w:rPr>
        <w:t xml:space="preserve">relacionan a continuación </w:t>
      </w:r>
      <w:r w:rsidR="00341111" w:rsidRPr="00782980">
        <w:rPr>
          <w:rFonts w:ascii="Arial" w:hAnsi="Arial" w:cs="Arial"/>
          <w:color w:val="222222"/>
          <w:sz w:val="22"/>
        </w:rPr>
        <w:t xml:space="preserve">por zona de riesgos </w:t>
      </w:r>
      <w:r>
        <w:rPr>
          <w:rFonts w:ascii="Arial" w:hAnsi="Arial" w:cs="Arial"/>
          <w:color w:val="222222"/>
          <w:sz w:val="22"/>
        </w:rPr>
        <w:t>y por proceso</w:t>
      </w:r>
      <w:r w:rsidR="00341111" w:rsidRPr="00782980">
        <w:rPr>
          <w:rFonts w:ascii="Arial" w:hAnsi="Arial" w:cs="Arial"/>
          <w:color w:val="222222"/>
          <w:sz w:val="22"/>
        </w:rPr>
        <w:t>:</w:t>
      </w:r>
    </w:p>
    <w:p w14:paraId="5923A185" w14:textId="77777777" w:rsidR="005B4190" w:rsidRDefault="005B4190" w:rsidP="005B4190">
      <w:pPr>
        <w:pStyle w:val="m7007535857312232601gmail-msolistparagraph"/>
        <w:shd w:val="clear" w:color="auto" w:fill="FFFFFF"/>
        <w:spacing w:before="0" w:beforeAutospacing="0" w:after="0" w:afterAutospacing="0"/>
        <w:jc w:val="both"/>
        <w:rPr>
          <w:rFonts w:ascii="Arial" w:hAnsi="Arial" w:cs="Arial"/>
          <w:color w:val="222222"/>
          <w:sz w:val="22"/>
        </w:rPr>
      </w:pPr>
    </w:p>
    <w:p w14:paraId="5E7F1EDC" w14:textId="1DC987AB" w:rsidR="001E2055" w:rsidRDefault="001E2055" w:rsidP="00131BA6">
      <w:pPr>
        <w:pStyle w:val="m7007535857312232601gmail-msolistparagraph"/>
        <w:shd w:val="clear" w:color="auto" w:fill="FFFFFF"/>
        <w:spacing w:before="0" w:beforeAutospacing="0" w:after="0" w:afterAutospacing="0"/>
        <w:jc w:val="center"/>
        <w:rPr>
          <w:rFonts w:ascii="Arial" w:hAnsi="Arial" w:cs="Arial"/>
          <w:color w:val="222222"/>
          <w:sz w:val="18"/>
          <w:szCs w:val="18"/>
        </w:rPr>
      </w:pPr>
      <w:r w:rsidRPr="00932139">
        <w:rPr>
          <w:rFonts w:ascii="Arial" w:hAnsi="Arial" w:cs="Arial"/>
          <w:color w:val="222222"/>
          <w:sz w:val="18"/>
          <w:szCs w:val="18"/>
        </w:rPr>
        <w:t>Tabla. Relación de riesgos por zona de riesgo.</w:t>
      </w:r>
    </w:p>
    <w:p w14:paraId="72103FC6" w14:textId="77777777" w:rsidR="00A83ED0" w:rsidRPr="00932139" w:rsidRDefault="00A83ED0" w:rsidP="00131BA6">
      <w:pPr>
        <w:pStyle w:val="m7007535857312232601gmail-msolistparagraph"/>
        <w:shd w:val="clear" w:color="auto" w:fill="FFFFFF"/>
        <w:spacing w:before="0" w:beforeAutospacing="0" w:after="0" w:afterAutospacing="0"/>
        <w:jc w:val="center"/>
        <w:rPr>
          <w:rFonts w:ascii="Arial" w:hAnsi="Arial" w:cs="Arial"/>
          <w:color w:val="222222"/>
          <w:sz w:val="18"/>
          <w:szCs w:val="18"/>
        </w:rPr>
      </w:pPr>
    </w:p>
    <w:tbl>
      <w:tblPr>
        <w:tblW w:w="6730" w:type="dxa"/>
        <w:jc w:val="center"/>
        <w:tblCellMar>
          <w:left w:w="70" w:type="dxa"/>
          <w:right w:w="70" w:type="dxa"/>
        </w:tblCellMar>
        <w:tblLook w:val="04A0" w:firstRow="1" w:lastRow="0" w:firstColumn="1" w:lastColumn="0" w:noHBand="0" w:noVBand="1"/>
      </w:tblPr>
      <w:tblGrid>
        <w:gridCol w:w="2373"/>
        <w:gridCol w:w="1507"/>
        <w:gridCol w:w="1425"/>
        <w:gridCol w:w="1425"/>
      </w:tblGrid>
      <w:tr w:rsidR="00131BA6" w:rsidRPr="00C85428" w14:paraId="68A86C3D" w14:textId="40ABF482" w:rsidTr="00131BA6">
        <w:trPr>
          <w:trHeight w:val="258"/>
          <w:jc w:val="center"/>
        </w:trPr>
        <w:tc>
          <w:tcPr>
            <w:tcW w:w="2373" w:type="dxa"/>
            <w:tcBorders>
              <w:top w:val="nil"/>
              <w:left w:val="nil"/>
              <w:bottom w:val="nil"/>
              <w:right w:val="nil"/>
            </w:tcBorders>
            <w:shd w:val="clear" w:color="auto" w:fill="auto"/>
            <w:noWrap/>
            <w:vAlign w:val="bottom"/>
            <w:hideMark/>
          </w:tcPr>
          <w:p w14:paraId="35DA988E" w14:textId="77777777" w:rsidR="00131BA6" w:rsidRPr="00C85428" w:rsidRDefault="00131BA6" w:rsidP="005B4190">
            <w:pPr>
              <w:widowControl/>
              <w:suppressAutoHyphens w:val="0"/>
              <w:spacing w:line="240" w:lineRule="auto"/>
              <w:rPr>
                <w:rFonts w:ascii="Arial" w:eastAsia="Times New Roman" w:hAnsi="Arial" w:cs="Arial"/>
                <w:color w:val="000000"/>
                <w:sz w:val="20"/>
                <w:szCs w:val="20"/>
                <w:lang w:eastAsia="es-ES"/>
              </w:rPr>
            </w:pP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B4246" w14:textId="693873A0" w:rsidR="00131BA6" w:rsidRPr="00C85428" w:rsidRDefault="00131BA6" w:rsidP="005B4190">
            <w:pPr>
              <w:widowControl/>
              <w:suppressAutoHyphens w:val="0"/>
              <w:spacing w:line="240" w:lineRule="auto"/>
              <w:jc w:val="center"/>
              <w:rPr>
                <w:rFonts w:ascii="Arial" w:eastAsia="Times New Roman" w:hAnsi="Arial" w:cs="Arial"/>
                <w:b/>
                <w:bCs/>
                <w:color w:val="000000"/>
                <w:sz w:val="20"/>
                <w:szCs w:val="20"/>
                <w:lang w:eastAsia="es-ES"/>
              </w:rPr>
            </w:pPr>
            <w:r w:rsidRPr="00C85428">
              <w:rPr>
                <w:rFonts w:ascii="Arial" w:eastAsia="Times New Roman" w:hAnsi="Arial" w:cs="Arial"/>
                <w:b/>
                <w:bCs/>
                <w:color w:val="000000"/>
                <w:sz w:val="20"/>
                <w:szCs w:val="20"/>
                <w:lang w:eastAsia="es-ES"/>
              </w:rPr>
              <w:t xml:space="preserve">CORRUPCIÓN </w:t>
            </w:r>
          </w:p>
        </w:tc>
        <w:tc>
          <w:tcPr>
            <w:tcW w:w="1425" w:type="dxa"/>
            <w:tcBorders>
              <w:top w:val="single" w:sz="4" w:space="0" w:color="auto"/>
              <w:left w:val="nil"/>
              <w:bottom w:val="single" w:sz="4" w:space="0" w:color="auto"/>
              <w:right w:val="single" w:sz="4" w:space="0" w:color="auto"/>
            </w:tcBorders>
            <w:shd w:val="clear" w:color="auto" w:fill="auto"/>
            <w:noWrap/>
            <w:vAlign w:val="bottom"/>
            <w:hideMark/>
          </w:tcPr>
          <w:p w14:paraId="16CA443C" w14:textId="06E13E9D" w:rsidR="00131BA6" w:rsidRPr="00C85428" w:rsidRDefault="00131BA6" w:rsidP="005B4190">
            <w:pPr>
              <w:widowControl/>
              <w:suppressAutoHyphens w:val="0"/>
              <w:spacing w:line="240" w:lineRule="auto"/>
              <w:jc w:val="center"/>
              <w:rPr>
                <w:rFonts w:ascii="Arial" w:eastAsia="Times New Roman" w:hAnsi="Arial" w:cs="Arial"/>
                <w:b/>
                <w:bCs/>
                <w:color w:val="000000"/>
                <w:sz w:val="20"/>
                <w:szCs w:val="20"/>
                <w:lang w:eastAsia="es-ES"/>
              </w:rPr>
            </w:pPr>
            <w:r w:rsidRPr="00C85428">
              <w:rPr>
                <w:rFonts w:ascii="Arial" w:eastAsia="Times New Roman" w:hAnsi="Arial" w:cs="Arial"/>
                <w:b/>
                <w:bCs/>
                <w:color w:val="000000"/>
                <w:sz w:val="20"/>
                <w:szCs w:val="20"/>
                <w:lang w:eastAsia="es-ES"/>
              </w:rPr>
              <w:t xml:space="preserve">GESTIÓN </w:t>
            </w:r>
          </w:p>
        </w:tc>
        <w:tc>
          <w:tcPr>
            <w:tcW w:w="1425" w:type="dxa"/>
            <w:tcBorders>
              <w:top w:val="single" w:sz="4" w:space="0" w:color="auto"/>
              <w:left w:val="nil"/>
              <w:bottom w:val="single" w:sz="4" w:space="0" w:color="auto"/>
              <w:right w:val="single" w:sz="4" w:space="0" w:color="auto"/>
            </w:tcBorders>
          </w:tcPr>
          <w:p w14:paraId="1FCFFD7D" w14:textId="2E673073" w:rsidR="00131BA6" w:rsidRPr="00C85428" w:rsidRDefault="00131BA6" w:rsidP="005B4190">
            <w:pPr>
              <w:widowControl/>
              <w:suppressAutoHyphens w:val="0"/>
              <w:spacing w:line="240" w:lineRule="auto"/>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TOTAL</w:t>
            </w:r>
          </w:p>
        </w:tc>
      </w:tr>
      <w:tr w:rsidR="00131BA6" w:rsidRPr="00C85428" w14:paraId="16BC642A" w14:textId="093C6B39" w:rsidTr="00131BA6">
        <w:trPr>
          <w:trHeight w:val="258"/>
          <w:jc w:val="center"/>
        </w:trPr>
        <w:tc>
          <w:tcPr>
            <w:tcW w:w="2373" w:type="dxa"/>
            <w:tcBorders>
              <w:top w:val="single" w:sz="4" w:space="0" w:color="auto"/>
              <w:left w:val="single" w:sz="4" w:space="0" w:color="auto"/>
              <w:bottom w:val="single" w:sz="4" w:space="0" w:color="auto"/>
              <w:right w:val="single" w:sz="4" w:space="0" w:color="auto"/>
            </w:tcBorders>
            <w:shd w:val="clear" w:color="000000" w:fill="FF0000"/>
            <w:noWrap/>
            <w:vAlign w:val="bottom"/>
            <w:hideMark/>
          </w:tcPr>
          <w:p w14:paraId="204D5414" w14:textId="32D8228E" w:rsidR="00131BA6" w:rsidRPr="00C85428" w:rsidRDefault="00131BA6" w:rsidP="005B4190">
            <w:pPr>
              <w:widowControl/>
              <w:suppressAutoHyphens w:val="0"/>
              <w:spacing w:line="240" w:lineRule="auto"/>
              <w:rPr>
                <w:rFonts w:ascii="Arial" w:eastAsia="Times New Roman" w:hAnsi="Arial" w:cs="Arial"/>
                <w:color w:val="auto"/>
                <w:sz w:val="20"/>
                <w:szCs w:val="20"/>
                <w:lang w:eastAsia="es-ES"/>
              </w:rPr>
            </w:pPr>
            <w:r w:rsidRPr="00C85428">
              <w:rPr>
                <w:rFonts w:ascii="Arial" w:eastAsia="Times New Roman" w:hAnsi="Arial" w:cs="Arial"/>
                <w:color w:val="auto"/>
                <w:sz w:val="20"/>
                <w:szCs w:val="20"/>
                <w:lang w:eastAsia="es-ES"/>
              </w:rPr>
              <w:t>EXTREMO</w:t>
            </w:r>
          </w:p>
        </w:tc>
        <w:tc>
          <w:tcPr>
            <w:tcW w:w="1507" w:type="dxa"/>
            <w:tcBorders>
              <w:top w:val="nil"/>
              <w:left w:val="nil"/>
              <w:bottom w:val="single" w:sz="4" w:space="0" w:color="auto"/>
              <w:right w:val="single" w:sz="4" w:space="0" w:color="auto"/>
            </w:tcBorders>
            <w:shd w:val="clear" w:color="auto" w:fill="auto"/>
            <w:noWrap/>
            <w:vAlign w:val="bottom"/>
            <w:hideMark/>
          </w:tcPr>
          <w:p w14:paraId="519F36AA" w14:textId="77777777"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sidRPr="00C85428">
              <w:rPr>
                <w:rFonts w:ascii="Arial" w:eastAsia="Times New Roman" w:hAnsi="Arial" w:cs="Arial"/>
                <w:color w:val="000000"/>
                <w:sz w:val="20"/>
                <w:szCs w:val="20"/>
                <w:lang w:eastAsia="es-ES"/>
              </w:rPr>
              <w:t>2</w:t>
            </w:r>
          </w:p>
        </w:tc>
        <w:tc>
          <w:tcPr>
            <w:tcW w:w="1425" w:type="dxa"/>
            <w:tcBorders>
              <w:top w:val="nil"/>
              <w:left w:val="nil"/>
              <w:bottom w:val="single" w:sz="4" w:space="0" w:color="auto"/>
              <w:right w:val="single" w:sz="4" w:space="0" w:color="auto"/>
            </w:tcBorders>
            <w:shd w:val="clear" w:color="auto" w:fill="auto"/>
            <w:noWrap/>
            <w:vAlign w:val="bottom"/>
            <w:hideMark/>
          </w:tcPr>
          <w:p w14:paraId="640108D3" w14:textId="77777777"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sidRPr="00C85428">
              <w:rPr>
                <w:rFonts w:ascii="Arial" w:eastAsia="Times New Roman" w:hAnsi="Arial" w:cs="Arial"/>
                <w:color w:val="000000"/>
                <w:sz w:val="20"/>
                <w:szCs w:val="20"/>
                <w:lang w:eastAsia="es-ES"/>
              </w:rPr>
              <w:t>2</w:t>
            </w:r>
          </w:p>
        </w:tc>
        <w:tc>
          <w:tcPr>
            <w:tcW w:w="1425" w:type="dxa"/>
            <w:tcBorders>
              <w:top w:val="nil"/>
              <w:left w:val="nil"/>
              <w:bottom w:val="single" w:sz="4" w:space="0" w:color="auto"/>
              <w:right w:val="single" w:sz="4" w:space="0" w:color="auto"/>
            </w:tcBorders>
          </w:tcPr>
          <w:p w14:paraId="6DEA0FC5" w14:textId="47BA89D0"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4</w:t>
            </w:r>
          </w:p>
        </w:tc>
      </w:tr>
      <w:tr w:rsidR="00131BA6" w:rsidRPr="00C85428" w14:paraId="5E7B00A5" w14:textId="476BDCE5" w:rsidTr="00131BA6">
        <w:trPr>
          <w:trHeight w:val="258"/>
          <w:jc w:val="center"/>
        </w:trPr>
        <w:tc>
          <w:tcPr>
            <w:tcW w:w="2373" w:type="dxa"/>
            <w:tcBorders>
              <w:top w:val="nil"/>
              <w:left w:val="single" w:sz="4" w:space="0" w:color="auto"/>
              <w:bottom w:val="single" w:sz="4" w:space="0" w:color="auto"/>
              <w:right w:val="single" w:sz="4" w:space="0" w:color="auto"/>
            </w:tcBorders>
            <w:shd w:val="clear" w:color="000000" w:fill="FFC000"/>
            <w:noWrap/>
            <w:vAlign w:val="bottom"/>
            <w:hideMark/>
          </w:tcPr>
          <w:p w14:paraId="545B6D1B" w14:textId="619D7D1F" w:rsidR="00131BA6" w:rsidRPr="00C85428" w:rsidRDefault="00131BA6" w:rsidP="005B4190">
            <w:pPr>
              <w:widowControl/>
              <w:suppressAutoHyphens w:val="0"/>
              <w:spacing w:line="240" w:lineRule="auto"/>
              <w:rPr>
                <w:rFonts w:ascii="Arial" w:eastAsia="Times New Roman" w:hAnsi="Arial" w:cs="Arial"/>
                <w:color w:val="auto"/>
                <w:sz w:val="20"/>
                <w:szCs w:val="20"/>
                <w:lang w:eastAsia="es-ES"/>
              </w:rPr>
            </w:pPr>
            <w:r w:rsidRPr="00C85428">
              <w:rPr>
                <w:rFonts w:ascii="Arial" w:eastAsia="Times New Roman" w:hAnsi="Arial" w:cs="Arial"/>
                <w:color w:val="auto"/>
                <w:sz w:val="20"/>
                <w:szCs w:val="20"/>
                <w:lang w:eastAsia="es-ES"/>
              </w:rPr>
              <w:t>ALTO</w:t>
            </w:r>
          </w:p>
        </w:tc>
        <w:tc>
          <w:tcPr>
            <w:tcW w:w="1507" w:type="dxa"/>
            <w:tcBorders>
              <w:top w:val="nil"/>
              <w:left w:val="nil"/>
              <w:bottom w:val="single" w:sz="4" w:space="0" w:color="auto"/>
              <w:right w:val="single" w:sz="4" w:space="0" w:color="auto"/>
            </w:tcBorders>
            <w:shd w:val="clear" w:color="auto" w:fill="auto"/>
            <w:noWrap/>
            <w:vAlign w:val="bottom"/>
            <w:hideMark/>
          </w:tcPr>
          <w:p w14:paraId="52759A72" w14:textId="77777777"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sidRPr="00C85428">
              <w:rPr>
                <w:rFonts w:ascii="Arial" w:eastAsia="Times New Roman" w:hAnsi="Arial" w:cs="Arial"/>
                <w:color w:val="000000"/>
                <w:sz w:val="20"/>
                <w:szCs w:val="20"/>
                <w:lang w:eastAsia="es-ES"/>
              </w:rPr>
              <w:t>1</w:t>
            </w:r>
          </w:p>
        </w:tc>
        <w:tc>
          <w:tcPr>
            <w:tcW w:w="1425" w:type="dxa"/>
            <w:tcBorders>
              <w:top w:val="nil"/>
              <w:left w:val="nil"/>
              <w:bottom w:val="single" w:sz="4" w:space="0" w:color="auto"/>
              <w:right w:val="single" w:sz="4" w:space="0" w:color="auto"/>
            </w:tcBorders>
            <w:shd w:val="clear" w:color="auto" w:fill="auto"/>
            <w:noWrap/>
            <w:vAlign w:val="bottom"/>
            <w:hideMark/>
          </w:tcPr>
          <w:p w14:paraId="04B2E800" w14:textId="77777777"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sidRPr="00C85428">
              <w:rPr>
                <w:rFonts w:ascii="Arial" w:eastAsia="Times New Roman" w:hAnsi="Arial" w:cs="Arial"/>
                <w:color w:val="000000"/>
                <w:sz w:val="20"/>
                <w:szCs w:val="20"/>
                <w:lang w:eastAsia="es-ES"/>
              </w:rPr>
              <w:t>13</w:t>
            </w:r>
          </w:p>
        </w:tc>
        <w:tc>
          <w:tcPr>
            <w:tcW w:w="1425" w:type="dxa"/>
            <w:tcBorders>
              <w:top w:val="nil"/>
              <w:left w:val="nil"/>
              <w:bottom w:val="single" w:sz="4" w:space="0" w:color="auto"/>
              <w:right w:val="single" w:sz="4" w:space="0" w:color="auto"/>
            </w:tcBorders>
          </w:tcPr>
          <w:p w14:paraId="10061F6D" w14:textId="5A45C8D4"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14</w:t>
            </w:r>
          </w:p>
        </w:tc>
      </w:tr>
      <w:tr w:rsidR="00131BA6" w:rsidRPr="00C85428" w14:paraId="2383BFC3" w14:textId="55F05118" w:rsidTr="00131BA6">
        <w:trPr>
          <w:trHeight w:val="258"/>
          <w:jc w:val="center"/>
        </w:trPr>
        <w:tc>
          <w:tcPr>
            <w:tcW w:w="2373" w:type="dxa"/>
            <w:tcBorders>
              <w:top w:val="nil"/>
              <w:left w:val="single" w:sz="4" w:space="0" w:color="auto"/>
              <w:bottom w:val="single" w:sz="4" w:space="0" w:color="auto"/>
              <w:right w:val="single" w:sz="4" w:space="0" w:color="auto"/>
            </w:tcBorders>
            <w:shd w:val="clear" w:color="000000" w:fill="FFFF00"/>
            <w:noWrap/>
            <w:vAlign w:val="bottom"/>
            <w:hideMark/>
          </w:tcPr>
          <w:p w14:paraId="2FD4A012" w14:textId="3A2131FC" w:rsidR="00131BA6" w:rsidRPr="00C85428" w:rsidRDefault="00131BA6" w:rsidP="005B4190">
            <w:pPr>
              <w:widowControl/>
              <w:suppressAutoHyphens w:val="0"/>
              <w:spacing w:line="240" w:lineRule="auto"/>
              <w:rPr>
                <w:rFonts w:ascii="Arial" w:eastAsia="Times New Roman" w:hAnsi="Arial" w:cs="Arial"/>
                <w:color w:val="auto"/>
                <w:sz w:val="20"/>
                <w:szCs w:val="20"/>
                <w:lang w:eastAsia="es-ES"/>
              </w:rPr>
            </w:pPr>
            <w:r w:rsidRPr="00C85428">
              <w:rPr>
                <w:rFonts w:ascii="Arial" w:eastAsia="Times New Roman" w:hAnsi="Arial" w:cs="Arial"/>
                <w:color w:val="auto"/>
                <w:sz w:val="20"/>
                <w:szCs w:val="20"/>
                <w:lang w:eastAsia="es-ES"/>
              </w:rPr>
              <w:t>MODERADO</w:t>
            </w:r>
          </w:p>
        </w:tc>
        <w:tc>
          <w:tcPr>
            <w:tcW w:w="1507" w:type="dxa"/>
            <w:tcBorders>
              <w:top w:val="nil"/>
              <w:left w:val="nil"/>
              <w:bottom w:val="single" w:sz="4" w:space="0" w:color="auto"/>
              <w:right w:val="single" w:sz="4" w:space="0" w:color="auto"/>
            </w:tcBorders>
            <w:shd w:val="clear" w:color="auto" w:fill="auto"/>
            <w:noWrap/>
            <w:vAlign w:val="bottom"/>
            <w:hideMark/>
          </w:tcPr>
          <w:p w14:paraId="0B0D9C1F" w14:textId="77777777"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sidRPr="00C85428">
              <w:rPr>
                <w:rFonts w:ascii="Arial" w:eastAsia="Times New Roman" w:hAnsi="Arial" w:cs="Arial"/>
                <w:color w:val="000000"/>
                <w:sz w:val="20"/>
                <w:szCs w:val="20"/>
                <w:lang w:eastAsia="es-ES"/>
              </w:rPr>
              <w:t>6</w:t>
            </w:r>
          </w:p>
        </w:tc>
        <w:tc>
          <w:tcPr>
            <w:tcW w:w="1425" w:type="dxa"/>
            <w:tcBorders>
              <w:top w:val="nil"/>
              <w:left w:val="nil"/>
              <w:bottom w:val="single" w:sz="4" w:space="0" w:color="auto"/>
              <w:right w:val="single" w:sz="4" w:space="0" w:color="auto"/>
            </w:tcBorders>
            <w:shd w:val="clear" w:color="auto" w:fill="auto"/>
            <w:noWrap/>
            <w:vAlign w:val="bottom"/>
            <w:hideMark/>
          </w:tcPr>
          <w:p w14:paraId="242B12FA" w14:textId="77777777"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sidRPr="00C85428">
              <w:rPr>
                <w:rFonts w:ascii="Arial" w:eastAsia="Times New Roman" w:hAnsi="Arial" w:cs="Arial"/>
                <w:color w:val="000000"/>
                <w:sz w:val="20"/>
                <w:szCs w:val="20"/>
                <w:lang w:eastAsia="es-ES"/>
              </w:rPr>
              <w:t>11</w:t>
            </w:r>
          </w:p>
        </w:tc>
        <w:tc>
          <w:tcPr>
            <w:tcW w:w="1425" w:type="dxa"/>
            <w:tcBorders>
              <w:top w:val="nil"/>
              <w:left w:val="nil"/>
              <w:bottom w:val="single" w:sz="4" w:space="0" w:color="auto"/>
              <w:right w:val="single" w:sz="4" w:space="0" w:color="auto"/>
            </w:tcBorders>
          </w:tcPr>
          <w:p w14:paraId="7F63DDE8" w14:textId="423645CE"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17</w:t>
            </w:r>
          </w:p>
        </w:tc>
      </w:tr>
      <w:tr w:rsidR="00131BA6" w:rsidRPr="00C85428" w14:paraId="6205CC33" w14:textId="35450578" w:rsidTr="00131BA6">
        <w:trPr>
          <w:trHeight w:val="258"/>
          <w:jc w:val="center"/>
        </w:trPr>
        <w:tc>
          <w:tcPr>
            <w:tcW w:w="2373" w:type="dxa"/>
            <w:tcBorders>
              <w:top w:val="nil"/>
              <w:left w:val="single" w:sz="4" w:space="0" w:color="auto"/>
              <w:bottom w:val="single" w:sz="4" w:space="0" w:color="auto"/>
              <w:right w:val="single" w:sz="4" w:space="0" w:color="auto"/>
            </w:tcBorders>
            <w:shd w:val="clear" w:color="000000" w:fill="00B050"/>
            <w:noWrap/>
            <w:vAlign w:val="bottom"/>
            <w:hideMark/>
          </w:tcPr>
          <w:p w14:paraId="1060657F" w14:textId="31294ABF" w:rsidR="00131BA6" w:rsidRPr="00C85428" w:rsidRDefault="00131BA6" w:rsidP="005B4190">
            <w:pPr>
              <w:widowControl/>
              <w:suppressAutoHyphens w:val="0"/>
              <w:spacing w:line="240" w:lineRule="auto"/>
              <w:rPr>
                <w:rFonts w:ascii="Arial" w:eastAsia="Times New Roman" w:hAnsi="Arial" w:cs="Arial"/>
                <w:color w:val="auto"/>
                <w:sz w:val="20"/>
                <w:szCs w:val="20"/>
                <w:lang w:eastAsia="es-ES"/>
              </w:rPr>
            </w:pPr>
            <w:r w:rsidRPr="00C85428">
              <w:rPr>
                <w:rFonts w:ascii="Arial" w:eastAsia="Times New Roman" w:hAnsi="Arial" w:cs="Arial"/>
                <w:color w:val="auto"/>
                <w:sz w:val="20"/>
                <w:szCs w:val="20"/>
                <w:lang w:eastAsia="es-ES"/>
              </w:rPr>
              <w:t>BAJO</w:t>
            </w:r>
          </w:p>
        </w:tc>
        <w:tc>
          <w:tcPr>
            <w:tcW w:w="1507" w:type="dxa"/>
            <w:tcBorders>
              <w:top w:val="nil"/>
              <w:left w:val="nil"/>
              <w:bottom w:val="single" w:sz="4" w:space="0" w:color="auto"/>
              <w:right w:val="single" w:sz="4" w:space="0" w:color="auto"/>
            </w:tcBorders>
            <w:shd w:val="clear" w:color="auto" w:fill="auto"/>
            <w:noWrap/>
            <w:vAlign w:val="bottom"/>
            <w:hideMark/>
          </w:tcPr>
          <w:p w14:paraId="5D2281D1" w14:textId="77777777"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sidRPr="00C85428">
              <w:rPr>
                <w:rFonts w:ascii="Arial" w:eastAsia="Times New Roman" w:hAnsi="Arial" w:cs="Arial"/>
                <w:color w:val="000000"/>
                <w:sz w:val="20"/>
                <w:szCs w:val="20"/>
                <w:lang w:eastAsia="es-ES"/>
              </w:rPr>
              <w:t>0</w:t>
            </w:r>
          </w:p>
        </w:tc>
        <w:tc>
          <w:tcPr>
            <w:tcW w:w="1425" w:type="dxa"/>
            <w:tcBorders>
              <w:top w:val="nil"/>
              <w:left w:val="nil"/>
              <w:bottom w:val="single" w:sz="4" w:space="0" w:color="auto"/>
              <w:right w:val="single" w:sz="4" w:space="0" w:color="auto"/>
            </w:tcBorders>
            <w:shd w:val="clear" w:color="auto" w:fill="auto"/>
            <w:noWrap/>
            <w:vAlign w:val="bottom"/>
            <w:hideMark/>
          </w:tcPr>
          <w:p w14:paraId="0FDB101C" w14:textId="77777777"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sidRPr="00C85428">
              <w:rPr>
                <w:rFonts w:ascii="Arial" w:eastAsia="Times New Roman" w:hAnsi="Arial" w:cs="Arial"/>
                <w:color w:val="000000"/>
                <w:sz w:val="20"/>
                <w:szCs w:val="20"/>
                <w:lang w:eastAsia="es-ES"/>
              </w:rPr>
              <w:t>11</w:t>
            </w:r>
          </w:p>
        </w:tc>
        <w:tc>
          <w:tcPr>
            <w:tcW w:w="1425" w:type="dxa"/>
            <w:tcBorders>
              <w:top w:val="nil"/>
              <w:left w:val="nil"/>
              <w:bottom w:val="single" w:sz="4" w:space="0" w:color="auto"/>
              <w:right w:val="single" w:sz="4" w:space="0" w:color="auto"/>
            </w:tcBorders>
          </w:tcPr>
          <w:p w14:paraId="33EF8D8F" w14:textId="3720D30B" w:rsidR="00131BA6" w:rsidRPr="00C85428" w:rsidRDefault="00131BA6" w:rsidP="005B4190">
            <w:pPr>
              <w:widowControl/>
              <w:suppressAutoHyphens w:val="0"/>
              <w:spacing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11</w:t>
            </w:r>
          </w:p>
        </w:tc>
      </w:tr>
      <w:tr w:rsidR="00131BA6" w:rsidRPr="00C85428" w14:paraId="55F09F5D" w14:textId="08166CF0" w:rsidTr="00131BA6">
        <w:trPr>
          <w:trHeight w:val="258"/>
          <w:jc w:val="center"/>
        </w:trPr>
        <w:tc>
          <w:tcPr>
            <w:tcW w:w="2373" w:type="dxa"/>
            <w:tcBorders>
              <w:top w:val="nil"/>
              <w:left w:val="single" w:sz="4" w:space="0" w:color="auto"/>
              <w:bottom w:val="single" w:sz="4" w:space="0" w:color="auto"/>
              <w:right w:val="single" w:sz="4" w:space="0" w:color="auto"/>
            </w:tcBorders>
            <w:shd w:val="clear" w:color="auto" w:fill="auto"/>
            <w:noWrap/>
            <w:vAlign w:val="bottom"/>
            <w:hideMark/>
          </w:tcPr>
          <w:p w14:paraId="1377AC0D" w14:textId="793A7D53" w:rsidR="00131BA6" w:rsidRPr="005B4190" w:rsidRDefault="00131BA6" w:rsidP="005B4190">
            <w:pPr>
              <w:widowControl/>
              <w:suppressAutoHyphens w:val="0"/>
              <w:spacing w:line="240" w:lineRule="auto"/>
              <w:jc w:val="center"/>
              <w:rPr>
                <w:rFonts w:ascii="Arial" w:eastAsia="Times New Roman" w:hAnsi="Arial" w:cs="Arial"/>
                <w:b/>
                <w:bCs/>
                <w:color w:val="000000"/>
                <w:sz w:val="20"/>
                <w:szCs w:val="20"/>
                <w:lang w:eastAsia="es-ES"/>
              </w:rPr>
            </w:pPr>
            <w:r w:rsidRPr="005B4190">
              <w:rPr>
                <w:rFonts w:ascii="Arial" w:eastAsia="Times New Roman" w:hAnsi="Arial" w:cs="Arial"/>
                <w:b/>
                <w:bCs/>
                <w:color w:val="000000"/>
                <w:sz w:val="20"/>
                <w:szCs w:val="20"/>
                <w:lang w:eastAsia="es-ES"/>
              </w:rPr>
              <w:t xml:space="preserve">TOTAL </w:t>
            </w:r>
          </w:p>
        </w:tc>
        <w:tc>
          <w:tcPr>
            <w:tcW w:w="1507" w:type="dxa"/>
            <w:tcBorders>
              <w:top w:val="nil"/>
              <w:left w:val="nil"/>
              <w:bottom w:val="single" w:sz="4" w:space="0" w:color="auto"/>
              <w:right w:val="single" w:sz="4" w:space="0" w:color="auto"/>
            </w:tcBorders>
            <w:shd w:val="clear" w:color="auto" w:fill="auto"/>
            <w:noWrap/>
            <w:vAlign w:val="bottom"/>
            <w:hideMark/>
          </w:tcPr>
          <w:p w14:paraId="71103B4C" w14:textId="77777777" w:rsidR="00131BA6" w:rsidRPr="005B4190" w:rsidRDefault="00131BA6" w:rsidP="005B4190">
            <w:pPr>
              <w:widowControl/>
              <w:suppressAutoHyphens w:val="0"/>
              <w:spacing w:line="240" w:lineRule="auto"/>
              <w:jc w:val="center"/>
              <w:rPr>
                <w:rFonts w:ascii="Arial" w:eastAsia="Times New Roman" w:hAnsi="Arial" w:cs="Arial"/>
                <w:b/>
                <w:color w:val="000000"/>
                <w:sz w:val="20"/>
                <w:szCs w:val="20"/>
                <w:lang w:eastAsia="es-ES"/>
              </w:rPr>
            </w:pPr>
            <w:r w:rsidRPr="005B4190">
              <w:rPr>
                <w:rFonts w:ascii="Arial" w:eastAsia="Times New Roman" w:hAnsi="Arial" w:cs="Arial"/>
                <w:b/>
                <w:color w:val="000000"/>
                <w:sz w:val="20"/>
                <w:szCs w:val="20"/>
                <w:lang w:eastAsia="es-ES"/>
              </w:rPr>
              <w:t>9</w:t>
            </w:r>
          </w:p>
        </w:tc>
        <w:tc>
          <w:tcPr>
            <w:tcW w:w="1425" w:type="dxa"/>
            <w:tcBorders>
              <w:top w:val="nil"/>
              <w:left w:val="nil"/>
              <w:bottom w:val="single" w:sz="4" w:space="0" w:color="auto"/>
              <w:right w:val="single" w:sz="4" w:space="0" w:color="auto"/>
            </w:tcBorders>
            <w:shd w:val="clear" w:color="auto" w:fill="auto"/>
            <w:noWrap/>
            <w:vAlign w:val="bottom"/>
            <w:hideMark/>
          </w:tcPr>
          <w:p w14:paraId="16BFC4E1" w14:textId="77777777" w:rsidR="00131BA6" w:rsidRPr="005B4190" w:rsidRDefault="00131BA6" w:rsidP="005B4190">
            <w:pPr>
              <w:widowControl/>
              <w:suppressAutoHyphens w:val="0"/>
              <w:spacing w:line="240" w:lineRule="auto"/>
              <w:jc w:val="center"/>
              <w:rPr>
                <w:rFonts w:ascii="Arial" w:eastAsia="Times New Roman" w:hAnsi="Arial" w:cs="Arial"/>
                <w:b/>
                <w:color w:val="000000"/>
                <w:sz w:val="20"/>
                <w:szCs w:val="20"/>
                <w:lang w:eastAsia="es-ES"/>
              </w:rPr>
            </w:pPr>
            <w:r w:rsidRPr="005B4190">
              <w:rPr>
                <w:rFonts w:ascii="Arial" w:eastAsia="Times New Roman" w:hAnsi="Arial" w:cs="Arial"/>
                <w:b/>
                <w:color w:val="000000"/>
                <w:sz w:val="20"/>
                <w:szCs w:val="20"/>
                <w:lang w:eastAsia="es-ES"/>
              </w:rPr>
              <w:t>37</w:t>
            </w:r>
          </w:p>
        </w:tc>
        <w:tc>
          <w:tcPr>
            <w:tcW w:w="1425" w:type="dxa"/>
            <w:tcBorders>
              <w:top w:val="nil"/>
              <w:left w:val="nil"/>
              <w:bottom w:val="single" w:sz="4" w:space="0" w:color="auto"/>
              <w:right w:val="single" w:sz="4" w:space="0" w:color="auto"/>
            </w:tcBorders>
          </w:tcPr>
          <w:p w14:paraId="5F5DD953" w14:textId="014D135C" w:rsidR="00131BA6" w:rsidRPr="005B4190" w:rsidRDefault="00131BA6" w:rsidP="005B4190">
            <w:pPr>
              <w:widowControl/>
              <w:suppressAutoHyphens w:val="0"/>
              <w:spacing w:line="240" w:lineRule="auto"/>
              <w:jc w:val="center"/>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46</w:t>
            </w:r>
          </w:p>
        </w:tc>
      </w:tr>
    </w:tbl>
    <w:p w14:paraId="73AEDAB6" w14:textId="44BE22E4" w:rsidR="00570BA7" w:rsidRDefault="00131BA6" w:rsidP="00EE1339">
      <w:pPr>
        <w:pStyle w:val="m7007535857312232601gmail-msolistparagraph"/>
        <w:shd w:val="clear" w:color="auto" w:fill="FFFFFF"/>
        <w:spacing w:before="0" w:beforeAutospacing="0" w:after="0" w:afterAutospacing="0"/>
        <w:jc w:val="center"/>
        <w:rPr>
          <w:rFonts w:ascii="Arial" w:hAnsi="Arial" w:cs="Arial"/>
          <w:color w:val="222222"/>
          <w:sz w:val="18"/>
          <w:szCs w:val="18"/>
        </w:rPr>
      </w:pPr>
      <w:r w:rsidRPr="00932139">
        <w:rPr>
          <w:rFonts w:ascii="Arial" w:hAnsi="Arial" w:cs="Arial"/>
          <w:color w:val="222222"/>
          <w:sz w:val="18"/>
          <w:szCs w:val="18"/>
        </w:rPr>
        <w:t>Gráfico</w:t>
      </w:r>
      <w:r w:rsidR="001E2055" w:rsidRPr="00932139">
        <w:rPr>
          <w:rFonts w:ascii="Arial" w:hAnsi="Arial" w:cs="Arial"/>
          <w:color w:val="222222"/>
          <w:sz w:val="18"/>
          <w:szCs w:val="18"/>
        </w:rPr>
        <w:t xml:space="preserve">. </w:t>
      </w:r>
      <w:r w:rsidR="000E00A7" w:rsidRPr="00932139">
        <w:rPr>
          <w:rFonts w:ascii="Arial" w:hAnsi="Arial" w:cs="Arial"/>
          <w:color w:val="222222"/>
          <w:sz w:val="18"/>
          <w:szCs w:val="18"/>
        </w:rPr>
        <w:t>Relación de riesgos por proceso</w:t>
      </w:r>
    </w:p>
    <w:p w14:paraId="746B90DA" w14:textId="77777777" w:rsidR="00A83ED0" w:rsidRDefault="00A83ED0" w:rsidP="00EE1339">
      <w:pPr>
        <w:pStyle w:val="m7007535857312232601gmail-msolistparagraph"/>
        <w:shd w:val="clear" w:color="auto" w:fill="FFFFFF"/>
        <w:spacing w:before="0" w:beforeAutospacing="0" w:after="0" w:afterAutospacing="0"/>
        <w:jc w:val="center"/>
        <w:rPr>
          <w:rFonts w:ascii="Arial" w:hAnsi="Arial" w:cs="Arial"/>
          <w:color w:val="222222"/>
        </w:rPr>
      </w:pPr>
    </w:p>
    <w:p w14:paraId="4E8FD607" w14:textId="38D6D4A1" w:rsidR="00570BA7" w:rsidRDefault="00570BA7" w:rsidP="00EE1339">
      <w:pPr>
        <w:pStyle w:val="m7007535857312232601gmail-msolistparagraph"/>
        <w:shd w:val="clear" w:color="auto" w:fill="FFFFFF"/>
        <w:spacing w:before="0" w:beforeAutospacing="0" w:after="0" w:afterAutospacing="0"/>
        <w:jc w:val="center"/>
        <w:rPr>
          <w:rFonts w:ascii="Arial" w:hAnsi="Arial" w:cs="Arial"/>
          <w:color w:val="222222"/>
          <w:sz w:val="22"/>
        </w:rPr>
      </w:pPr>
      <w:r>
        <w:rPr>
          <w:noProof/>
        </w:rPr>
        <w:drawing>
          <wp:inline distT="0" distB="0" distL="0" distR="0" wp14:anchorId="24A7FF9A" wp14:editId="47B08082">
            <wp:extent cx="4726379" cy="5189517"/>
            <wp:effectExtent l="0" t="0" r="17145" b="1143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F12AA69" w14:textId="77777777" w:rsidR="00570BA7" w:rsidRDefault="00570BA7" w:rsidP="005B4190">
      <w:pPr>
        <w:pStyle w:val="m7007535857312232601gmail-msolistparagraph"/>
        <w:shd w:val="clear" w:color="auto" w:fill="FFFFFF"/>
        <w:spacing w:before="0" w:beforeAutospacing="0" w:after="0" w:afterAutospacing="0"/>
        <w:jc w:val="both"/>
        <w:rPr>
          <w:rFonts w:ascii="Arial" w:hAnsi="Arial" w:cs="Arial"/>
          <w:color w:val="222222"/>
          <w:sz w:val="22"/>
        </w:rPr>
      </w:pPr>
    </w:p>
    <w:p w14:paraId="0AB15F3A" w14:textId="77777777" w:rsidR="00570BA7" w:rsidRDefault="00570BA7" w:rsidP="005B4190">
      <w:pPr>
        <w:pStyle w:val="m7007535857312232601gmail-msolistparagraph"/>
        <w:shd w:val="clear" w:color="auto" w:fill="FFFFFF"/>
        <w:spacing w:before="0" w:beforeAutospacing="0" w:after="0" w:afterAutospacing="0"/>
        <w:jc w:val="both"/>
        <w:rPr>
          <w:rFonts w:ascii="Arial" w:hAnsi="Arial" w:cs="Arial"/>
          <w:color w:val="222222"/>
          <w:sz w:val="22"/>
        </w:rPr>
      </w:pPr>
    </w:p>
    <w:p w14:paraId="616176B7" w14:textId="48538779" w:rsidR="00932109" w:rsidRDefault="00B32204" w:rsidP="005B4190">
      <w:pPr>
        <w:pStyle w:val="m7007535857312232601gmail-msolistparagraph"/>
        <w:shd w:val="clear" w:color="auto" w:fill="FFFFFF"/>
        <w:spacing w:before="0" w:beforeAutospacing="0" w:after="0" w:afterAutospacing="0"/>
        <w:jc w:val="both"/>
        <w:rPr>
          <w:rFonts w:ascii="Arial" w:hAnsi="Arial" w:cs="Arial"/>
          <w:color w:val="222222"/>
          <w:sz w:val="22"/>
        </w:rPr>
      </w:pPr>
      <w:r>
        <w:rPr>
          <w:rFonts w:ascii="Arial" w:hAnsi="Arial" w:cs="Arial"/>
          <w:color w:val="222222"/>
          <w:sz w:val="22"/>
        </w:rPr>
        <w:t xml:space="preserve">De lo anterior, se observa que el proceso </w:t>
      </w:r>
      <w:r w:rsidR="00932109">
        <w:rPr>
          <w:rFonts w:ascii="Arial" w:hAnsi="Arial" w:cs="Arial"/>
          <w:color w:val="222222"/>
          <w:sz w:val="22"/>
        </w:rPr>
        <w:t xml:space="preserve">de “Divulgación y Apropiación Social del Patrimonio” es el que </w:t>
      </w:r>
      <w:r>
        <w:rPr>
          <w:rFonts w:ascii="Arial" w:hAnsi="Arial" w:cs="Arial"/>
          <w:color w:val="222222"/>
          <w:sz w:val="22"/>
        </w:rPr>
        <w:t xml:space="preserve">más </w:t>
      </w:r>
      <w:r w:rsidR="00932109">
        <w:rPr>
          <w:rFonts w:ascii="Arial" w:hAnsi="Arial" w:cs="Arial"/>
          <w:color w:val="222222"/>
          <w:sz w:val="22"/>
        </w:rPr>
        <w:t>riesgos de gestión definió</w:t>
      </w:r>
      <w:r>
        <w:rPr>
          <w:rFonts w:ascii="Arial" w:hAnsi="Arial" w:cs="Arial"/>
          <w:color w:val="222222"/>
          <w:sz w:val="22"/>
        </w:rPr>
        <w:t xml:space="preserve"> </w:t>
      </w:r>
      <w:r w:rsidR="00932109">
        <w:rPr>
          <w:rFonts w:ascii="Arial" w:hAnsi="Arial" w:cs="Arial"/>
          <w:color w:val="222222"/>
          <w:sz w:val="22"/>
        </w:rPr>
        <w:t>con un total de siete (7) riesgos, seguido de los procesos de “Gestión Financiera” y “Pro</w:t>
      </w:r>
      <w:r w:rsidR="00570BA7">
        <w:rPr>
          <w:rFonts w:ascii="Arial" w:hAnsi="Arial" w:cs="Arial"/>
          <w:color w:val="222222"/>
          <w:sz w:val="22"/>
        </w:rPr>
        <w:t>t</w:t>
      </w:r>
      <w:r w:rsidR="00932109">
        <w:rPr>
          <w:rFonts w:ascii="Arial" w:hAnsi="Arial" w:cs="Arial"/>
          <w:color w:val="222222"/>
          <w:sz w:val="22"/>
        </w:rPr>
        <w:t xml:space="preserve">ección e Intervención del Patrimonio” con cuatro (4) riesgos cada uno. </w:t>
      </w:r>
    </w:p>
    <w:p w14:paraId="67ADE4DB" w14:textId="77777777" w:rsidR="00932109" w:rsidRDefault="00932109" w:rsidP="005B4190">
      <w:pPr>
        <w:pStyle w:val="m7007535857312232601gmail-msolistparagraph"/>
        <w:shd w:val="clear" w:color="auto" w:fill="FFFFFF"/>
        <w:spacing w:before="0" w:beforeAutospacing="0" w:after="0" w:afterAutospacing="0"/>
        <w:jc w:val="both"/>
        <w:rPr>
          <w:rFonts w:ascii="Arial" w:hAnsi="Arial" w:cs="Arial"/>
          <w:color w:val="222222"/>
          <w:sz w:val="22"/>
        </w:rPr>
      </w:pPr>
    </w:p>
    <w:p w14:paraId="35D74990" w14:textId="47810F56" w:rsidR="00932109" w:rsidRDefault="00932109" w:rsidP="005B4190">
      <w:pPr>
        <w:pStyle w:val="m7007535857312232601gmail-msolistparagraph"/>
        <w:shd w:val="clear" w:color="auto" w:fill="FFFFFF"/>
        <w:spacing w:before="0" w:beforeAutospacing="0" w:after="0" w:afterAutospacing="0"/>
        <w:jc w:val="both"/>
        <w:rPr>
          <w:rFonts w:ascii="Arial" w:hAnsi="Arial" w:cs="Arial"/>
          <w:color w:val="222222"/>
          <w:sz w:val="22"/>
        </w:rPr>
      </w:pPr>
      <w:r>
        <w:rPr>
          <w:rFonts w:ascii="Arial" w:hAnsi="Arial" w:cs="Arial"/>
          <w:color w:val="222222"/>
          <w:sz w:val="22"/>
        </w:rPr>
        <w:t>En relación con los riesgos de corrupción el proceso de “Gestión Contractual” es el que mayor tiene con dos (2) riesgos definidos. Para los procesos de “Gestión Financiera”, “Control Interno Disciplinario”, “Gestión de Sistemas</w:t>
      </w:r>
      <w:r w:rsidR="00570BA7">
        <w:rPr>
          <w:rFonts w:ascii="Arial" w:hAnsi="Arial" w:cs="Arial"/>
          <w:color w:val="222222"/>
          <w:sz w:val="22"/>
        </w:rPr>
        <w:t xml:space="preserve"> de </w:t>
      </w:r>
      <w:r w:rsidR="000629B0">
        <w:rPr>
          <w:rFonts w:ascii="Arial" w:hAnsi="Arial" w:cs="Arial"/>
          <w:color w:val="222222"/>
          <w:sz w:val="22"/>
        </w:rPr>
        <w:t>Información</w:t>
      </w:r>
      <w:r w:rsidR="00570BA7">
        <w:rPr>
          <w:rFonts w:ascii="Arial" w:hAnsi="Arial" w:cs="Arial"/>
          <w:color w:val="222222"/>
          <w:sz w:val="22"/>
        </w:rPr>
        <w:t xml:space="preserve"> y </w:t>
      </w:r>
      <w:r w:rsidR="000629B0">
        <w:rPr>
          <w:rFonts w:ascii="Arial" w:hAnsi="Arial" w:cs="Arial"/>
          <w:color w:val="222222"/>
          <w:sz w:val="22"/>
        </w:rPr>
        <w:t>Tecnología</w:t>
      </w:r>
      <w:r>
        <w:rPr>
          <w:rFonts w:ascii="Arial" w:hAnsi="Arial" w:cs="Arial"/>
          <w:color w:val="222222"/>
          <w:sz w:val="22"/>
        </w:rPr>
        <w:t>”, “Gestión Jurídica”, “Atención a la Ciudadanía”, “Fortalecimiento del SIG” y “Direccionamiento Estratégico”</w:t>
      </w:r>
      <w:r w:rsidR="00E86774">
        <w:rPr>
          <w:rFonts w:ascii="Arial" w:hAnsi="Arial" w:cs="Arial"/>
          <w:color w:val="222222"/>
          <w:sz w:val="22"/>
        </w:rPr>
        <w:t xml:space="preserve"> </w:t>
      </w:r>
      <w:r>
        <w:rPr>
          <w:rFonts w:ascii="Arial" w:hAnsi="Arial" w:cs="Arial"/>
          <w:color w:val="222222"/>
          <w:sz w:val="22"/>
        </w:rPr>
        <w:t xml:space="preserve"> </w:t>
      </w:r>
      <w:r w:rsidR="00161920">
        <w:rPr>
          <w:rFonts w:ascii="Arial" w:hAnsi="Arial" w:cs="Arial"/>
          <w:color w:val="222222"/>
          <w:sz w:val="22"/>
        </w:rPr>
        <w:t xml:space="preserve">la </w:t>
      </w:r>
      <w:r w:rsidR="00E86774">
        <w:rPr>
          <w:rFonts w:ascii="Arial" w:hAnsi="Arial" w:cs="Arial"/>
          <w:color w:val="222222"/>
          <w:sz w:val="22"/>
        </w:rPr>
        <w:t>e</w:t>
      </w:r>
      <w:r w:rsidR="00161920">
        <w:rPr>
          <w:rFonts w:ascii="Arial" w:hAnsi="Arial" w:cs="Arial"/>
          <w:color w:val="222222"/>
          <w:sz w:val="22"/>
        </w:rPr>
        <w:t xml:space="preserve">ntidad </w:t>
      </w:r>
      <w:r>
        <w:rPr>
          <w:rFonts w:ascii="Arial" w:hAnsi="Arial" w:cs="Arial"/>
          <w:color w:val="222222"/>
          <w:sz w:val="22"/>
        </w:rPr>
        <w:t xml:space="preserve">no </w:t>
      </w:r>
      <w:r w:rsidR="00161920">
        <w:rPr>
          <w:rFonts w:ascii="Arial" w:hAnsi="Arial" w:cs="Arial"/>
          <w:color w:val="222222"/>
          <w:sz w:val="22"/>
        </w:rPr>
        <w:t xml:space="preserve">identificó </w:t>
      </w:r>
      <w:r>
        <w:rPr>
          <w:rFonts w:ascii="Arial" w:hAnsi="Arial" w:cs="Arial"/>
          <w:color w:val="222222"/>
          <w:sz w:val="22"/>
        </w:rPr>
        <w:t>riesgo de corrupción.</w:t>
      </w:r>
    </w:p>
    <w:p w14:paraId="2B46FD61" w14:textId="77777777" w:rsidR="00B32204" w:rsidRDefault="00B32204" w:rsidP="005B4190">
      <w:pPr>
        <w:pStyle w:val="m7007535857312232601gmail-msolistparagraph"/>
        <w:shd w:val="clear" w:color="auto" w:fill="FFFFFF"/>
        <w:spacing w:before="0" w:beforeAutospacing="0" w:after="0" w:afterAutospacing="0"/>
        <w:jc w:val="both"/>
        <w:rPr>
          <w:rFonts w:ascii="Arial" w:hAnsi="Arial" w:cs="Arial"/>
          <w:color w:val="222222"/>
          <w:sz w:val="22"/>
        </w:rPr>
      </w:pPr>
    </w:p>
    <w:p w14:paraId="726E7462" w14:textId="5CAB0383" w:rsidR="0095129B" w:rsidRDefault="00FC2E3F" w:rsidP="005B4190">
      <w:pPr>
        <w:pStyle w:val="m7007535857312232601gmail-msolistparagraph"/>
        <w:shd w:val="clear" w:color="auto" w:fill="FFFFFF"/>
        <w:spacing w:before="0" w:beforeAutospacing="0" w:after="0" w:afterAutospacing="0"/>
        <w:jc w:val="both"/>
        <w:rPr>
          <w:rFonts w:ascii="Arial" w:hAnsi="Arial" w:cs="Arial"/>
          <w:color w:val="222222"/>
          <w:sz w:val="22"/>
        </w:rPr>
      </w:pPr>
      <w:r w:rsidRPr="00730430">
        <w:rPr>
          <w:rFonts w:ascii="Arial" w:hAnsi="Arial" w:cs="Arial"/>
          <w:color w:val="222222"/>
          <w:sz w:val="22"/>
        </w:rPr>
        <w:t xml:space="preserve">De acuerdo </w:t>
      </w:r>
      <w:r w:rsidR="00683674">
        <w:rPr>
          <w:rFonts w:ascii="Arial" w:hAnsi="Arial" w:cs="Arial"/>
          <w:color w:val="222222"/>
          <w:sz w:val="22"/>
        </w:rPr>
        <w:t xml:space="preserve">con el </w:t>
      </w:r>
      <w:r w:rsidRPr="00730430">
        <w:rPr>
          <w:rFonts w:ascii="Arial" w:hAnsi="Arial" w:cs="Arial"/>
          <w:color w:val="222222"/>
          <w:sz w:val="22"/>
        </w:rPr>
        <w:t xml:space="preserve">monitoreo realizado </w:t>
      </w:r>
      <w:r w:rsidR="000E00A7" w:rsidRPr="00730430">
        <w:rPr>
          <w:rFonts w:ascii="Arial" w:hAnsi="Arial" w:cs="Arial"/>
          <w:color w:val="222222"/>
          <w:sz w:val="22"/>
        </w:rPr>
        <w:t>a la gestión de los riesgos</w:t>
      </w:r>
      <w:r w:rsidR="00A859CA">
        <w:rPr>
          <w:rFonts w:ascii="Arial" w:hAnsi="Arial" w:cs="Arial"/>
          <w:color w:val="222222"/>
          <w:sz w:val="22"/>
        </w:rPr>
        <w:t xml:space="preserve"> </w:t>
      </w:r>
      <w:r w:rsidRPr="00730430">
        <w:rPr>
          <w:rFonts w:ascii="Arial" w:hAnsi="Arial" w:cs="Arial"/>
          <w:color w:val="222222"/>
          <w:sz w:val="22"/>
        </w:rPr>
        <w:t>por</w:t>
      </w:r>
      <w:r w:rsidR="009853C4">
        <w:rPr>
          <w:rFonts w:ascii="Arial" w:hAnsi="Arial" w:cs="Arial"/>
          <w:color w:val="222222"/>
          <w:sz w:val="22"/>
        </w:rPr>
        <w:t xml:space="preserve"> los</w:t>
      </w:r>
      <w:r w:rsidRPr="00730430">
        <w:rPr>
          <w:rFonts w:ascii="Arial" w:hAnsi="Arial" w:cs="Arial"/>
          <w:color w:val="222222"/>
          <w:sz w:val="22"/>
        </w:rPr>
        <w:t xml:space="preserve"> </w:t>
      </w:r>
      <w:r w:rsidR="00730430">
        <w:rPr>
          <w:rFonts w:ascii="Arial" w:hAnsi="Arial" w:cs="Arial"/>
          <w:color w:val="222222"/>
          <w:sz w:val="22"/>
        </w:rPr>
        <w:t xml:space="preserve">responsables de </w:t>
      </w:r>
      <w:r w:rsidRPr="00730430">
        <w:rPr>
          <w:rFonts w:ascii="Arial" w:hAnsi="Arial" w:cs="Arial"/>
          <w:color w:val="222222"/>
          <w:sz w:val="22"/>
        </w:rPr>
        <w:t xml:space="preserve">los procesos, </w:t>
      </w:r>
      <w:r w:rsidR="00A859CA">
        <w:rPr>
          <w:rFonts w:ascii="Arial" w:hAnsi="Arial" w:cs="Arial"/>
          <w:color w:val="222222"/>
          <w:sz w:val="22"/>
        </w:rPr>
        <w:t xml:space="preserve">a continuación, </w:t>
      </w:r>
      <w:r w:rsidRPr="00730430">
        <w:rPr>
          <w:rFonts w:ascii="Arial" w:hAnsi="Arial" w:cs="Arial"/>
          <w:color w:val="222222"/>
          <w:sz w:val="22"/>
        </w:rPr>
        <w:t>se presenta</w:t>
      </w:r>
      <w:r w:rsidR="00730430">
        <w:rPr>
          <w:rFonts w:ascii="Arial" w:hAnsi="Arial" w:cs="Arial"/>
          <w:color w:val="222222"/>
          <w:sz w:val="22"/>
        </w:rPr>
        <w:t>n</w:t>
      </w:r>
      <w:r w:rsidRPr="00730430">
        <w:rPr>
          <w:rFonts w:ascii="Arial" w:hAnsi="Arial" w:cs="Arial"/>
          <w:color w:val="222222"/>
          <w:sz w:val="22"/>
        </w:rPr>
        <w:t xml:space="preserve"> </w:t>
      </w:r>
      <w:r w:rsidR="00730430">
        <w:rPr>
          <w:rFonts w:ascii="Arial" w:hAnsi="Arial" w:cs="Arial"/>
          <w:color w:val="222222"/>
          <w:sz w:val="22"/>
        </w:rPr>
        <w:t xml:space="preserve">los resultados y </w:t>
      </w:r>
      <w:r w:rsidR="00A859CA">
        <w:rPr>
          <w:rFonts w:ascii="Arial" w:hAnsi="Arial" w:cs="Arial"/>
          <w:color w:val="222222"/>
          <w:sz w:val="22"/>
        </w:rPr>
        <w:t xml:space="preserve">las </w:t>
      </w:r>
      <w:r w:rsidR="00730430">
        <w:rPr>
          <w:rFonts w:ascii="Arial" w:hAnsi="Arial" w:cs="Arial"/>
          <w:color w:val="222222"/>
          <w:sz w:val="22"/>
        </w:rPr>
        <w:t>recomendaciones</w:t>
      </w:r>
      <w:r w:rsidR="00A859CA">
        <w:rPr>
          <w:rFonts w:ascii="Arial" w:hAnsi="Arial" w:cs="Arial"/>
          <w:color w:val="222222"/>
          <w:sz w:val="22"/>
        </w:rPr>
        <w:t xml:space="preserve"> por parte de la Oficina Asesora de Planeación</w:t>
      </w:r>
      <w:r w:rsidRPr="00730430">
        <w:rPr>
          <w:rFonts w:ascii="Arial" w:hAnsi="Arial" w:cs="Arial"/>
          <w:color w:val="222222"/>
          <w:sz w:val="22"/>
        </w:rPr>
        <w:t>:</w:t>
      </w:r>
    </w:p>
    <w:p w14:paraId="29E660E5" w14:textId="77777777" w:rsidR="00131BA6" w:rsidRPr="00730430" w:rsidRDefault="00131BA6" w:rsidP="005B4190">
      <w:pPr>
        <w:pStyle w:val="m7007535857312232601gmail-msolistparagraph"/>
        <w:shd w:val="clear" w:color="auto" w:fill="FFFFFF"/>
        <w:spacing w:before="0" w:beforeAutospacing="0" w:after="0" w:afterAutospacing="0"/>
        <w:jc w:val="both"/>
        <w:rPr>
          <w:rFonts w:ascii="Arial" w:hAnsi="Arial" w:cs="Arial"/>
          <w:color w:val="222222"/>
          <w:sz w:val="22"/>
        </w:rPr>
      </w:pPr>
    </w:p>
    <w:tbl>
      <w:tblPr>
        <w:tblW w:w="9045" w:type="dxa"/>
        <w:tblInd w:w="55" w:type="dxa"/>
        <w:tblCellMar>
          <w:left w:w="70" w:type="dxa"/>
          <w:right w:w="70" w:type="dxa"/>
        </w:tblCellMar>
        <w:tblLook w:val="04A0" w:firstRow="1" w:lastRow="0" w:firstColumn="1" w:lastColumn="0" w:noHBand="0" w:noVBand="1"/>
      </w:tblPr>
      <w:tblGrid>
        <w:gridCol w:w="1575"/>
        <w:gridCol w:w="4319"/>
        <w:gridCol w:w="3151"/>
      </w:tblGrid>
      <w:tr w:rsidR="00FF29AB" w:rsidRPr="00EE1339" w14:paraId="324E403B" w14:textId="77777777" w:rsidTr="001D35D3">
        <w:trPr>
          <w:trHeight w:val="414"/>
          <w:tblHeader/>
        </w:trPr>
        <w:tc>
          <w:tcPr>
            <w:tcW w:w="157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2016EC" w14:textId="2BC61ACC" w:rsidR="00FC2E3F" w:rsidRPr="00EE1339" w:rsidRDefault="00A859CA" w:rsidP="005B4190">
            <w:pPr>
              <w:widowControl/>
              <w:suppressAutoHyphens w:val="0"/>
              <w:spacing w:line="240" w:lineRule="auto"/>
              <w:jc w:val="center"/>
              <w:rPr>
                <w:rFonts w:ascii="Arial" w:eastAsia="Times New Roman" w:hAnsi="Arial" w:cs="Arial"/>
                <w:b/>
                <w:bCs/>
                <w:color w:val="000000"/>
                <w:sz w:val="16"/>
                <w:szCs w:val="16"/>
                <w:lang w:eastAsia="es-ES"/>
              </w:rPr>
            </w:pPr>
            <w:r w:rsidRPr="00EE1339">
              <w:rPr>
                <w:rFonts w:ascii="Arial" w:eastAsia="Times New Roman" w:hAnsi="Arial" w:cs="Arial"/>
                <w:b/>
                <w:bCs/>
                <w:color w:val="000000"/>
                <w:sz w:val="16"/>
                <w:szCs w:val="16"/>
                <w:lang w:eastAsia="es-ES"/>
              </w:rPr>
              <w:t>PROCESO</w:t>
            </w:r>
          </w:p>
        </w:tc>
        <w:tc>
          <w:tcPr>
            <w:tcW w:w="431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1C32E1" w14:textId="1ACCAD7B" w:rsidR="00FC2E3F" w:rsidRPr="00EE1339" w:rsidRDefault="00A859CA" w:rsidP="00131BA6">
            <w:pPr>
              <w:widowControl/>
              <w:suppressAutoHyphens w:val="0"/>
              <w:spacing w:line="240" w:lineRule="auto"/>
              <w:jc w:val="center"/>
              <w:rPr>
                <w:rFonts w:ascii="Arial" w:eastAsia="Times New Roman" w:hAnsi="Arial" w:cs="Arial"/>
                <w:b/>
                <w:bCs/>
                <w:color w:val="000000"/>
                <w:sz w:val="16"/>
                <w:szCs w:val="16"/>
                <w:lang w:eastAsia="es-ES"/>
              </w:rPr>
            </w:pPr>
            <w:r w:rsidRPr="00EE1339">
              <w:rPr>
                <w:rFonts w:ascii="Arial" w:eastAsia="Times New Roman" w:hAnsi="Arial" w:cs="Arial"/>
                <w:b/>
                <w:bCs/>
                <w:color w:val="000000"/>
                <w:sz w:val="16"/>
                <w:szCs w:val="16"/>
                <w:lang w:eastAsia="es-ES"/>
              </w:rPr>
              <w:t>RESULTADOS DEL MONITOREO</w:t>
            </w:r>
          </w:p>
        </w:tc>
        <w:tc>
          <w:tcPr>
            <w:tcW w:w="3151"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5D89EBC" w14:textId="4DBB86FD" w:rsidR="00FC2E3F" w:rsidRPr="00EE1339" w:rsidRDefault="00A859CA" w:rsidP="00B32204">
            <w:pPr>
              <w:widowControl/>
              <w:suppressAutoHyphens w:val="0"/>
              <w:spacing w:line="240" w:lineRule="auto"/>
              <w:jc w:val="center"/>
              <w:rPr>
                <w:rFonts w:ascii="Arial" w:eastAsia="Times New Roman" w:hAnsi="Arial" w:cs="Arial"/>
                <w:b/>
                <w:bCs/>
                <w:color w:val="000000"/>
                <w:sz w:val="16"/>
                <w:szCs w:val="16"/>
                <w:lang w:eastAsia="es-ES"/>
              </w:rPr>
            </w:pPr>
            <w:r w:rsidRPr="00EE1339">
              <w:rPr>
                <w:rFonts w:ascii="Arial" w:eastAsia="Times New Roman" w:hAnsi="Arial" w:cs="Arial"/>
                <w:b/>
                <w:bCs/>
                <w:color w:val="000000"/>
                <w:sz w:val="16"/>
                <w:szCs w:val="16"/>
                <w:lang w:eastAsia="es-ES"/>
              </w:rPr>
              <w:t>RECOMENDACIONES</w:t>
            </w:r>
          </w:p>
        </w:tc>
      </w:tr>
      <w:tr w:rsidR="00FC2E3F" w:rsidRPr="00EE1339" w14:paraId="71928DE9" w14:textId="77777777" w:rsidTr="001D35D3">
        <w:trPr>
          <w:trHeight w:val="225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7F02D82B" w14:textId="77777777"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Direccionamiento Estratégico</w:t>
            </w:r>
          </w:p>
        </w:tc>
        <w:tc>
          <w:tcPr>
            <w:tcW w:w="4319" w:type="dxa"/>
            <w:tcBorders>
              <w:top w:val="nil"/>
              <w:left w:val="nil"/>
              <w:bottom w:val="single" w:sz="4" w:space="0" w:color="auto"/>
              <w:right w:val="single" w:sz="4" w:space="0" w:color="auto"/>
            </w:tcBorders>
            <w:shd w:val="clear" w:color="auto" w:fill="auto"/>
            <w:vAlign w:val="center"/>
            <w:hideMark/>
          </w:tcPr>
          <w:p w14:paraId="377AE700" w14:textId="0D76F98E" w:rsidR="00254C62" w:rsidRPr="00EE1339" w:rsidRDefault="00254C62" w:rsidP="00932109">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Riesgo: </w:t>
            </w:r>
            <w:r w:rsidR="00B0454A" w:rsidRPr="00EE1339">
              <w:rPr>
                <w:rFonts w:ascii="Arial" w:eastAsia="Times New Roman" w:hAnsi="Arial" w:cs="Arial"/>
                <w:color w:val="000000"/>
                <w:sz w:val="16"/>
                <w:szCs w:val="16"/>
                <w:lang w:eastAsia="es-ES"/>
              </w:rPr>
              <w:t>Seguimiento  inadecuado en la formulación y ejecución de las metas  institucionales</w:t>
            </w:r>
          </w:p>
          <w:p w14:paraId="2850756C" w14:textId="77777777" w:rsidR="00B0454A" w:rsidRPr="00EE1339" w:rsidRDefault="00B0454A" w:rsidP="00932109">
            <w:pPr>
              <w:widowControl/>
              <w:suppressAutoHyphens w:val="0"/>
              <w:spacing w:line="240" w:lineRule="auto"/>
              <w:jc w:val="both"/>
              <w:rPr>
                <w:rFonts w:ascii="Arial" w:eastAsia="Times New Roman" w:hAnsi="Arial" w:cs="Arial"/>
                <w:b/>
                <w:color w:val="000000"/>
                <w:sz w:val="16"/>
                <w:szCs w:val="16"/>
                <w:lang w:eastAsia="es-ES"/>
              </w:rPr>
            </w:pPr>
          </w:p>
          <w:p w14:paraId="1936A490" w14:textId="1F5DF567" w:rsidR="00B17106" w:rsidRPr="00933634" w:rsidRDefault="00334DA4"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334DA4">
              <w:rPr>
                <w:rFonts w:ascii="Arial" w:eastAsia="Times New Roman" w:hAnsi="Arial" w:cs="Arial"/>
                <w:color w:val="000000"/>
                <w:sz w:val="16"/>
                <w:szCs w:val="16"/>
                <w:lang w:eastAsia="es-ES"/>
              </w:rPr>
              <w:t>Se realizó consolidación, seguimiento y reporte en el aplicativo PREDIS de las metas institucionales para los periodos de septiembre, octubre y noviembre de 2019.</w:t>
            </w:r>
          </w:p>
          <w:p w14:paraId="279DF245" w14:textId="25F5C2DF" w:rsidR="00933634" w:rsidRPr="00933634" w:rsidRDefault="00B17106"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00334DA4" w:rsidRPr="00334DA4">
              <w:rPr>
                <w:rFonts w:ascii="Arial" w:eastAsia="Times New Roman" w:hAnsi="Arial" w:cs="Arial"/>
                <w:color w:val="000000"/>
                <w:sz w:val="16"/>
                <w:szCs w:val="16"/>
                <w:lang w:eastAsia="es-ES"/>
              </w:rPr>
              <w:t>e realizó revisión del informe de Desarrollo Institucional en el marco del informe de empalme en cumplimiento de la circular 002 y 003 del 2019.</w:t>
            </w:r>
          </w:p>
          <w:p w14:paraId="47B8FFD9" w14:textId="661B6F27" w:rsidR="00FE1C18" w:rsidRDefault="00933634"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Se llevó a cabo </w:t>
            </w:r>
            <w:r w:rsidRPr="00933634">
              <w:rPr>
                <w:rFonts w:ascii="Arial" w:eastAsia="Times New Roman" w:hAnsi="Arial" w:cs="Arial"/>
                <w:color w:val="000000"/>
                <w:sz w:val="16"/>
                <w:szCs w:val="16"/>
                <w:lang w:eastAsia="es-ES"/>
              </w:rPr>
              <w:t>seguimiento a los resultados de los instrumentos de gestión que hacen referencia a Índice de Innovación Pública y al Índice Institucional de Gestión y Desempeño Institucional</w:t>
            </w:r>
            <w:r>
              <w:rPr>
                <w:rFonts w:ascii="Arial" w:eastAsia="Times New Roman" w:hAnsi="Arial" w:cs="Arial"/>
                <w:color w:val="000000"/>
                <w:sz w:val="16"/>
                <w:szCs w:val="16"/>
                <w:lang w:eastAsia="es-ES"/>
              </w:rPr>
              <w:t>.</w:t>
            </w:r>
          </w:p>
          <w:p w14:paraId="338449F3" w14:textId="77777777" w:rsidR="00933634" w:rsidRDefault="00933634"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933634">
              <w:rPr>
                <w:rFonts w:ascii="Arial" w:eastAsia="Times New Roman" w:hAnsi="Arial" w:cs="Arial"/>
                <w:color w:val="000000"/>
                <w:sz w:val="16"/>
                <w:szCs w:val="16"/>
                <w:lang w:eastAsia="es-ES"/>
              </w:rPr>
              <w:t>Se presentó el seguimiento a metas financieras, de acuerdo con lo programado en el Plan Anual de Adquisiciones.</w:t>
            </w:r>
          </w:p>
          <w:p w14:paraId="5673CD49" w14:textId="77777777" w:rsidR="008E0228" w:rsidRDefault="008E0228" w:rsidP="008E0228">
            <w:pPr>
              <w:widowControl/>
              <w:suppressAutoHyphens w:val="0"/>
              <w:spacing w:line="240" w:lineRule="auto"/>
              <w:jc w:val="both"/>
              <w:rPr>
                <w:rFonts w:ascii="Arial" w:eastAsia="Times New Roman" w:hAnsi="Arial" w:cs="Arial"/>
                <w:color w:val="000000"/>
                <w:sz w:val="16"/>
                <w:szCs w:val="16"/>
                <w:lang w:eastAsia="es-ES"/>
              </w:rPr>
            </w:pPr>
          </w:p>
          <w:p w14:paraId="2B2BE76D" w14:textId="33975B69" w:rsidR="008E0228" w:rsidRPr="008E0228" w:rsidRDefault="008E0228" w:rsidP="008E0228">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Se evidencia que el riesgo no se ha materializado.</w:t>
            </w:r>
          </w:p>
        </w:tc>
        <w:tc>
          <w:tcPr>
            <w:tcW w:w="3151" w:type="dxa"/>
            <w:tcBorders>
              <w:top w:val="nil"/>
              <w:left w:val="nil"/>
              <w:bottom w:val="single" w:sz="4" w:space="0" w:color="auto"/>
              <w:right w:val="single" w:sz="4" w:space="0" w:color="auto"/>
            </w:tcBorders>
            <w:shd w:val="clear" w:color="auto" w:fill="auto"/>
            <w:vAlign w:val="center"/>
            <w:hideMark/>
          </w:tcPr>
          <w:p w14:paraId="20FF3418" w14:textId="644E3758" w:rsidR="00782980" w:rsidRPr="00EE1339" w:rsidRDefault="00F44260" w:rsidP="00FE1C18">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En la  identificación y administración de riesgos para la vigencia 2020, se </w:t>
            </w:r>
            <w:r w:rsidR="00334DA4">
              <w:rPr>
                <w:rFonts w:ascii="Arial" w:eastAsia="Times New Roman" w:hAnsi="Arial" w:cs="Arial"/>
                <w:color w:val="000000"/>
                <w:sz w:val="16"/>
                <w:szCs w:val="16"/>
                <w:lang w:eastAsia="es-ES"/>
              </w:rPr>
              <w:t>recomienda</w:t>
            </w:r>
            <w:r w:rsidRPr="00EE1339">
              <w:rPr>
                <w:rFonts w:ascii="Arial" w:eastAsia="Times New Roman" w:hAnsi="Arial" w:cs="Arial"/>
                <w:color w:val="000000"/>
                <w:sz w:val="16"/>
                <w:szCs w:val="16"/>
                <w:lang w:eastAsia="es-ES"/>
              </w:rPr>
              <w:t xml:space="preserve"> r</w:t>
            </w:r>
            <w:r w:rsidR="00FC2E3F" w:rsidRPr="00EE1339">
              <w:rPr>
                <w:rFonts w:ascii="Arial" w:eastAsia="Times New Roman" w:hAnsi="Arial" w:cs="Arial"/>
                <w:color w:val="000000"/>
                <w:sz w:val="16"/>
                <w:szCs w:val="16"/>
                <w:lang w:eastAsia="es-ES"/>
              </w:rPr>
              <w:t>evisar la</w:t>
            </w:r>
            <w:r w:rsidR="00812B75" w:rsidRPr="00EE1339">
              <w:rPr>
                <w:rFonts w:ascii="Arial" w:eastAsia="Times New Roman" w:hAnsi="Arial" w:cs="Arial"/>
                <w:color w:val="000000"/>
                <w:sz w:val="16"/>
                <w:szCs w:val="16"/>
                <w:lang w:eastAsia="es-ES"/>
              </w:rPr>
              <w:t>s</w:t>
            </w:r>
            <w:r w:rsidR="00FC2E3F" w:rsidRPr="00EE1339">
              <w:rPr>
                <w:rFonts w:ascii="Arial" w:eastAsia="Times New Roman" w:hAnsi="Arial" w:cs="Arial"/>
                <w:color w:val="000000"/>
                <w:sz w:val="16"/>
                <w:szCs w:val="16"/>
                <w:lang w:eastAsia="es-ES"/>
              </w:rPr>
              <w:t xml:space="preserve"> </w:t>
            </w:r>
            <w:r w:rsidR="00812B75" w:rsidRPr="00EE1339">
              <w:rPr>
                <w:rFonts w:ascii="Arial" w:eastAsia="Times New Roman" w:hAnsi="Arial" w:cs="Arial"/>
                <w:color w:val="000000"/>
                <w:sz w:val="16"/>
                <w:szCs w:val="16"/>
                <w:lang w:eastAsia="es-ES"/>
              </w:rPr>
              <w:t>actividades de mitigación definidas y los controles establecidos</w:t>
            </w:r>
            <w:r w:rsidR="00FC2E3F" w:rsidRPr="00EE1339">
              <w:rPr>
                <w:rFonts w:ascii="Arial" w:eastAsia="Times New Roman" w:hAnsi="Arial" w:cs="Arial"/>
                <w:color w:val="000000"/>
                <w:sz w:val="16"/>
                <w:szCs w:val="16"/>
                <w:lang w:eastAsia="es-ES"/>
              </w:rPr>
              <w:t xml:space="preserve"> ya que muestran similitud</w:t>
            </w:r>
            <w:r w:rsidR="00782980" w:rsidRPr="00EE1339">
              <w:rPr>
                <w:rFonts w:ascii="Arial" w:eastAsia="Times New Roman" w:hAnsi="Arial" w:cs="Arial"/>
                <w:color w:val="000000"/>
                <w:sz w:val="16"/>
                <w:szCs w:val="16"/>
                <w:lang w:eastAsia="es-ES"/>
              </w:rPr>
              <w:t>.</w:t>
            </w:r>
          </w:p>
          <w:p w14:paraId="71C8A3FD" w14:textId="77777777" w:rsidR="002D0181" w:rsidRPr="00EE1339" w:rsidRDefault="002D0181" w:rsidP="00FE1C18">
            <w:pPr>
              <w:widowControl/>
              <w:suppressAutoHyphens w:val="0"/>
              <w:spacing w:line="240" w:lineRule="auto"/>
              <w:jc w:val="both"/>
              <w:rPr>
                <w:rFonts w:ascii="Arial" w:eastAsia="Times New Roman" w:hAnsi="Arial" w:cs="Arial"/>
                <w:color w:val="000000"/>
                <w:sz w:val="16"/>
                <w:szCs w:val="16"/>
                <w:lang w:eastAsia="es-ES"/>
              </w:rPr>
            </w:pPr>
          </w:p>
          <w:p w14:paraId="39481041" w14:textId="4622EEF3" w:rsidR="002D0181" w:rsidRPr="007766C2" w:rsidRDefault="007766C2" w:rsidP="00FE1C18">
            <w:pPr>
              <w:widowControl/>
              <w:suppressAutoHyphens w:val="0"/>
              <w:spacing w:line="240" w:lineRule="auto"/>
              <w:jc w:val="both"/>
              <w:rPr>
                <w:rFonts w:ascii="Arial" w:eastAsia="Times New Roman" w:hAnsi="Arial" w:cs="Arial"/>
                <w:color w:val="auto"/>
                <w:sz w:val="16"/>
                <w:szCs w:val="16"/>
                <w:lang w:eastAsia="es-ES"/>
              </w:rPr>
            </w:pPr>
            <w:r w:rsidRPr="007766C2">
              <w:rPr>
                <w:rFonts w:ascii="Arial" w:eastAsia="Times New Roman" w:hAnsi="Arial" w:cs="Arial"/>
                <w:color w:val="auto"/>
                <w:sz w:val="16"/>
                <w:szCs w:val="16"/>
                <w:lang w:eastAsia="es-ES"/>
              </w:rPr>
              <w:t>S</w:t>
            </w:r>
            <w:r w:rsidR="00334DA4" w:rsidRPr="007766C2">
              <w:rPr>
                <w:rFonts w:ascii="Arial" w:eastAsia="Times New Roman" w:hAnsi="Arial" w:cs="Arial"/>
                <w:color w:val="auto"/>
                <w:sz w:val="16"/>
                <w:szCs w:val="16"/>
                <w:lang w:eastAsia="es-ES"/>
              </w:rPr>
              <w:t xml:space="preserve">e debe realizar </w:t>
            </w:r>
            <w:r w:rsidRPr="007766C2">
              <w:rPr>
                <w:rFonts w:ascii="Arial" w:eastAsia="Times New Roman" w:hAnsi="Arial" w:cs="Arial"/>
                <w:color w:val="auto"/>
                <w:sz w:val="16"/>
                <w:szCs w:val="16"/>
                <w:lang w:eastAsia="es-ES"/>
              </w:rPr>
              <w:t>y socializar  el segundo informe de seguimiento al PAA</w:t>
            </w:r>
          </w:p>
          <w:p w14:paraId="7D93CAF2" w14:textId="77777777" w:rsidR="001B147A" w:rsidRPr="00EE1339" w:rsidRDefault="001B147A" w:rsidP="00FE1C18">
            <w:pPr>
              <w:widowControl/>
              <w:suppressAutoHyphens w:val="0"/>
              <w:spacing w:line="240" w:lineRule="auto"/>
              <w:jc w:val="both"/>
              <w:rPr>
                <w:rFonts w:ascii="Arial" w:eastAsia="Times New Roman" w:hAnsi="Arial" w:cs="Arial"/>
                <w:color w:val="000000"/>
                <w:sz w:val="16"/>
                <w:szCs w:val="16"/>
                <w:lang w:eastAsia="es-ES"/>
              </w:rPr>
            </w:pPr>
          </w:p>
          <w:p w14:paraId="4E5A1989" w14:textId="4B9AE78F" w:rsidR="00FC2E3F" w:rsidRPr="00EE1339" w:rsidRDefault="00FC2E3F" w:rsidP="006608E1">
            <w:pPr>
              <w:widowControl/>
              <w:suppressAutoHyphens w:val="0"/>
              <w:spacing w:line="240" w:lineRule="auto"/>
              <w:jc w:val="both"/>
              <w:rPr>
                <w:rFonts w:ascii="Arial" w:eastAsia="Times New Roman" w:hAnsi="Arial" w:cs="Arial"/>
                <w:color w:val="000000"/>
                <w:sz w:val="16"/>
                <w:szCs w:val="16"/>
                <w:lang w:eastAsia="es-ES"/>
              </w:rPr>
            </w:pPr>
          </w:p>
        </w:tc>
      </w:tr>
      <w:tr w:rsidR="00FC2E3F" w:rsidRPr="00EE1339" w14:paraId="03CBF5B6" w14:textId="77777777" w:rsidTr="001D35D3">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1E5B0820" w14:textId="71CFC030"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Fortalecimiento del SIG</w:t>
            </w:r>
          </w:p>
        </w:tc>
        <w:tc>
          <w:tcPr>
            <w:tcW w:w="4319" w:type="dxa"/>
            <w:tcBorders>
              <w:top w:val="nil"/>
              <w:left w:val="nil"/>
              <w:bottom w:val="single" w:sz="4" w:space="0" w:color="auto"/>
              <w:right w:val="single" w:sz="4" w:space="0" w:color="auto"/>
            </w:tcBorders>
            <w:shd w:val="clear" w:color="auto" w:fill="auto"/>
            <w:vAlign w:val="center"/>
            <w:hideMark/>
          </w:tcPr>
          <w:p w14:paraId="5DAE3A1E" w14:textId="3751B34E" w:rsidR="003629F6" w:rsidRPr="0088474A" w:rsidRDefault="00FC2E3F" w:rsidP="00131BA6">
            <w:pPr>
              <w:widowControl/>
              <w:suppressAutoHyphens w:val="0"/>
              <w:spacing w:line="240" w:lineRule="auto"/>
              <w:jc w:val="both"/>
              <w:rPr>
                <w:rFonts w:ascii="Arial" w:eastAsia="Times New Roman" w:hAnsi="Arial" w:cs="Arial"/>
                <w:color w:val="000000"/>
                <w:sz w:val="16"/>
                <w:szCs w:val="16"/>
                <w:lang w:eastAsia="es-ES"/>
              </w:rPr>
            </w:pPr>
            <w:r w:rsidRPr="0088474A">
              <w:rPr>
                <w:rFonts w:ascii="Arial" w:eastAsia="Times New Roman" w:hAnsi="Arial" w:cs="Arial"/>
                <w:color w:val="000000"/>
                <w:sz w:val="16"/>
                <w:szCs w:val="16"/>
                <w:lang w:eastAsia="es-ES"/>
              </w:rPr>
              <w:t>El riesgo relacionado "Asesoría inadecuada a los procesos en temas del SIG"  no requiere plan de trabajo</w:t>
            </w:r>
            <w:r w:rsidR="001D35D3" w:rsidRPr="0088474A">
              <w:rPr>
                <w:rFonts w:ascii="Arial" w:eastAsia="Times New Roman" w:hAnsi="Arial" w:cs="Arial"/>
                <w:color w:val="000000"/>
                <w:sz w:val="16"/>
                <w:szCs w:val="16"/>
                <w:lang w:eastAsia="es-ES"/>
              </w:rPr>
              <w:t>. Sin embargo,</w:t>
            </w:r>
            <w:r w:rsidRPr="0088474A">
              <w:rPr>
                <w:rFonts w:ascii="Arial" w:eastAsia="Times New Roman" w:hAnsi="Arial" w:cs="Arial"/>
                <w:color w:val="000000"/>
                <w:sz w:val="16"/>
                <w:szCs w:val="16"/>
                <w:lang w:eastAsia="es-ES"/>
              </w:rPr>
              <w:t xml:space="preserve"> se han llevado a cabo las actividades de control </w:t>
            </w:r>
            <w:r w:rsidR="003629F6" w:rsidRPr="0088474A">
              <w:rPr>
                <w:rFonts w:ascii="Arial" w:eastAsia="Times New Roman" w:hAnsi="Arial" w:cs="Arial"/>
                <w:color w:val="000000"/>
                <w:sz w:val="16"/>
                <w:szCs w:val="16"/>
                <w:lang w:eastAsia="es-ES"/>
              </w:rPr>
              <w:t>definidas obteniendo los siguientes resultados:</w:t>
            </w:r>
          </w:p>
          <w:p w14:paraId="7B84DF67" w14:textId="77777777" w:rsidR="003629F6" w:rsidRPr="0088474A" w:rsidRDefault="003629F6" w:rsidP="00B32204">
            <w:pPr>
              <w:widowControl/>
              <w:suppressAutoHyphens w:val="0"/>
              <w:spacing w:line="240" w:lineRule="auto"/>
              <w:jc w:val="both"/>
              <w:rPr>
                <w:rFonts w:ascii="Arial" w:eastAsia="Times New Roman" w:hAnsi="Arial" w:cs="Arial"/>
                <w:color w:val="000000"/>
                <w:sz w:val="16"/>
                <w:szCs w:val="16"/>
                <w:lang w:eastAsia="es-ES"/>
              </w:rPr>
            </w:pPr>
          </w:p>
          <w:p w14:paraId="2791F066" w14:textId="77777777" w:rsidR="00FC2E3F" w:rsidRPr="0088474A" w:rsidRDefault="00933634"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88474A">
              <w:rPr>
                <w:rFonts w:ascii="Arial" w:eastAsia="Times New Roman" w:hAnsi="Arial" w:cs="Arial"/>
                <w:color w:val="000000"/>
                <w:sz w:val="16"/>
                <w:szCs w:val="16"/>
                <w:lang w:eastAsia="es-ES"/>
              </w:rPr>
              <w:t xml:space="preserve">Se presentó los resultados del seguimiento de la actualización de </w:t>
            </w:r>
            <w:r w:rsidR="0088474A" w:rsidRPr="0088474A">
              <w:rPr>
                <w:rFonts w:ascii="Arial" w:eastAsia="Times New Roman" w:hAnsi="Arial" w:cs="Arial"/>
                <w:color w:val="000000"/>
                <w:sz w:val="16"/>
                <w:szCs w:val="16"/>
                <w:lang w:eastAsia="es-ES"/>
              </w:rPr>
              <w:t>la</w:t>
            </w:r>
            <w:r w:rsidRPr="0088474A">
              <w:rPr>
                <w:rFonts w:ascii="Arial" w:eastAsia="Times New Roman" w:hAnsi="Arial" w:cs="Arial"/>
                <w:color w:val="000000"/>
                <w:sz w:val="16"/>
                <w:szCs w:val="16"/>
                <w:lang w:eastAsia="es-ES"/>
              </w:rPr>
              <w:t xml:space="preserve"> documentación de los procesos</w:t>
            </w:r>
            <w:r w:rsidR="0088474A" w:rsidRPr="0088474A">
              <w:rPr>
                <w:rFonts w:ascii="Arial" w:eastAsia="Times New Roman" w:hAnsi="Arial" w:cs="Arial"/>
                <w:color w:val="000000"/>
                <w:sz w:val="16"/>
                <w:szCs w:val="16"/>
                <w:lang w:eastAsia="es-ES"/>
              </w:rPr>
              <w:t xml:space="preserve"> en el comité respectivo.</w:t>
            </w:r>
          </w:p>
          <w:p w14:paraId="509AA894" w14:textId="77777777" w:rsidR="008E0228" w:rsidRDefault="0088474A"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88474A">
              <w:rPr>
                <w:rFonts w:ascii="Arial" w:eastAsia="Times New Roman" w:hAnsi="Arial" w:cs="Arial"/>
                <w:color w:val="000000"/>
                <w:sz w:val="16"/>
                <w:szCs w:val="16"/>
                <w:lang w:eastAsia="es-ES"/>
              </w:rPr>
              <w:t xml:space="preserve">Los días 27, 28 y 29 de noviembre del 2019 se llevó a cabo jornada de apropiación de conocimientos e identificación de riesgos  con los integrantes designados por los procesos del IDPC.  </w:t>
            </w:r>
          </w:p>
          <w:p w14:paraId="0B883D35" w14:textId="77777777" w:rsidR="008E0228" w:rsidRDefault="008E0228" w:rsidP="008E0228">
            <w:pPr>
              <w:pStyle w:val="Prrafodelista"/>
              <w:widowControl/>
              <w:suppressAutoHyphens w:val="0"/>
              <w:spacing w:line="240" w:lineRule="auto"/>
              <w:ind w:left="405"/>
              <w:jc w:val="both"/>
              <w:rPr>
                <w:rFonts w:ascii="Arial" w:eastAsia="Times New Roman" w:hAnsi="Arial" w:cs="Arial"/>
                <w:color w:val="000000"/>
                <w:sz w:val="16"/>
                <w:szCs w:val="16"/>
                <w:lang w:eastAsia="es-ES"/>
              </w:rPr>
            </w:pPr>
          </w:p>
          <w:p w14:paraId="18E575FB" w14:textId="1C79E664" w:rsidR="0088474A" w:rsidRPr="008E0228" w:rsidRDefault="008E0228" w:rsidP="008E0228">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Se evidencia que el riesgo no se ha materializado.</w:t>
            </w:r>
            <w:r w:rsidR="0088474A" w:rsidRPr="008E0228">
              <w:rPr>
                <w:rFonts w:ascii="Arial" w:eastAsia="Times New Roman" w:hAnsi="Arial" w:cs="Arial"/>
                <w:color w:val="000000"/>
                <w:sz w:val="16"/>
                <w:szCs w:val="16"/>
                <w:lang w:eastAsia="es-ES"/>
              </w:rPr>
              <w:t xml:space="preserve">  </w:t>
            </w:r>
          </w:p>
        </w:tc>
        <w:tc>
          <w:tcPr>
            <w:tcW w:w="3151" w:type="dxa"/>
            <w:tcBorders>
              <w:top w:val="nil"/>
              <w:left w:val="nil"/>
              <w:bottom w:val="single" w:sz="4" w:space="0" w:color="auto"/>
              <w:right w:val="single" w:sz="4" w:space="0" w:color="auto"/>
            </w:tcBorders>
            <w:shd w:val="clear" w:color="auto" w:fill="auto"/>
            <w:vAlign w:val="center"/>
            <w:hideMark/>
          </w:tcPr>
          <w:p w14:paraId="0F9A1BB5" w14:textId="4BA36F27" w:rsidR="00FC2E3F" w:rsidRPr="00EE1339" w:rsidRDefault="0088474A" w:rsidP="00FE1C18">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V</w:t>
            </w:r>
            <w:r w:rsidR="003629F6" w:rsidRPr="00EE1339">
              <w:rPr>
                <w:rFonts w:ascii="Arial" w:eastAsia="Times New Roman" w:hAnsi="Arial" w:cs="Arial"/>
                <w:color w:val="000000"/>
                <w:sz w:val="16"/>
                <w:szCs w:val="16"/>
                <w:lang w:eastAsia="es-ES"/>
              </w:rPr>
              <w:t>alidar el contexto del proceso y sus principales actividades con el ánimo de identificar posibles riesgos que no permitan el logro de los objetivos y metas planteados.</w:t>
            </w:r>
          </w:p>
          <w:p w14:paraId="0EFFBB95" w14:textId="2578D2FA" w:rsidR="002D0181" w:rsidRPr="00EE1339" w:rsidRDefault="002D0181" w:rsidP="002D0181">
            <w:pPr>
              <w:widowControl/>
              <w:suppressAutoHyphens w:val="0"/>
              <w:spacing w:line="240" w:lineRule="auto"/>
              <w:jc w:val="both"/>
              <w:rPr>
                <w:rFonts w:ascii="Arial" w:eastAsia="Times New Roman" w:hAnsi="Arial" w:cs="Arial"/>
                <w:color w:val="000000"/>
                <w:sz w:val="16"/>
                <w:szCs w:val="16"/>
                <w:lang w:eastAsia="es-ES"/>
              </w:rPr>
            </w:pPr>
          </w:p>
        </w:tc>
      </w:tr>
      <w:tr w:rsidR="00FC2E3F" w:rsidRPr="00EE1339" w14:paraId="2366E7D1" w14:textId="77777777" w:rsidTr="001D35D3">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429DEB88" w14:textId="24C04CAD"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Comunicación Estratégica</w:t>
            </w:r>
          </w:p>
        </w:tc>
        <w:tc>
          <w:tcPr>
            <w:tcW w:w="4319" w:type="dxa"/>
            <w:tcBorders>
              <w:top w:val="nil"/>
              <w:left w:val="nil"/>
              <w:bottom w:val="single" w:sz="4" w:space="0" w:color="auto"/>
              <w:right w:val="single" w:sz="4" w:space="0" w:color="auto"/>
            </w:tcBorders>
            <w:shd w:val="clear" w:color="auto" w:fill="auto"/>
            <w:vAlign w:val="center"/>
            <w:hideMark/>
          </w:tcPr>
          <w:p w14:paraId="04A0DA8C" w14:textId="77777777" w:rsidR="00E320D7" w:rsidRDefault="00E320D7" w:rsidP="00E320D7">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De los riesgos de Corrupción y Gestión relacionados al proceso de Comunicación Estratégica se evidencia que d</w:t>
            </w:r>
            <w:r w:rsidR="000812D5" w:rsidRPr="000812D5">
              <w:rPr>
                <w:rFonts w:ascii="Arial" w:eastAsia="Times New Roman" w:hAnsi="Arial" w:cs="Arial"/>
                <w:color w:val="000000"/>
                <w:sz w:val="16"/>
                <w:szCs w:val="16"/>
                <w:lang w:eastAsia="es-ES"/>
              </w:rPr>
              <w:t>urante el cuatrimestre se ejecutaron y controlaron las necesidades de comunicación identificadas, lo anterior se puede evidenciar a través del cronograma actividades y solicitudes compartido con las diferentes áreas</w:t>
            </w:r>
            <w:r>
              <w:rPr>
                <w:rFonts w:ascii="Arial" w:eastAsia="Times New Roman" w:hAnsi="Arial" w:cs="Arial"/>
                <w:color w:val="000000"/>
                <w:sz w:val="16"/>
                <w:szCs w:val="16"/>
                <w:lang w:eastAsia="es-ES"/>
              </w:rPr>
              <w:t>.</w:t>
            </w:r>
          </w:p>
          <w:p w14:paraId="29ECDA7E" w14:textId="77777777" w:rsidR="008E0228" w:rsidRDefault="008E0228" w:rsidP="00E320D7">
            <w:pPr>
              <w:widowControl/>
              <w:suppressAutoHyphens w:val="0"/>
              <w:spacing w:line="240" w:lineRule="auto"/>
              <w:jc w:val="both"/>
              <w:rPr>
                <w:rFonts w:ascii="Arial" w:eastAsia="Times New Roman" w:hAnsi="Arial" w:cs="Arial"/>
                <w:color w:val="000000"/>
                <w:sz w:val="16"/>
                <w:szCs w:val="16"/>
                <w:lang w:eastAsia="es-ES"/>
              </w:rPr>
            </w:pPr>
          </w:p>
          <w:p w14:paraId="3F61A4E3" w14:textId="6E377EA0" w:rsidR="008E0228" w:rsidRPr="00EE1339" w:rsidRDefault="008E0228" w:rsidP="008E0228">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w:t>
            </w:r>
            <w:r>
              <w:rPr>
                <w:rFonts w:ascii="Arial" w:eastAsia="Times New Roman" w:hAnsi="Arial" w:cs="Arial"/>
                <w:color w:val="000000"/>
                <w:sz w:val="16"/>
                <w:szCs w:val="16"/>
                <w:lang w:eastAsia="es-ES"/>
              </w:rPr>
              <w:t xml:space="preserve">e evidencia que los </w:t>
            </w:r>
            <w:r w:rsidRPr="00EE1339">
              <w:rPr>
                <w:rFonts w:ascii="Arial" w:eastAsia="Times New Roman" w:hAnsi="Arial" w:cs="Arial"/>
                <w:color w:val="000000"/>
                <w:sz w:val="16"/>
                <w:szCs w:val="16"/>
                <w:lang w:eastAsia="es-ES"/>
              </w:rPr>
              <w:t>riesgo</w:t>
            </w:r>
            <w:r>
              <w:rPr>
                <w:rFonts w:ascii="Arial" w:eastAsia="Times New Roman" w:hAnsi="Arial" w:cs="Arial"/>
                <w:color w:val="000000"/>
                <w:sz w:val="16"/>
                <w:szCs w:val="16"/>
                <w:lang w:eastAsia="es-ES"/>
              </w:rPr>
              <w:t xml:space="preserve">s asociados al proceso </w:t>
            </w:r>
            <w:r w:rsidRPr="00EE1339">
              <w:rPr>
                <w:rFonts w:ascii="Arial" w:eastAsia="Times New Roman" w:hAnsi="Arial" w:cs="Arial"/>
                <w:color w:val="000000"/>
                <w:sz w:val="16"/>
                <w:szCs w:val="16"/>
                <w:lang w:eastAsia="es-ES"/>
              </w:rPr>
              <w:t>no se ha</w:t>
            </w:r>
            <w:r>
              <w:rPr>
                <w:rFonts w:ascii="Arial" w:eastAsia="Times New Roman" w:hAnsi="Arial" w:cs="Arial"/>
                <w:color w:val="000000"/>
                <w:sz w:val="16"/>
                <w:szCs w:val="16"/>
                <w:lang w:eastAsia="es-ES"/>
              </w:rPr>
              <w:t>n</w:t>
            </w:r>
            <w:r w:rsidRPr="00EE1339">
              <w:rPr>
                <w:rFonts w:ascii="Arial" w:eastAsia="Times New Roman" w:hAnsi="Arial" w:cs="Arial"/>
                <w:color w:val="000000"/>
                <w:sz w:val="16"/>
                <w:szCs w:val="16"/>
                <w:lang w:eastAsia="es-ES"/>
              </w:rPr>
              <w:t xml:space="preserve"> materializado.</w:t>
            </w:r>
          </w:p>
        </w:tc>
        <w:tc>
          <w:tcPr>
            <w:tcW w:w="3151" w:type="dxa"/>
            <w:tcBorders>
              <w:top w:val="nil"/>
              <w:left w:val="nil"/>
              <w:bottom w:val="single" w:sz="4" w:space="0" w:color="auto"/>
              <w:right w:val="single" w:sz="4" w:space="0" w:color="auto"/>
            </w:tcBorders>
            <w:shd w:val="clear" w:color="auto" w:fill="auto"/>
            <w:vAlign w:val="center"/>
            <w:hideMark/>
          </w:tcPr>
          <w:p w14:paraId="31769FAD" w14:textId="6201C0B3" w:rsidR="00DF36F6" w:rsidRDefault="00E320D7" w:rsidP="00E320D7">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000812D5">
              <w:rPr>
                <w:rFonts w:ascii="Arial" w:eastAsia="Times New Roman" w:hAnsi="Arial" w:cs="Arial"/>
                <w:color w:val="000000"/>
                <w:sz w:val="16"/>
                <w:szCs w:val="16"/>
                <w:lang w:eastAsia="es-ES"/>
              </w:rPr>
              <w:t xml:space="preserve">e recomienda realizar </w:t>
            </w:r>
            <w:r>
              <w:rPr>
                <w:rFonts w:ascii="Arial" w:eastAsia="Times New Roman" w:hAnsi="Arial" w:cs="Arial"/>
                <w:color w:val="000000"/>
                <w:sz w:val="16"/>
                <w:szCs w:val="16"/>
                <w:lang w:eastAsia="es-ES"/>
              </w:rPr>
              <w:t>análisis de los controles que ha documentado el proceso en sus procedimientos y definir</w:t>
            </w:r>
            <w:r w:rsidR="008E0228">
              <w:rPr>
                <w:rFonts w:ascii="Arial" w:eastAsia="Times New Roman" w:hAnsi="Arial" w:cs="Arial"/>
                <w:color w:val="000000"/>
                <w:sz w:val="16"/>
                <w:szCs w:val="16"/>
                <w:lang w:eastAsia="es-ES"/>
              </w:rPr>
              <w:t xml:space="preserve"> nuevas </w:t>
            </w:r>
            <w:r>
              <w:rPr>
                <w:rFonts w:ascii="Arial" w:eastAsia="Times New Roman" w:hAnsi="Arial" w:cs="Arial"/>
                <w:color w:val="000000"/>
                <w:sz w:val="16"/>
                <w:szCs w:val="16"/>
                <w:lang w:eastAsia="es-ES"/>
              </w:rPr>
              <w:t xml:space="preserve"> actividades de mitigación para evitar la materialización del riesgo definido.</w:t>
            </w:r>
          </w:p>
          <w:p w14:paraId="1FFF6232" w14:textId="7787623A" w:rsidR="00E320D7" w:rsidRPr="00EE1339" w:rsidRDefault="00E320D7" w:rsidP="008E0228">
            <w:pPr>
              <w:widowControl/>
              <w:suppressAutoHyphens w:val="0"/>
              <w:spacing w:line="240" w:lineRule="auto"/>
              <w:jc w:val="both"/>
              <w:rPr>
                <w:rFonts w:ascii="Arial" w:eastAsia="Times New Roman" w:hAnsi="Arial" w:cs="Arial"/>
                <w:color w:val="000000"/>
                <w:sz w:val="16"/>
                <w:szCs w:val="16"/>
                <w:lang w:eastAsia="es-ES"/>
              </w:rPr>
            </w:pPr>
          </w:p>
        </w:tc>
      </w:tr>
      <w:tr w:rsidR="00FC2E3F" w:rsidRPr="00EE1339" w14:paraId="45EBDE55" w14:textId="77777777" w:rsidTr="001D35D3">
        <w:trPr>
          <w:trHeight w:val="1125"/>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3DD7F3A0" w14:textId="2E48F09B"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Atención a la Ciudadanía</w:t>
            </w:r>
          </w:p>
        </w:tc>
        <w:tc>
          <w:tcPr>
            <w:tcW w:w="4319" w:type="dxa"/>
            <w:tcBorders>
              <w:top w:val="nil"/>
              <w:left w:val="nil"/>
              <w:bottom w:val="single" w:sz="4" w:space="0" w:color="auto"/>
              <w:right w:val="single" w:sz="4" w:space="0" w:color="auto"/>
            </w:tcBorders>
            <w:shd w:val="clear" w:color="auto" w:fill="auto"/>
            <w:vAlign w:val="center"/>
            <w:hideMark/>
          </w:tcPr>
          <w:p w14:paraId="4DCFA720" w14:textId="73401D6C" w:rsidR="006A03B6" w:rsidRPr="00EE1339" w:rsidRDefault="006A03B6" w:rsidP="00B32204">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El proceso llevo a cabo las siguientes actividades: </w:t>
            </w:r>
          </w:p>
          <w:p w14:paraId="51F9B275" w14:textId="77777777" w:rsidR="006A03B6" w:rsidRDefault="006A03B6" w:rsidP="00FE1C18">
            <w:pPr>
              <w:widowControl/>
              <w:suppressAutoHyphens w:val="0"/>
              <w:spacing w:line="240" w:lineRule="auto"/>
              <w:jc w:val="both"/>
              <w:rPr>
                <w:rFonts w:ascii="Arial" w:eastAsia="Times New Roman" w:hAnsi="Arial" w:cs="Arial"/>
                <w:color w:val="000000"/>
                <w:sz w:val="16"/>
                <w:szCs w:val="16"/>
                <w:lang w:eastAsia="es-ES"/>
              </w:rPr>
            </w:pPr>
          </w:p>
          <w:p w14:paraId="6D790CB5" w14:textId="7618DEE5" w:rsidR="008E0228" w:rsidRPr="006A03B6" w:rsidRDefault="006A03B6"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6A03B6">
              <w:rPr>
                <w:rFonts w:ascii="Arial" w:eastAsia="Times New Roman" w:hAnsi="Arial" w:cs="Arial"/>
                <w:color w:val="000000"/>
                <w:sz w:val="16"/>
                <w:szCs w:val="16"/>
                <w:lang w:eastAsia="es-ES"/>
              </w:rPr>
              <w:t>Se</w:t>
            </w:r>
            <w:r w:rsidR="008E0228" w:rsidRPr="006A03B6">
              <w:rPr>
                <w:rFonts w:ascii="Arial" w:eastAsia="Times New Roman" w:hAnsi="Arial" w:cs="Arial"/>
                <w:color w:val="000000"/>
                <w:sz w:val="16"/>
                <w:szCs w:val="16"/>
                <w:lang w:eastAsia="es-ES"/>
              </w:rPr>
              <w:t xml:space="preserve"> diseñó, realizó y divulgó a través de correo electrónico, Intranet, página web del Instituto y de las redes sociales, el video "A un clic del Patrimonio Cultural con </w:t>
            </w:r>
            <w:proofErr w:type="spellStart"/>
            <w:r w:rsidR="008E0228" w:rsidRPr="006A03B6">
              <w:rPr>
                <w:rFonts w:ascii="Arial" w:eastAsia="Times New Roman" w:hAnsi="Arial" w:cs="Arial"/>
                <w:color w:val="000000"/>
                <w:sz w:val="16"/>
                <w:szCs w:val="16"/>
                <w:lang w:eastAsia="es-ES"/>
              </w:rPr>
              <w:t>Civi</w:t>
            </w:r>
            <w:proofErr w:type="spellEnd"/>
            <w:r w:rsidR="008E0228" w:rsidRPr="006A03B6">
              <w:rPr>
                <w:rFonts w:ascii="Arial" w:eastAsia="Times New Roman" w:hAnsi="Arial" w:cs="Arial"/>
                <w:color w:val="000000"/>
                <w:sz w:val="16"/>
                <w:szCs w:val="16"/>
                <w:lang w:eastAsia="es-ES"/>
              </w:rPr>
              <w:t xml:space="preserve"> y Yoyo".</w:t>
            </w:r>
          </w:p>
          <w:p w14:paraId="66D41530" w14:textId="6A8A7D79" w:rsidR="006A03B6" w:rsidRPr="006A03B6" w:rsidRDefault="006A03B6"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6A03B6">
              <w:rPr>
                <w:rFonts w:ascii="Arial" w:eastAsia="Times New Roman" w:hAnsi="Arial" w:cs="Arial"/>
                <w:color w:val="000000"/>
                <w:sz w:val="16"/>
                <w:szCs w:val="16"/>
                <w:lang w:eastAsia="es-ES"/>
              </w:rPr>
              <w:t>Divulgación interna de 3 piezas de comunicación sobre el proceso de atención a la ciudadanía</w:t>
            </w:r>
          </w:p>
          <w:p w14:paraId="4099850A" w14:textId="69F277D2" w:rsidR="006A03B6" w:rsidRPr="006A03B6" w:rsidRDefault="006A03B6"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6A03B6">
              <w:rPr>
                <w:rFonts w:ascii="Arial" w:eastAsia="Times New Roman" w:hAnsi="Arial" w:cs="Arial"/>
                <w:color w:val="000000"/>
                <w:sz w:val="16"/>
                <w:szCs w:val="16"/>
                <w:lang w:eastAsia="es-ES"/>
              </w:rPr>
              <w:t>Se realizó Taller de Transparencia y Acceso a la Información Pública</w:t>
            </w:r>
          </w:p>
          <w:p w14:paraId="15EBB152" w14:textId="77777777" w:rsidR="006A03B6" w:rsidRDefault="006A03B6" w:rsidP="00FE1C18">
            <w:pPr>
              <w:widowControl/>
              <w:suppressAutoHyphens w:val="0"/>
              <w:spacing w:line="240" w:lineRule="auto"/>
              <w:jc w:val="both"/>
              <w:rPr>
                <w:rFonts w:ascii="Arial" w:eastAsia="Times New Roman" w:hAnsi="Arial" w:cs="Arial"/>
                <w:color w:val="000000"/>
                <w:sz w:val="16"/>
                <w:szCs w:val="16"/>
                <w:lang w:eastAsia="es-ES"/>
              </w:rPr>
            </w:pPr>
          </w:p>
          <w:p w14:paraId="20AA0B88" w14:textId="5D9B7C41" w:rsidR="00F96BCD" w:rsidRPr="00EE1339" w:rsidRDefault="00F96BCD" w:rsidP="00FE1C18">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Se evidencia que el riesgo no se ha materializado.</w:t>
            </w:r>
          </w:p>
        </w:tc>
        <w:tc>
          <w:tcPr>
            <w:tcW w:w="3151" w:type="dxa"/>
            <w:tcBorders>
              <w:top w:val="nil"/>
              <w:left w:val="nil"/>
              <w:bottom w:val="single" w:sz="4" w:space="0" w:color="auto"/>
              <w:right w:val="single" w:sz="4" w:space="0" w:color="auto"/>
            </w:tcBorders>
            <w:shd w:val="clear" w:color="auto" w:fill="auto"/>
            <w:vAlign w:val="center"/>
            <w:hideMark/>
          </w:tcPr>
          <w:p w14:paraId="2762F529" w14:textId="2E395F8C" w:rsidR="008E0F4B" w:rsidRPr="00EE1339" w:rsidRDefault="008E0F4B" w:rsidP="00FE1C18">
            <w:pPr>
              <w:widowControl/>
              <w:suppressAutoHyphens w:val="0"/>
              <w:spacing w:line="240" w:lineRule="auto"/>
              <w:jc w:val="both"/>
              <w:rPr>
                <w:rFonts w:ascii="Arial" w:eastAsia="Times New Roman" w:hAnsi="Arial" w:cs="Arial"/>
                <w:color w:val="000000"/>
                <w:sz w:val="16"/>
                <w:szCs w:val="16"/>
                <w:lang w:eastAsia="es-ES"/>
              </w:rPr>
            </w:pPr>
          </w:p>
          <w:p w14:paraId="1A63E450" w14:textId="77777777" w:rsidR="00CB22F9" w:rsidRPr="00EE1339" w:rsidRDefault="00CB22F9" w:rsidP="00FE1C18">
            <w:pPr>
              <w:widowControl/>
              <w:suppressAutoHyphens w:val="0"/>
              <w:spacing w:line="240" w:lineRule="auto"/>
              <w:jc w:val="both"/>
              <w:rPr>
                <w:rFonts w:ascii="Arial" w:eastAsia="Times New Roman" w:hAnsi="Arial" w:cs="Arial"/>
                <w:color w:val="000000"/>
                <w:sz w:val="16"/>
                <w:szCs w:val="16"/>
                <w:lang w:eastAsia="es-ES"/>
              </w:rPr>
            </w:pPr>
          </w:p>
          <w:p w14:paraId="3689220B" w14:textId="08261D34" w:rsidR="00CB22F9" w:rsidRPr="00EE1339" w:rsidRDefault="00CB22F9" w:rsidP="006A03B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Se recomienda analizar la descripción del  de los controles definidos y validar la efectividad de los mismos al momento de ser aplicados por el proceso.</w:t>
            </w:r>
          </w:p>
        </w:tc>
      </w:tr>
      <w:tr w:rsidR="00FC2E3F" w:rsidRPr="00EE1339" w14:paraId="5DF8BA8C" w14:textId="77777777" w:rsidTr="001D35D3">
        <w:trPr>
          <w:trHeight w:val="1076"/>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04BD30A9" w14:textId="219AC9A7" w:rsidR="00FC2E3F" w:rsidRPr="00EE1339" w:rsidRDefault="00FC2E3F" w:rsidP="005B4190">
            <w:pPr>
              <w:widowControl/>
              <w:suppressAutoHyphens w:val="0"/>
              <w:spacing w:line="240" w:lineRule="auto"/>
              <w:jc w:val="center"/>
              <w:rPr>
                <w:rFonts w:ascii="Arial" w:eastAsia="Times New Roman" w:hAnsi="Arial" w:cs="Arial"/>
                <w:color w:val="000000"/>
                <w:sz w:val="16"/>
                <w:szCs w:val="16"/>
                <w:highlight w:val="yellow"/>
                <w:lang w:eastAsia="es-ES"/>
              </w:rPr>
            </w:pPr>
            <w:r w:rsidRPr="00EE1339">
              <w:rPr>
                <w:rFonts w:ascii="Arial" w:eastAsia="Times New Roman" w:hAnsi="Arial" w:cs="Arial"/>
                <w:color w:val="000000"/>
                <w:sz w:val="16"/>
                <w:szCs w:val="16"/>
                <w:lang w:eastAsia="es-ES"/>
              </w:rPr>
              <w:t>Protección e intervención del Patrimonio</w:t>
            </w:r>
          </w:p>
        </w:tc>
        <w:tc>
          <w:tcPr>
            <w:tcW w:w="4319" w:type="dxa"/>
            <w:tcBorders>
              <w:top w:val="nil"/>
              <w:left w:val="nil"/>
              <w:bottom w:val="single" w:sz="4" w:space="0" w:color="auto"/>
              <w:right w:val="single" w:sz="4" w:space="0" w:color="auto"/>
            </w:tcBorders>
            <w:shd w:val="clear" w:color="auto" w:fill="auto"/>
            <w:vAlign w:val="center"/>
            <w:hideMark/>
          </w:tcPr>
          <w:p w14:paraId="44C42E7E" w14:textId="51FB1F3D" w:rsidR="006A03B6" w:rsidRDefault="006A03B6" w:rsidP="00131BA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En cuanto a los riesgos de corrupción definidos, se evidencia seguimiento y ejecución de los controles definidos y de las acciones de mitigación. A la fecha no se ha materializado los riesgos identificados por el proceso.</w:t>
            </w:r>
          </w:p>
          <w:p w14:paraId="3538755C" w14:textId="77777777" w:rsidR="006A03B6" w:rsidRDefault="006A03B6" w:rsidP="00131BA6">
            <w:pPr>
              <w:widowControl/>
              <w:suppressAutoHyphens w:val="0"/>
              <w:spacing w:line="240" w:lineRule="auto"/>
              <w:jc w:val="both"/>
              <w:rPr>
                <w:rFonts w:ascii="Arial" w:eastAsia="Times New Roman" w:hAnsi="Arial" w:cs="Arial"/>
                <w:color w:val="000000"/>
                <w:sz w:val="16"/>
                <w:szCs w:val="16"/>
                <w:lang w:eastAsia="es-ES"/>
              </w:rPr>
            </w:pPr>
          </w:p>
          <w:p w14:paraId="10E41D87" w14:textId="29C6E1F9" w:rsidR="00D56458" w:rsidRPr="00EE1339" w:rsidRDefault="00D56458" w:rsidP="00131BA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En cuanto a los riesgos de </w:t>
            </w:r>
            <w:r w:rsidR="00173859" w:rsidRPr="00EE1339">
              <w:rPr>
                <w:rFonts w:ascii="Arial" w:eastAsia="Times New Roman" w:hAnsi="Arial" w:cs="Arial"/>
                <w:color w:val="000000"/>
                <w:sz w:val="16"/>
                <w:szCs w:val="16"/>
                <w:lang w:eastAsia="es-ES"/>
              </w:rPr>
              <w:t>g</w:t>
            </w:r>
            <w:r w:rsidRPr="00EE1339">
              <w:rPr>
                <w:rFonts w:ascii="Arial" w:eastAsia="Times New Roman" w:hAnsi="Arial" w:cs="Arial"/>
                <w:color w:val="000000"/>
                <w:sz w:val="16"/>
                <w:szCs w:val="16"/>
                <w:lang w:eastAsia="es-ES"/>
              </w:rPr>
              <w:t xml:space="preserve">estión se evidencia </w:t>
            </w:r>
            <w:r w:rsidR="007245F8">
              <w:rPr>
                <w:rFonts w:ascii="Arial" w:eastAsia="Times New Roman" w:hAnsi="Arial" w:cs="Arial"/>
                <w:color w:val="000000"/>
                <w:sz w:val="16"/>
                <w:szCs w:val="16"/>
                <w:lang w:eastAsia="es-ES"/>
              </w:rPr>
              <w:t>los siguientes avances</w:t>
            </w:r>
            <w:r w:rsidRPr="00EE1339">
              <w:rPr>
                <w:rFonts w:ascii="Arial" w:eastAsia="Times New Roman" w:hAnsi="Arial" w:cs="Arial"/>
                <w:color w:val="000000"/>
                <w:sz w:val="16"/>
                <w:szCs w:val="16"/>
                <w:lang w:eastAsia="es-ES"/>
              </w:rPr>
              <w:t>:</w:t>
            </w:r>
          </w:p>
          <w:p w14:paraId="58BC79EE" w14:textId="77777777" w:rsidR="00762530" w:rsidRPr="00EE1339" w:rsidRDefault="00762530" w:rsidP="00131BA6">
            <w:pPr>
              <w:widowControl/>
              <w:suppressAutoHyphens w:val="0"/>
              <w:spacing w:line="240" w:lineRule="auto"/>
              <w:jc w:val="both"/>
              <w:rPr>
                <w:rFonts w:ascii="Arial" w:eastAsia="Times New Roman" w:hAnsi="Arial" w:cs="Arial"/>
                <w:color w:val="000000"/>
                <w:sz w:val="16"/>
                <w:szCs w:val="16"/>
                <w:lang w:eastAsia="es-ES"/>
              </w:rPr>
            </w:pPr>
          </w:p>
          <w:p w14:paraId="41D297BE" w14:textId="3B8FF61B" w:rsidR="003B7C43" w:rsidRPr="00EE1339" w:rsidRDefault="003B7C43" w:rsidP="003B7C43">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Del </w:t>
            </w:r>
            <w:r w:rsidR="00762530" w:rsidRPr="00EE1339">
              <w:rPr>
                <w:rFonts w:ascii="Arial" w:eastAsia="Times New Roman" w:hAnsi="Arial" w:cs="Arial"/>
                <w:color w:val="000000"/>
                <w:sz w:val="16"/>
                <w:szCs w:val="16"/>
                <w:lang w:eastAsia="es-ES"/>
              </w:rPr>
              <w:t>riesgo</w:t>
            </w:r>
            <w:r w:rsidRPr="00EE1339">
              <w:rPr>
                <w:rFonts w:ascii="Arial" w:eastAsia="Times New Roman" w:hAnsi="Arial" w:cs="Arial"/>
                <w:color w:val="000000"/>
                <w:sz w:val="16"/>
                <w:szCs w:val="16"/>
                <w:lang w:eastAsia="es-ES"/>
              </w:rPr>
              <w:t>: "Aprobar estudios sin el cumplimiento debido de los requisitos y conforme a la normatividad vigente"</w:t>
            </w:r>
            <w:r w:rsidR="00762530" w:rsidRPr="00EE1339">
              <w:rPr>
                <w:rFonts w:ascii="Arial" w:eastAsia="Times New Roman" w:hAnsi="Arial" w:cs="Arial"/>
                <w:color w:val="000000"/>
                <w:sz w:val="16"/>
                <w:szCs w:val="16"/>
                <w:lang w:eastAsia="es-ES"/>
              </w:rPr>
              <w:t xml:space="preserve"> </w:t>
            </w:r>
            <w:r w:rsidR="006A03B6">
              <w:rPr>
                <w:rFonts w:ascii="Arial" w:eastAsia="Times New Roman" w:hAnsi="Arial" w:cs="Arial"/>
                <w:color w:val="000000"/>
                <w:sz w:val="16"/>
                <w:szCs w:val="16"/>
                <w:lang w:eastAsia="es-ES"/>
              </w:rPr>
              <w:t>se evidencian</w:t>
            </w:r>
            <w:r w:rsidRPr="00EE1339">
              <w:rPr>
                <w:rFonts w:ascii="Arial" w:eastAsia="Times New Roman" w:hAnsi="Arial" w:cs="Arial"/>
                <w:color w:val="000000"/>
                <w:sz w:val="16"/>
                <w:szCs w:val="16"/>
                <w:lang w:eastAsia="es-ES"/>
              </w:rPr>
              <w:t xml:space="preserve"> siguientes resultados:</w:t>
            </w:r>
          </w:p>
          <w:p w14:paraId="5CC9E9A4" w14:textId="77777777" w:rsidR="003B7C43" w:rsidRDefault="003B7C43" w:rsidP="00B32204">
            <w:pPr>
              <w:widowControl/>
              <w:suppressAutoHyphens w:val="0"/>
              <w:spacing w:line="240" w:lineRule="auto"/>
              <w:jc w:val="both"/>
              <w:rPr>
                <w:rFonts w:ascii="Arial" w:eastAsia="Times New Roman" w:hAnsi="Arial" w:cs="Arial"/>
                <w:color w:val="000000"/>
                <w:sz w:val="16"/>
                <w:szCs w:val="16"/>
                <w:lang w:eastAsia="es-ES"/>
              </w:rPr>
            </w:pPr>
          </w:p>
          <w:p w14:paraId="6CF79E9A" w14:textId="77777777" w:rsidR="007245F8" w:rsidRDefault="007245F8"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7245F8">
              <w:rPr>
                <w:rFonts w:ascii="Arial" w:eastAsia="Times New Roman" w:hAnsi="Arial" w:cs="Arial"/>
                <w:color w:val="000000"/>
                <w:sz w:val="16"/>
                <w:szCs w:val="16"/>
                <w:lang w:eastAsia="es-ES"/>
              </w:rPr>
              <w:t>Radicación de las solicitudes en debida forma que son allegadas a la entidad a través de Correspondencia, de las cuales 521 solicitudes fueron verificadas según lista de chequeo</w:t>
            </w:r>
          </w:p>
          <w:p w14:paraId="6D0AF4B6" w14:textId="76EA4CB4" w:rsidR="007245F8" w:rsidRPr="007245F8" w:rsidRDefault="007245F8"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A</w:t>
            </w:r>
            <w:r w:rsidRPr="007245F8">
              <w:rPr>
                <w:rFonts w:ascii="Arial" w:eastAsia="Times New Roman" w:hAnsi="Arial" w:cs="Arial"/>
                <w:color w:val="000000"/>
                <w:sz w:val="16"/>
                <w:szCs w:val="16"/>
                <w:lang w:eastAsia="es-ES"/>
              </w:rPr>
              <w:t>signación de las solicitudes a los diferentes equipos a través del Sistema ORFEO de la entidad, para realizar la revisión jurídica de las diferentes respuestas a las solicitudes ciudadanas.</w:t>
            </w:r>
          </w:p>
          <w:p w14:paraId="063E13A1" w14:textId="77777777" w:rsidR="00CF448A" w:rsidRDefault="00CF448A" w:rsidP="00B32204">
            <w:pPr>
              <w:widowControl/>
              <w:suppressAutoHyphens w:val="0"/>
              <w:spacing w:line="240" w:lineRule="auto"/>
              <w:jc w:val="both"/>
              <w:rPr>
                <w:rFonts w:ascii="Arial" w:eastAsia="Times New Roman" w:hAnsi="Arial" w:cs="Arial"/>
                <w:color w:val="000000"/>
                <w:sz w:val="16"/>
                <w:szCs w:val="16"/>
                <w:lang w:eastAsia="es-ES"/>
              </w:rPr>
            </w:pPr>
          </w:p>
          <w:p w14:paraId="2822E42C" w14:textId="4A3C4FDA" w:rsidR="00D56458" w:rsidRPr="00EE1339" w:rsidRDefault="003B7C43" w:rsidP="00B32204">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Del riesgo “Incumplimiento en la generación de respuestas oportunas a los trámites presentados por la ciudadanía", se evidencia que:</w:t>
            </w:r>
          </w:p>
          <w:p w14:paraId="48DA901F" w14:textId="77777777" w:rsidR="003B7C43" w:rsidRDefault="003B7C43" w:rsidP="00B32204">
            <w:pPr>
              <w:widowControl/>
              <w:suppressAutoHyphens w:val="0"/>
              <w:spacing w:line="240" w:lineRule="auto"/>
              <w:jc w:val="both"/>
              <w:rPr>
                <w:rFonts w:ascii="Arial" w:eastAsia="Times New Roman" w:hAnsi="Arial" w:cs="Arial"/>
                <w:color w:val="000000"/>
                <w:sz w:val="16"/>
                <w:szCs w:val="16"/>
                <w:lang w:eastAsia="es-ES"/>
              </w:rPr>
            </w:pPr>
          </w:p>
          <w:p w14:paraId="07D42521" w14:textId="77777777" w:rsidR="009D5E9D" w:rsidRDefault="009D5E9D"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9D5E9D">
              <w:rPr>
                <w:rFonts w:ascii="Arial" w:eastAsia="Times New Roman" w:hAnsi="Arial" w:cs="Arial"/>
                <w:color w:val="000000"/>
                <w:sz w:val="16"/>
                <w:szCs w:val="16"/>
                <w:lang w:eastAsia="es-ES"/>
              </w:rPr>
              <w:t>Se diligencia en matriz de control de salidas, el consecutivo de las resoluciones y los conceptos emitidos y firmados por la Subdirección de Protección e Intervención del Patrimonio, donde se asegura su proceso de digitaliza</w:t>
            </w:r>
            <w:r>
              <w:rPr>
                <w:rFonts w:ascii="Arial" w:eastAsia="Times New Roman" w:hAnsi="Arial" w:cs="Arial"/>
                <w:color w:val="000000"/>
                <w:sz w:val="16"/>
                <w:szCs w:val="16"/>
                <w:lang w:eastAsia="es-ES"/>
              </w:rPr>
              <w:t>ción y almacenamiento en ORFEO.</w:t>
            </w:r>
          </w:p>
          <w:p w14:paraId="6CD07F7C" w14:textId="11DA895B" w:rsidR="009D5E9D" w:rsidRPr="009D5E9D" w:rsidRDefault="009D5E9D"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C</w:t>
            </w:r>
            <w:r w:rsidRPr="009D5E9D">
              <w:rPr>
                <w:rFonts w:ascii="Arial" w:eastAsia="Times New Roman" w:hAnsi="Arial" w:cs="Arial"/>
                <w:color w:val="000000"/>
                <w:sz w:val="16"/>
                <w:szCs w:val="16"/>
                <w:lang w:eastAsia="es-ES"/>
              </w:rPr>
              <w:t>on corte a Diciembre del 2019 se evidencia que del total de solicitudes recibidas  el 72%  tiene respuesta y  el 28%  restante se encuentra dentro de los tiempos definidos para dar respuesta.</w:t>
            </w:r>
          </w:p>
          <w:p w14:paraId="2FC43874" w14:textId="77777777" w:rsidR="003B7C43" w:rsidRPr="009D5E9D" w:rsidRDefault="003B7C43" w:rsidP="009D5E9D">
            <w:pPr>
              <w:widowControl/>
              <w:suppressAutoHyphens w:val="0"/>
              <w:spacing w:line="240" w:lineRule="auto"/>
              <w:jc w:val="both"/>
              <w:rPr>
                <w:rFonts w:ascii="Arial" w:eastAsia="Times New Roman" w:hAnsi="Arial" w:cs="Arial"/>
                <w:color w:val="000000"/>
                <w:sz w:val="16"/>
                <w:szCs w:val="16"/>
                <w:lang w:eastAsia="es-ES"/>
              </w:rPr>
            </w:pPr>
          </w:p>
          <w:p w14:paraId="529526CA" w14:textId="6488CB8B" w:rsidR="00592C16" w:rsidRDefault="003B7C43" w:rsidP="00932109">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Del riesgo “Deterioro o perdida de los valores patrimoniales de un Bien de Interés Cultural Declarado o Potencial, se evidencia que: </w:t>
            </w:r>
          </w:p>
          <w:p w14:paraId="285FBE45" w14:textId="77777777" w:rsidR="009D5E9D" w:rsidRDefault="009D5E9D" w:rsidP="00932109">
            <w:pPr>
              <w:widowControl/>
              <w:suppressAutoHyphens w:val="0"/>
              <w:spacing w:line="240" w:lineRule="auto"/>
              <w:jc w:val="both"/>
              <w:rPr>
                <w:rFonts w:ascii="Arial" w:eastAsia="Times New Roman" w:hAnsi="Arial" w:cs="Arial"/>
                <w:color w:val="000000"/>
                <w:sz w:val="16"/>
                <w:szCs w:val="16"/>
                <w:lang w:eastAsia="es-ES"/>
              </w:rPr>
            </w:pPr>
          </w:p>
          <w:p w14:paraId="7C13152F" w14:textId="346F6A3C" w:rsidR="009D5E9D" w:rsidRPr="009D5E9D" w:rsidRDefault="009D5E9D"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9D5E9D">
              <w:rPr>
                <w:rFonts w:ascii="Arial" w:eastAsia="Times New Roman" w:hAnsi="Arial" w:cs="Arial"/>
                <w:color w:val="000000"/>
                <w:sz w:val="16"/>
                <w:szCs w:val="16"/>
                <w:lang w:eastAsia="es-ES"/>
              </w:rPr>
              <w:t>Se</w:t>
            </w:r>
            <w:r>
              <w:rPr>
                <w:rFonts w:ascii="Arial" w:eastAsia="Times New Roman" w:hAnsi="Arial" w:cs="Arial"/>
                <w:color w:val="000000"/>
                <w:sz w:val="16"/>
                <w:szCs w:val="16"/>
                <w:lang w:eastAsia="es-ES"/>
              </w:rPr>
              <w:t xml:space="preserve"> realizaron</w:t>
            </w:r>
            <w:r w:rsidRPr="009D5E9D">
              <w:rPr>
                <w:rFonts w:ascii="Arial" w:eastAsia="Times New Roman" w:hAnsi="Arial" w:cs="Arial"/>
                <w:color w:val="000000"/>
                <w:sz w:val="16"/>
                <w:szCs w:val="16"/>
                <w:lang w:eastAsia="es-ES"/>
              </w:rPr>
              <w:t xml:space="preserve"> las actualizaciones y publicaciones de los procedimientos de  Asesoría técnica personalizada, Evaluación de intervenciones en espacio público y publicidad exterior visual, Estudio de solicitudes para inclusión, exclusión y cambio de categoría de BIC inmuebles, Intervenciones Mínimas, intervenciones sobre bienes muebles y monumentos, de acuerdo con la normatividad vigente, los procesos de virtualización de trámites y OPAS y las  necesidades de mejora de los diferentes procesos.</w:t>
            </w:r>
          </w:p>
          <w:p w14:paraId="31B57145" w14:textId="77777777" w:rsidR="00592C16" w:rsidRPr="00EE1339" w:rsidRDefault="00592C16" w:rsidP="00EE1339">
            <w:pPr>
              <w:pStyle w:val="Prrafodelista"/>
              <w:widowControl/>
              <w:suppressAutoHyphens w:val="0"/>
              <w:spacing w:line="240" w:lineRule="auto"/>
              <w:ind w:left="405"/>
              <w:jc w:val="both"/>
              <w:rPr>
                <w:rFonts w:ascii="Arial" w:eastAsia="Times New Roman" w:hAnsi="Arial" w:cs="Arial"/>
                <w:color w:val="000000"/>
                <w:sz w:val="16"/>
                <w:szCs w:val="16"/>
                <w:lang w:eastAsia="es-ES"/>
              </w:rPr>
            </w:pPr>
          </w:p>
          <w:p w14:paraId="6EF56E4F" w14:textId="4913F3B5" w:rsidR="003B7C43" w:rsidRPr="00EE1339" w:rsidRDefault="003B7C43" w:rsidP="00FE1C18">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En cuanto al riesgo “Deterioro de los Bienes de Interés Cultural del Distrito Capital” </w:t>
            </w:r>
          </w:p>
          <w:p w14:paraId="5895AC3B" w14:textId="77777777" w:rsidR="003B7C43" w:rsidRDefault="003B7C43" w:rsidP="00FE1C18">
            <w:pPr>
              <w:widowControl/>
              <w:suppressAutoHyphens w:val="0"/>
              <w:spacing w:line="240" w:lineRule="auto"/>
              <w:jc w:val="both"/>
              <w:rPr>
                <w:rFonts w:ascii="Arial" w:eastAsia="Times New Roman" w:hAnsi="Arial" w:cs="Arial"/>
                <w:color w:val="000000"/>
                <w:sz w:val="16"/>
                <w:szCs w:val="16"/>
                <w:lang w:eastAsia="es-ES"/>
              </w:rPr>
            </w:pPr>
          </w:p>
          <w:p w14:paraId="1CD8029E" w14:textId="6F1E2F74" w:rsidR="00CF448A" w:rsidRPr="00CF448A" w:rsidRDefault="00CF448A" w:rsidP="00F3478F">
            <w:pPr>
              <w:pStyle w:val="Prrafodelista"/>
              <w:widowControl/>
              <w:numPr>
                <w:ilvl w:val="0"/>
                <w:numId w:val="30"/>
              </w:numPr>
              <w:suppressAutoHyphens w:val="0"/>
              <w:spacing w:line="240" w:lineRule="auto"/>
              <w:ind w:left="355" w:hanging="218"/>
              <w:jc w:val="both"/>
              <w:rPr>
                <w:rFonts w:ascii="Arial" w:eastAsia="Times New Roman" w:hAnsi="Arial" w:cs="Arial"/>
                <w:color w:val="000000"/>
                <w:sz w:val="16"/>
                <w:szCs w:val="16"/>
                <w:lang w:eastAsia="es-ES"/>
              </w:rPr>
            </w:pPr>
            <w:r w:rsidRPr="00CF448A">
              <w:rPr>
                <w:rFonts w:ascii="Arial" w:eastAsia="Times New Roman" w:hAnsi="Arial" w:cs="Arial"/>
                <w:color w:val="000000"/>
                <w:sz w:val="16"/>
                <w:szCs w:val="16"/>
                <w:lang w:eastAsia="es-ES"/>
              </w:rPr>
              <w:t>Se mantiene la realización de las fichas de intervención de fachadas de BIC a través del Programa El Patrimonio se Luce,  y las fichas de intervención de  los bienes muebles y monumentos por medio de las Brigadas de Atención a Monumentos</w:t>
            </w:r>
          </w:p>
          <w:p w14:paraId="6D31D44D" w14:textId="77777777" w:rsidR="009D5E9D" w:rsidRDefault="009D5E9D" w:rsidP="00FE1C18">
            <w:pPr>
              <w:widowControl/>
              <w:suppressAutoHyphens w:val="0"/>
              <w:spacing w:line="240" w:lineRule="auto"/>
              <w:jc w:val="both"/>
              <w:rPr>
                <w:rFonts w:ascii="Arial" w:eastAsia="Times New Roman" w:hAnsi="Arial" w:cs="Arial"/>
                <w:color w:val="000000"/>
                <w:sz w:val="16"/>
                <w:szCs w:val="16"/>
                <w:lang w:eastAsia="es-ES"/>
              </w:rPr>
            </w:pPr>
          </w:p>
          <w:p w14:paraId="69006556" w14:textId="22E8C0B7" w:rsidR="00592C16" w:rsidRPr="00EE1339" w:rsidRDefault="009D5E9D" w:rsidP="0017385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A la fecha los riesgos identificados por el proceso </w:t>
            </w:r>
            <w:r w:rsidRPr="007245F8">
              <w:rPr>
                <w:rFonts w:ascii="Arial" w:eastAsia="Times New Roman" w:hAnsi="Arial" w:cs="Arial"/>
                <w:color w:val="000000"/>
                <w:sz w:val="16"/>
                <w:szCs w:val="16"/>
                <w:lang w:eastAsia="es-ES"/>
              </w:rPr>
              <w:t>se encuentra</w:t>
            </w:r>
            <w:r>
              <w:rPr>
                <w:rFonts w:ascii="Arial" w:eastAsia="Times New Roman" w:hAnsi="Arial" w:cs="Arial"/>
                <w:color w:val="000000"/>
                <w:sz w:val="16"/>
                <w:szCs w:val="16"/>
                <w:lang w:eastAsia="es-ES"/>
              </w:rPr>
              <w:t>n</w:t>
            </w:r>
            <w:r w:rsidRPr="007245F8">
              <w:rPr>
                <w:rFonts w:ascii="Arial" w:eastAsia="Times New Roman" w:hAnsi="Arial" w:cs="Arial"/>
                <w:color w:val="000000"/>
                <w:sz w:val="16"/>
                <w:szCs w:val="16"/>
                <w:lang w:eastAsia="es-ES"/>
              </w:rPr>
              <w:t xml:space="preserve"> bajo control y no se evidencia su materialización.  </w:t>
            </w:r>
          </w:p>
        </w:tc>
        <w:tc>
          <w:tcPr>
            <w:tcW w:w="3151" w:type="dxa"/>
            <w:tcBorders>
              <w:top w:val="nil"/>
              <w:left w:val="nil"/>
              <w:bottom w:val="single" w:sz="4" w:space="0" w:color="auto"/>
              <w:right w:val="single" w:sz="4" w:space="0" w:color="auto"/>
            </w:tcBorders>
            <w:shd w:val="clear" w:color="auto" w:fill="auto"/>
            <w:vAlign w:val="center"/>
            <w:hideMark/>
          </w:tcPr>
          <w:p w14:paraId="4C390FA0" w14:textId="77777777" w:rsidR="007245F8" w:rsidRDefault="006A03B6" w:rsidP="00DC1C44">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u w:val="single"/>
                <w:lang w:eastAsia="es-ES"/>
              </w:rPr>
              <w:t>S</w:t>
            </w:r>
            <w:r>
              <w:rPr>
                <w:rFonts w:ascii="Arial" w:eastAsia="Times New Roman" w:hAnsi="Arial" w:cs="Arial"/>
                <w:color w:val="000000"/>
                <w:sz w:val="16"/>
                <w:szCs w:val="16"/>
                <w:lang w:eastAsia="es-ES"/>
              </w:rPr>
              <w:t>e recomienda realizar entrega de la información generada y monitoreo a los riesgos de manera oportuna</w:t>
            </w:r>
            <w:r w:rsidR="007245F8">
              <w:rPr>
                <w:rFonts w:ascii="Arial" w:eastAsia="Times New Roman" w:hAnsi="Arial" w:cs="Arial"/>
                <w:color w:val="000000"/>
                <w:sz w:val="16"/>
                <w:szCs w:val="16"/>
                <w:lang w:eastAsia="es-ES"/>
              </w:rPr>
              <w:t>.</w:t>
            </w:r>
          </w:p>
          <w:p w14:paraId="1B4266B2" w14:textId="77777777" w:rsidR="007245F8" w:rsidRDefault="007245F8" w:rsidP="00DC1C44">
            <w:pPr>
              <w:widowControl/>
              <w:suppressAutoHyphens w:val="0"/>
              <w:spacing w:line="240" w:lineRule="auto"/>
              <w:jc w:val="both"/>
              <w:rPr>
                <w:rFonts w:ascii="Arial" w:eastAsia="Times New Roman" w:hAnsi="Arial" w:cs="Arial"/>
                <w:color w:val="000000"/>
                <w:sz w:val="16"/>
                <w:szCs w:val="16"/>
                <w:lang w:eastAsia="es-ES"/>
              </w:rPr>
            </w:pPr>
          </w:p>
          <w:p w14:paraId="347010E7" w14:textId="73696C3A" w:rsidR="007245F8" w:rsidRDefault="00CF448A" w:rsidP="00DC1C44">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E</w:t>
            </w:r>
            <w:r w:rsidR="007245F8">
              <w:rPr>
                <w:rFonts w:ascii="Arial" w:eastAsia="Times New Roman" w:hAnsi="Arial" w:cs="Arial"/>
                <w:color w:val="000000"/>
                <w:sz w:val="16"/>
                <w:szCs w:val="16"/>
                <w:lang w:eastAsia="es-ES"/>
              </w:rPr>
              <w:t xml:space="preserve">s importante se cuente con las evidencias de la ejecución de controles </w:t>
            </w:r>
          </w:p>
          <w:p w14:paraId="5F012D98" w14:textId="77777777" w:rsidR="007245F8" w:rsidRDefault="007245F8" w:rsidP="00DC1C44">
            <w:pPr>
              <w:widowControl/>
              <w:suppressAutoHyphens w:val="0"/>
              <w:spacing w:line="240" w:lineRule="auto"/>
              <w:jc w:val="both"/>
              <w:rPr>
                <w:rFonts w:ascii="Arial" w:eastAsia="Times New Roman" w:hAnsi="Arial" w:cs="Arial"/>
                <w:color w:val="000000"/>
                <w:sz w:val="16"/>
                <w:szCs w:val="16"/>
                <w:lang w:eastAsia="es-ES"/>
              </w:rPr>
            </w:pPr>
          </w:p>
          <w:p w14:paraId="4F3C78F2" w14:textId="14F4967E" w:rsidR="00592C16" w:rsidRPr="00EE1339" w:rsidRDefault="007245F8" w:rsidP="00CF448A">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Para la formulación de los riesgos a trabajar en la vigencia 2020, se recomienda, realizar análisis del contexto del proceso de manera externa, interna y de proceso; con el fin de identificar y documentar nuevos riesgos</w:t>
            </w:r>
            <w:r w:rsidR="00CF448A">
              <w:rPr>
                <w:rFonts w:ascii="Arial" w:eastAsia="Times New Roman" w:hAnsi="Arial" w:cs="Arial"/>
                <w:color w:val="000000"/>
                <w:sz w:val="16"/>
                <w:szCs w:val="16"/>
                <w:lang w:eastAsia="es-ES"/>
              </w:rPr>
              <w:t xml:space="preserve"> que puedan afectar el cumplimiento de las metas establecidas por el proceso.</w:t>
            </w:r>
            <w:r>
              <w:rPr>
                <w:rFonts w:ascii="Arial" w:eastAsia="Times New Roman" w:hAnsi="Arial" w:cs="Arial"/>
                <w:color w:val="000000"/>
                <w:sz w:val="16"/>
                <w:szCs w:val="16"/>
                <w:lang w:eastAsia="es-ES"/>
              </w:rPr>
              <w:t xml:space="preserve">  </w:t>
            </w:r>
            <w:r w:rsidR="006A03B6">
              <w:rPr>
                <w:rFonts w:ascii="Arial" w:eastAsia="Times New Roman" w:hAnsi="Arial" w:cs="Arial"/>
                <w:color w:val="000000"/>
                <w:sz w:val="16"/>
                <w:szCs w:val="16"/>
                <w:lang w:eastAsia="es-ES"/>
              </w:rPr>
              <w:t xml:space="preserve"> </w:t>
            </w:r>
          </w:p>
        </w:tc>
      </w:tr>
      <w:tr w:rsidR="00FC2E3F" w:rsidRPr="00EE1339" w14:paraId="42572FE1" w14:textId="77777777" w:rsidTr="00EE1339">
        <w:trPr>
          <w:trHeight w:val="406"/>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2A197683" w14:textId="70A117E3" w:rsidR="00FC2E3F" w:rsidRPr="00EE1339" w:rsidRDefault="00FC2E3F" w:rsidP="005B4190">
            <w:pPr>
              <w:widowControl/>
              <w:suppressAutoHyphens w:val="0"/>
              <w:spacing w:line="240" w:lineRule="auto"/>
              <w:jc w:val="center"/>
              <w:rPr>
                <w:rFonts w:ascii="Arial" w:eastAsia="Times New Roman" w:hAnsi="Arial" w:cs="Arial"/>
                <w:color w:val="000000"/>
                <w:sz w:val="16"/>
                <w:szCs w:val="16"/>
                <w:highlight w:val="yellow"/>
                <w:lang w:eastAsia="es-ES"/>
              </w:rPr>
            </w:pPr>
            <w:r w:rsidRPr="00EE1339">
              <w:rPr>
                <w:rFonts w:ascii="Arial" w:eastAsia="Times New Roman" w:hAnsi="Arial" w:cs="Arial"/>
                <w:color w:val="000000"/>
                <w:sz w:val="16"/>
                <w:szCs w:val="16"/>
                <w:lang w:eastAsia="es-ES"/>
              </w:rPr>
              <w:t>Divulgación y apropiación social del patrimonio</w:t>
            </w:r>
          </w:p>
        </w:tc>
        <w:tc>
          <w:tcPr>
            <w:tcW w:w="4319" w:type="dxa"/>
            <w:tcBorders>
              <w:top w:val="nil"/>
              <w:left w:val="nil"/>
              <w:bottom w:val="single" w:sz="4" w:space="0" w:color="auto"/>
              <w:right w:val="single" w:sz="4" w:space="0" w:color="auto"/>
            </w:tcBorders>
            <w:shd w:val="clear" w:color="auto" w:fill="auto"/>
            <w:vAlign w:val="center"/>
            <w:hideMark/>
          </w:tcPr>
          <w:p w14:paraId="53113297" w14:textId="35899FAB" w:rsidR="001271DC" w:rsidRDefault="00FC2E3F" w:rsidP="00131BA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Se evidencia que los 8 riesgos definidos se han </w:t>
            </w:r>
            <w:r w:rsidR="00A34673" w:rsidRPr="00EE1339">
              <w:rPr>
                <w:rFonts w:ascii="Arial" w:eastAsia="Times New Roman" w:hAnsi="Arial" w:cs="Arial"/>
                <w:color w:val="000000"/>
                <w:sz w:val="16"/>
                <w:szCs w:val="16"/>
                <w:lang w:eastAsia="es-ES"/>
              </w:rPr>
              <w:t xml:space="preserve">controlado </w:t>
            </w:r>
            <w:r w:rsidRPr="00EE1339">
              <w:rPr>
                <w:rFonts w:ascii="Arial" w:eastAsia="Times New Roman" w:hAnsi="Arial" w:cs="Arial"/>
                <w:color w:val="000000"/>
                <w:sz w:val="16"/>
                <w:szCs w:val="16"/>
                <w:lang w:eastAsia="es-ES"/>
              </w:rPr>
              <w:t>con la ejecución de los controles establecidos y las actividades de mitigación</w:t>
            </w:r>
            <w:r w:rsidR="001271DC" w:rsidRPr="00EE1339">
              <w:rPr>
                <w:rFonts w:ascii="Arial" w:eastAsia="Times New Roman" w:hAnsi="Arial" w:cs="Arial"/>
                <w:color w:val="000000"/>
                <w:sz w:val="16"/>
                <w:szCs w:val="16"/>
                <w:lang w:eastAsia="es-ES"/>
              </w:rPr>
              <w:t>.</w:t>
            </w:r>
            <w:r w:rsidR="00E60D79">
              <w:rPr>
                <w:rFonts w:ascii="Arial" w:eastAsia="Times New Roman" w:hAnsi="Arial" w:cs="Arial"/>
                <w:color w:val="000000"/>
                <w:sz w:val="16"/>
                <w:szCs w:val="16"/>
                <w:lang w:eastAsia="es-ES"/>
              </w:rPr>
              <w:t xml:space="preserve"> Dentro de las actividades realizadas se resaltan las siguientes:</w:t>
            </w:r>
          </w:p>
          <w:p w14:paraId="710B8CA0" w14:textId="77777777" w:rsidR="00E60D79" w:rsidRPr="00EE1339" w:rsidRDefault="00E60D79" w:rsidP="00131BA6">
            <w:pPr>
              <w:widowControl/>
              <w:suppressAutoHyphens w:val="0"/>
              <w:spacing w:line="240" w:lineRule="auto"/>
              <w:jc w:val="both"/>
              <w:rPr>
                <w:rFonts w:ascii="Arial" w:eastAsia="Times New Roman" w:hAnsi="Arial" w:cs="Arial"/>
                <w:color w:val="000000"/>
                <w:sz w:val="16"/>
                <w:szCs w:val="16"/>
                <w:lang w:eastAsia="es-ES"/>
              </w:rPr>
            </w:pPr>
          </w:p>
          <w:p w14:paraId="2C5C715C" w14:textId="77777777" w:rsidR="00FC2E3F" w:rsidRDefault="00E60D79" w:rsidP="00826145">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E60D79">
              <w:rPr>
                <w:rFonts w:ascii="Arial" w:eastAsia="Times New Roman" w:hAnsi="Arial" w:cs="Arial"/>
                <w:color w:val="000000"/>
                <w:sz w:val="16"/>
                <w:szCs w:val="16"/>
                <w:lang w:eastAsia="es-ES"/>
              </w:rPr>
              <w:t>Digitalización de un total de 1315 imágenes de un meta de 1200.</w:t>
            </w:r>
          </w:p>
          <w:p w14:paraId="10818CD0" w14:textId="49360702" w:rsidR="00E60D79" w:rsidRDefault="00E60D79" w:rsidP="00826145">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Pr="00E60D79">
              <w:rPr>
                <w:rFonts w:ascii="Arial" w:eastAsia="Times New Roman" w:hAnsi="Arial" w:cs="Arial"/>
                <w:color w:val="000000"/>
                <w:sz w:val="16"/>
                <w:szCs w:val="16"/>
                <w:lang w:eastAsia="es-ES"/>
              </w:rPr>
              <w:t xml:space="preserve">eguimiento al funcionamiento de las cámaras de seguridad teniendo en cuenta las </w:t>
            </w:r>
            <w:r>
              <w:rPr>
                <w:rFonts w:ascii="Arial" w:eastAsia="Times New Roman" w:hAnsi="Arial" w:cs="Arial"/>
                <w:color w:val="000000"/>
                <w:sz w:val="16"/>
                <w:szCs w:val="16"/>
                <w:lang w:eastAsia="es-ES"/>
              </w:rPr>
              <w:t xml:space="preserve">novedades presentadas en su uso y </w:t>
            </w:r>
            <w:r w:rsidRPr="00E60D79">
              <w:rPr>
                <w:rFonts w:ascii="Arial" w:eastAsia="Times New Roman" w:hAnsi="Arial" w:cs="Arial"/>
                <w:color w:val="000000"/>
                <w:sz w:val="16"/>
                <w:szCs w:val="16"/>
                <w:lang w:eastAsia="es-ES"/>
              </w:rPr>
              <w:t>revisión a la carga eléctrica de la sede, para que ésta no afecte el funcionamiento del sistema de seguridad.</w:t>
            </w:r>
          </w:p>
          <w:p w14:paraId="79BD519D" w14:textId="77777777" w:rsidR="00E60D79" w:rsidRDefault="00E60D79" w:rsidP="00826145">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Pr="00E60D79">
              <w:rPr>
                <w:rFonts w:ascii="Arial" w:eastAsia="Times New Roman" w:hAnsi="Arial" w:cs="Arial"/>
                <w:color w:val="000000"/>
                <w:sz w:val="16"/>
                <w:szCs w:val="16"/>
                <w:lang w:eastAsia="es-ES"/>
              </w:rPr>
              <w:t>e registraron 120 piezas de la colección en el sistema de colecciones colombianas</w:t>
            </w:r>
          </w:p>
          <w:p w14:paraId="53D90C1F" w14:textId="77777777" w:rsidR="00C52DA9" w:rsidRDefault="00C52DA9" w:rsidP="00826145">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Se llevó a cabo s</w:t>
            </w:r>
            <w:r w:rsidRPr="00C52DA9">
              <w:rPr>
                <w:rFonts w:ascii="Arial" w:eastAsia="Times New Roman" w:hAnsi="Arial" w:cs="Arial"/>
                <w:color w:val="000000"/>
                <w:sz w:val="16"/>
                <w:szCs w:val="16"/>
                <w:lang w:eastAsia="es-ES"/>
              </w:rPr>
              <w:t>eguimiento al cronograma de exposiciones temporales, programación y ejecución de las diferentes actividades de planeación relacionadas.</w:t>
            </w:r>
          </w:p>
          <w:p w14:paraId="2DE4376A" w14:textId="313330C0" w:rsidR="00C52DA9" w:rsidRPr="00C52DA9" w:rsidRDefault="00C52DA9" w:rsidP="00826145">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En el mes de octubre se actualizo el p</w:t>
            </w:r>
            <w:r w:rsidRPr="00C52DA9">
              <w:rPr>
                <w:rFonts w:ascii="Arial" w:eastAsia="Times New Roman" w:hAnsi="Arial" w:cs="Arial"/>
                <w:color w:val="000000"/>
                <w:sz w:val="16"/>
                <w:szCs w:val="16"/>
                <w:lang w:eastAsia="es-ES"/>
              </w:rPr>
              <w:t xml:space="preserve">rocedimiento Atención de solicitudes de imágenes del archivo digital del Museo de Bogotá  </w:t>
            </w:r>
          </w:p>
        </w:tc>
        <w:tc>
          <w:tcPr>
            <w:tcW w:w="3151" w:type="dxa"/>
            <w:tcBorders>
              <w:top w:val="nil"/>
              <w:left w:val="nil"/>
              <w:bottom w:val="single" w:sz="4" w:space="0" w:color="auto"/>
              <w:right w:val="single" w:sz="4" w:space="0" w:color="auto"/>
            </w:tcBorders>
            <w:shd w:val="clear" w:color="auto" w:fill="auto"/>
            <w:vAlign w:val="center"/>
            <w:hideMark/>
          </w:tcPr>
          <w:p w14:paraId="4CAA72EA" w14:textId="77777777" w:rsidR="00C52DA9" w:rsidRDefault="00C52DA9" w:rsidP="00C52DA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u w:val="single"/>
                <w:lang w:eastAsia="es-ES"/>
              </w:rPr>
              <w:t>S</w:t>
            </w:r>
            <w:r>
              <w:rPr>
                <w:rFonts w:ascii="Arial" w:eastAsia="Times New Roman" w:hAnsi="Arial" w:cs="Arial"/>
                <w:color w:val="000000"/>
                <w:sz w:val="16"/>
                <w:szCs w:val="16"/>
                <w:lang w:eastAsia="es-ES"/>
              </w:rPr>
              <w:t>e recomienda realizar entrega de la información generada y monitoreo a los riesgos de manera oportuna.</w:t>
            </w:r>
          </w:p>
          <w:p w14:paraId="2CD92B51" w14:textId="77777777" w:rsidR="00C52DA9" w:rsidRDefault="00C52DA9" w:rsidP="00C52DA9">
            <w:pPr>
              <w:widowControl/>
              <w:suppressAutoHyphens w:val="0"/>
              <w:spacing w:line="240" w:lineRule="auto"/>
              <w:jc w:val="both"/>
              <w:rPr>
                <w:rFonts w:ascii="Arial" w:eastAsia="Times New Roman" w:hAnsi="Arial" w:cs="Arial"/>
                <w:color w:val="000000"/>
                <w:sz w:val="16"/>
                <w:szCs w:val="16"/>
                <w:lang w:eastAsia="es-ES"/>
              </w:rPr>
            </w:pPr>
          </w:p>
          <w:p w14:paraId="48B5B17B" w14:textId="6104E40F" w:rsidR="00C52DA9" w:rsidRPr="00EE1339" w:rsidRDefault="00C52DA9" w:rsidP="00C52DA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Se debe v</w:t>
            </w:r>
            <w:r w:rsidRPr="00EE1339">
              <w:rPr>
                <w:rFonts w:ascii="Arial" w:eastAsia="Times New Roman" w:hAnsi="Arial" w:cs="Arial"/>
                <w:color w:val="000000"/>
                <w:sz w:val="16"/>
                <w:szCs w:val="16"/>
                <w:lang w:eastAsia="es-ES"/>
              </w:rPr>
              <w:t>alidar el contexto del proceso y sus principales actividades con el ánimo de identificar posibles riesgos que no permitan el logro de los objetivos y metas planteados.</w:t>
            </w:r>
          </w:p>
          <w:p w14:paraId="225F9A78" w14:textId="77777777" w:rsidR="00C52DA9" w:rsidRDefault="00C52DA9" w:rsidP="00C52DA9">
            <w:pPr>
              <w:widowControl/>
              <w:suppressAutoHyphens w:val="0"/>
              <w:spacing w:line="240" w:lineRule="auto"/>
              <w:jc w:val="both"/>
              <w:rPr>
                <w:rFonts w:ascii="Arial" w:eastAsia="Times New Roman" w:hAnsi="Arial" w:cs="Arial"/>
                <w:color w:val="000000"/>
                <w:sz w:val="16"/>
                <w:szCs w:val="16"/>
                <w:lang w:eastAsia="es-ES"/>
              </w:rPr>
            </w:pPr>
          </w:p>
          <w:p w14:paraId="272E9D59" w14:textId="13E1FE5C" w:rsidR="00592C16" w:rsidRPr="00EE1339" w:rsidRDefault="00592C16" w:rsidP="00FE1C18">
            <w:pPr>
              <w:widowControl/>
              <w:suppressAutoHyphens w:val="0"/>
              <w:spacing w:line="240" w:lineRule="auto"/>
              <w:jc w:val="both"/>
              <w:rPr>
                <w:rFonts w:ascii="Arial" w:eastAsia="Times New Roman" w:hAnsi="Arial" w:cs="Arial"/>
                <w:color w:val="000000"/>
                <w:sz w:val="16"/>
                <w:szCs w:val="16"/>
                <w:lang w:eastAsia="es-ES"/>
              </w:rPr>
            </w:pPr>
          </w:p>
        </w:tc>
      </w:tr>
      <w:tr w:rsidR="00FC2E3F" w:rsidRPr="00EE1339" w14:paraId="07225DDE" w14:textId="77777777" w:rsidTr="00F04AB0">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25D4AEB2" w14:textId="55CEAE96"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Gestión Talento Humano</w:t>
            </w:r>
          </w:p>
        </w:tc>
        <w:tc>
          <w:tcPr>
            <w:tcW w:w="4319" w:type="dxa"/>
            <w:tcBorders>
              <w:top w:val="nil"/>
              <w:left w:val="nil"/>
              <w:bottom w:val="single" w:sz="4" w:space="0" w:color="auto"/>
              <w:right w:val="single" w:sz="4" w:space="0" w:color="auto"/>
            </w:tcBorders>
            <w:shd w:val="clear" w:color="auto" w:fill="auto"/>
            <w:vAlign w:val="center"/>
            <w:hideMark/>
          </w:tcPr>
          <w:p w14:paraId="0CC18AD4" w14:textId="3EB08161" w:rsidR="009369DD" w:rsidRPr="00EE1339" w:rsidRDefault="00FC2E3F" w:rsidP="00131BA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Del riesgo de corrupción "Uso  indebido de la información que administra el  proceso de Gestión del </w:t>
            </w:r>
            <w:r w:rsidR="008E5943" w:rsidRPr="00EE1339">
              <w:rPr>
                <w:rFonts w:ascii="Arial" w:eastAsia="Times New Roman" w:hAnsi="Arial" w:cs="Arial"/>
                <w:color w:val="000000"/>
                <w:sz w:val="16"/>
                <w:szCs w:val="16"/>
                <w:lang w:eastAsia="es-ES"/>
              </w:rPr>
              <w:t>T</w:t>
            </w:r>
            <w:r w:rsidRPr="00EE1339">
              <w:rPr>
                <w:rFonts w:ascii="Arial" w:eastAsia="Times New Roman" w:hAnsi="Arial" w:cs="Arial"/>
                <w:color w:val="000000"/>
                <w:sz w:val="16"/>
                <w:szCs w:val="16"/>
                <w:lang w:eastAsia="es-ES"/>
              </w:rPr>
              <w:t xml:space="preserve">alento </w:t>
            </w:r>
            <w:r w:rsidR="008E5943" w:rsidRPr="00EE1339">
              <w:rPr>
                <w:rFonts w:ascii="Arial" w:eastAsia="Times New Roman" w:hAnsi="Arial" w:cs="Arial"/>
                <w:color w:val="000000"/>
                <w:sz w:val="16"/>
                <w:szCs w:val="16"/>
                <w:lang w:eastAsia="es-ES"/>
              </w:rPr>
              <w:t>H</w:t>
            </w:r>
            <w:r w:rsidRPr="00EE1339">
              <w:rPr>
                <w:rFonts w:ascii="Arial" w:eastAsia="Times New Roman" w:hAnsi="Arial" w:cs="Arial"/>
                <w:color w:val="000000"/>
                <w:sz w:val="16"/>
                <w:szCs w:val="16"/>
                <w:lang w:eastAsia="es-ES"/>
              </w:rPr>
              <w:t>umano para favorecer un i</w:t>
            </w:r>
            <w:r w:rsidR="00F20828" w:rsidRPr="00EE1339">
              <w:rPr>
                <w:rFonts w:ascii="Arial" w:eastAsia="Times New Roman" w:hAnsi="Arial" w:cs="Arial"/>
                <w:color w:val="000000"/>
                <w:sz w:val="16"/>
                <w:szCs w:val="16"/>
                <w:lang w:eastAsia="es-ES"/>
              </w:rPr>
              <w:t>n</w:t>
            </w:r>
            <w:r w:rsidR="00C52DA9">
              <w:rPr>
                <w:rFonts w:ascii="Arial" w:eastAsia="Times New Roman" w:hAnsi="Arial" w:cs="Arial"/>
                <w:color w:val="000000"/>
                <w:sz w:val="16"/>
                <w:szCs w:val="16"/>
                <w:lang w:eastAsia="es-ES"/>
              </w:rPr>
              <w:t>terés particular" se evidencia que se ejecutaron las actividades de mitigación en el cuatrimestre anterior.</w:t>
            </w:r>
          </w:p>
          <w:p w14:paraId="77C3BF95" w14:textId="77777777" w:rsidR="009369DD" w:rsidRPr="00EE1339" w:rsidRDefault="009369DD" w:rsidP="00131BA6">
            <w:pPr>
              <w:widowControl/>
              <w:suppressAutoHyphens w:val="0"/>
              <w:spacing w:line="240" w:lineRule="auto"/>
              <w:jc w:val="both"/>
              <w:rPr>
                <w:rFonts w:ascii="Arial" w:eastAsia="Times New Roman" w:hAnsi="Arial" w:cs="Arial"/>
                <w:color w:val="000000"/>
                <w:sz w:val="16"/>
                <w:szCs w:val="16"/>
                <w:lang w:eastAsia="es-ES"/>
              </w:rPr>
            </w:pPr>
          </w:p>
          <w:p w14:paraId="04BF1BCD" w14:textId="48BDE814" w:rsidR="00F20828" w:rsidRPr="00EE1339" w:rsidRDefault="009369DD" w:rsidP="00131BA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E</w:t>
            </w:r>
            <w:r w:rsidR="00F20828" w:rsidRPr="00EE1339">
              <w:rPr>
                <w:rFonts w:ascii="Arial" w:eastAsia="Times New Roman" w:hAnsi="Arial" w:cs="Arial"/>
                <w:color w:val="000000"/>
                <w:sz w:val="16"/>
                <w:szCs w:val="16"/>
                <w:lang w:eastAsia="es-ES"/>
              </w:rPr>
              <w:t>n cuanto a los riesgos de gestión se evidencia que se realizaron las siguientes actividades:</w:t>
            </w:r>
          </w:p>
          <w:p w14:paraId="6152F3C4" w14:textId="77777777" w:rsidR="00F20828" w:rsidRPr="00EE1339" w:rsidRDefault="00F20828" w:rsidP="00B32204">
            <w:pPr>
              <w:widowControl/>
              <w:suppressAutoHyphens w:val="0"/>
              <w:spacing w:line="240" w:lineRule="auto"/>
              <w:jc w:val="both"/>
              <w:rPr>
                <w:rFonts w:ascii="Arial" w:eastAsia="Times New Roman" w:hAnsi="Arial" w:cs="Arial"/>
                <w:color w:val="000000"/>
                <w:sz w:val="16"/>
                <w:szCs w:val="16"/>
                <w:lang w:eastAsia="es-ES"/>
              </w:rPr>
            </w:pPr>
          </w:p>
          <w:p w14:paraId="618E7C24" w14:textId="77777777" w:rsidR="00F20828" w:rsidRPr="00EE1339" w:rsidRDefault="00F20828"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Programación de Novedades de Nómina.</w:t>
            </w:r>
          </w:p>
          <w:p w14:paraId="633E531E" w14:textId="77777777" w:rsidR="00F20828" w:rsidRPr="00EE1339" w:rsidRDefault="00F20828"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Liquidación en el sistema de Nómina. </w:t>
            </w:r>
          </w:p>
          <w:p w14:paraId="05C7C424" w14:textId="69078162" w:rsidR="00F20828" w:rsidRPr="00EE1339" w:rsidRDefault="00F20828"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Conciliación con el área de Presupuesto. </w:t>
            </w:r>
          </w:p>
          <w:p w14:paraId="5BBC5399" w14:textId="77777777" w:rsidR="00F20828" w:rsidRPr="00EE1339" w:rsidRDefault="00F20828" w:rsidP="00FE1C18">
            <w:pPr>
              <w:widowControl/>
              <w:suppressAutoHyphens w:val="0"/>
              <w:spacing w:line="240" w:lineRule="auto"/>
              <w:jc w:val="both"/>
              <w:rPr>
                <w:rFonts w:ascii="Arial" w:eastAsia="Times New Roman" w:hAnsi="Arial" w:cs="Arial"/>
                <w:color w:val="000000"/>
                <w:sz w:val="16"/>
                <w:szCs w:val="16"/>
                <w:lang w:eastAsia="es-ES"/>
              </w:rPr>
            </w:pPr>
          </w:p>
          <w:p w14:paraId="6B3EA1FA" w14:textId="751668EA" w:rsidR="00FC2E3F" w:rsidRPr="00EE1339" w:rsidRDefault="00F20828" w:rsidP="00FE1C18">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Adicional a ello</w:t>
            </w:r>
            <w:r w:rsidR="009369DD" w:rsidRPr="00EE1339">
              <w:rPr>
                <w:rFonts w:ascii="Arial" w:eastAsia="Times New Roman" w:hAnsi="Arial" w:cs="Arial"/>
                <w:color w:val="000000"/>
                <w:sz w:val="16"/>
                <w:szCs w:val="16"/>
                <w:lang w:eastAsia="es-ES"/>
              </w:rPr>
              <w:t>,</w:t>
            </w:r>
            <w:r w:rsidRPr="00EE1339">
              <w:rPr>
                <w:rFonts w:ascii="Arial" w:eastAsia="Times New Roman" w:hAnsi="Arial" w:cs="Arial"/>
                <w:color w:val="000000"/>
                <w:sz w:val="16"/>
                <w:szCs w:val="16"/>
                <w:lang w:eastAsia="es-ES"/>
              </w:rPr>
              <w:t xml:space="preserve"> se aprobó y publicó el procedimiento de nómina el cual se puede consultar en la Intranet. </w:t>
            </w:r>
            <w:r w:rsidR="00FC2E3F" w:rsidRPr="00EE1339">
              <w:rPr>
                <w:rFonts w:ascii="Arial" w:eastAsia="Times New Roman" w:hAnsi="Arial" w:cs="Arial"/>
                <w:color w:val="000000"/>
                <w:sz w:val="16"/>
                <w:szCs w:val="16"/>
                <w:lang w:eastAsia="es-ES"/>
              </w:rPr>
              <w:t xml:space="preserve"> </w:t>
            </w:r>
          </w:p>
        </w:tc>
        <w:tc>
          <w:tcPr>
            <w:tcW w:w="3151" w:type="dxa"/>
            <w:tcBorders>
              <w:top w:val="nil"/>
              <w:left w:val="nil"/>
              <w:bottom w:val="single" w:sz="4" w:space="0" w:color="auto"/>
              <w:right w:val="single" w:sz="4" w:space="0" w:color="auto"/>
            </w:tcBorders>
            <w:shd w:val="clear" w:color="auto" w:fill="auto"/>
            <w:vAlign w:val="center"/>
            <w:hideMark/>
          </w:tcPr>
          <w:p w14:paraId="5CD8E051" w14:textId="6D28EEBE" w:rsidR="00F20828" w:rsidRPr="00EE1339" w:rsidRDefault="00B40ABA" w:rsidP="008A127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Se recomienda identificar riesgos relacionados con los planes del proceso y que se validen los controles definidos </w:t>
            </w:r>
            <w:r w:rsidR="005D7449">
              <w:rPr>
                <w:rFonts w:ascii="Arial" w:eastAsia="Times New Roman" w:hAnsi="Arial" w:cs="Arial"/>
                <w:color w:val="000000"/>
                <w:sz w:val="16"/>
                <w:szCs w:val="16"/>
                <w:lang w:eastAsia="es-ES"/>
              </w:rPr>
              <w:t>según los lineamientos del proceso de Fortalecimiento del SIG.</w:t>
            </w:r>
          </w:p>
        </w:tc>
      </w:tr>
      <w:tr w:rsidR="00FC2E3F" w:rsidRPr="00EE1339" w14:paraId="266F8A2B" w14:textId="77777777" w:rsidTr="00826145">
        <w:trPr>
          <w:trHeight w:val="134"/>
        </w:trPr>
        <w:tc>
          <w:tcPr>
            <w:tcW w:w="1575" w:type="dxa"/>
            <w:tcBorders>
              <w:top w:val="nil"/>
              <w:left w:val="single" w:sz="4" w:space="0" w:color="auto"/>
              <w:bottom w:val="single" w:sz="4" w:space="0" w:color="auto"/>
              <w:right w:val="single" w:sz="4" w:space="0" w:color="auto"/>
            </w:tcBorders>
            <w:shd w:val="clear" w:color="000000" w:fill="FFFFFF"/>
            <w:vAlign w:val="center"/>
            <w:hideMark/>
          </w:tcPr>
          <w:p w14:paraId="4C77CA57" w14:textId="329A3794"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DB0EE6">
              <w:rPr>
                <w:rFonts w:ascii="Arial" w:eastAsia="Times New Roman" w:hAnsi="Arial" w:cs="Arial"/>
                <w:color w:val="000000"/>
                <w:sz w:val="16"/>
                <w:szCs w:val="16"/>
                <w:lang w:eastAsia="es-ES"/>
              </w:rPr>
              <w:t>Gestión Jurídica</w:t>
            </w:r>
          </w:p>
        </w:tc>
        <w:tc>
          <w:tcPr>
            <w:tcW w:w="4319" w:type="dxa"/>
            <w:tcBorders>
              <w:top w:val="nil"/>
              <w:left w:val="nil"/>
              <w:bottom w:val="single" w:sz="4" w:space="0" w:color="auto"/>
              <w:right w:val="single" w:sz="4" w:space="0" w:color="auto"/>
            </w:tcBorders>
            <w:shd w:val="clear" w:color="auto" w:fill="auto"/>
            <w:vAlign w:val="center"/>
            <w:hideMark/>
          </w:tcPr>
          <w:p w14:paraId="2A9A4A64" w14:textId="018402D4" w:rsidR="007846C1" w:rsidRPr="00EE1339" w:rsidRDefault="00F67CF0" w:rsidP="00932139">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w:t>
            </w:r>
            <w:r w:rsidR="007846C1" w:rsidRPr="00EE1339">
              <w:rPr>
                <w:rFonts w:ascii="Arial" w:eastAsia="Times New Roman" w:hAnsi="Arial" w:cs="Arial"/>
                <w:color w:val="000000"/>
                <w:sz w:val="16"/>
                <w:szCs w:val="16"/>
                <w:lang w:eastAsia="es-ES"/>
              </w:rPr>
              <w:t xml:space="preserve">e evidencia que se  reciben requerimientos de los diferentes despachos judiciales a través </w:t>
            </w:r>
            <w:r w:rsidR="002914F0" w:rsidRPr="00EE1339">
              <w:rPr>
                <w:rFonts w:ascii="Arial" w:eastAsia="Times New Roman" w:hAnsi="Arial" w:cs="Arial"/>
                <w:color w:val="000000"/>
                <w:sz w:val="16"/>
                <w:szCs w:val="16"/>
                <w:lang w:eastAsia="es-ES"/>
              </w:rPr>
              <w:t>del</w:t>
            </w:r>
            <w:r w:rsidR="007846C1" w:rsidRPr="00EE1339">
              <w:rPr>
                <w:rFonts w:ascii="Arial" w:eastAsia="Times New Roman" w:hAnsi="Arial" w:cs="Arial"/>
                <w:color w:val="000000"/>
                <w:sz w:val="16"/>
                <w:szCs w:val="16"/>
                <w:lang w:eastAsia="es-ES"/>
              </w:rPr>
              <w:t xml:space="preserve"> correo electrónico </w:t>
            </w:r>
            <w:hyperlink r:id="rId9" w:history="1">
              <w:r w:rsidR="00826145" w:rsidRPr="000F66F5">
                <w:rPr>
                  <w:rStyle w:val="Hipervnculo"/>
                  <w:rFonts w:ascii="Arial" w:eastAsia="Times New Roman" w:hAnsi="Arial" w:cs="Arial"/>
                  <w:sz w:val="16"/>
                  <w:szCs w:val="16"/>
                  <w:lang w:eastAsia="es-ES"/>
                </w:rPr>
                <w:t>notificacionjudicial@idpc.gov.co</w:t>
              </w:r>
            </w:hyperlink>
            <w:r w:rsidR="002914F0" w:rsidRPr="00EE1339">
              <w:rPr>
                <w:rFonts w:ascii="Arial" w:eastAsia="Times New Roman" w:hAnsi="Arial" w:cs="Arial"/>
                <w:color w:val="000000"/>
                <w:sz w:val="16"/>
                <w:szCs w:val="16"/>
                <w:lang w:eastAsia="es-ES"/>
              </w:rPr>
              <w:t xml:space="preserve">, </w:t>
            </w:r>
            <w:r w:rsidRPr="00EE1339">
              <w:rPr>
                <w:rFonts w:ascii="Arial" w:eastAsia="Times New Roman" w:hAnsi="Arial" w:cs="Arial"/>
                <w:color w:val="000000"/>
                <w:sz w:val="16"/>
                <w:szCs w:val="16"/>
                <w:lang w:eastAsia="es-ES"/>
              </w:rPr>
              <w:t>p</w:t>
            </w:r>
            <w:r w:rsidR="002914F0" w:rsidRPr="00EE1339">
              <w:rPr>
                <w:rFonts w:ascii="Arial" w:eastAsia="Times New Roman" w:hAnsi="Arial" w:cs="Arial"/>
                <w:color w:val="000000"/>
                <w:sz w:val="16"/>
                <w:szCs w:val="16"/>
                <w:lang w:eastAsia="es-ES"/>
              </w:rPr>
              <w:t xml:space="preserve">osteriormente </w:t>
            </w:r>
            <w:r w:rsidR="007846C1" w:rsidRPr="00EE1339">
              <w:rPr>
                <w:rFonts w:ascii="Arial" w:eastAsia="Times New Roman" w:hAnsi="Arial" w:cs="Arial"/>
                <w:color w:val="000000"/>
                <w:sz w:val="16"/>
                <w:szCs w:val="16"/>
                <w:lang w:eastAsia="es-ES"/>
              </w:rPr>
              <w:t>se realiza registro de las actuaciones judiciales en el sistema SIPROJ DC</w:t>
            </w:r>
            <w:r w:rsidR="00DB0EE6">
              <w:rPr>
                <w:rFonts w:ascii="Arial" w:eastAsia="Times New Roman" w:hAnsi="Arial" w:cs="Arial"/>
                <w:color w:val="000000"/>
                <w:sz w:val="16"/>
                <w:szCs w:val="16"/>
                <w:lang w:eastAsia="es-ES"/>
              </w:rPr>
              <w:t xml:space="preserve"> y se </w:t>
            </w:r>
            <w:r w:rsidR="00DB0EE6" w:rsidRPr="00DB0EE6">
              <w:rPr>
                <w:rFonts w:ascii="Arial" w:eastAsia="Times New Roman" w:hAnsi="Arial" w:cs="Arial"/>
                <w:color w:val="000000"/>
                <w:sz w:val="16"/>
                <w:szCs w:val="16"/>
                <w:lang w:eastAsia="es-ES"/>
              </w:rPr>
              <w:t xml:space="preserve"> diligencio</w:t>
            </w:r>
            <w:r w:rsidR="00DB0EE6">
              <w:rPr>
                <w:rFonts w:ascii="Arial" w:eastAsia="Times New Roman" w:hAnsi="Arial" w:cs="Arial"/>
                <w:color w:val="000000"/>
                <w:sz w:val="16"/>
                <w:szCs w:val="16"/>
                <w:lang w:eastAsia="es-ES"/>
              </w:rPr>
              <w:t xml:space="preserve"> la </w:t>
            </w:r>
            <w:r w:rsidR="00DB0EE6" w:rsidRPr="00DB0EE6">
              <w:rPr>
                <w:rFonts w:ascii="Arial" w:eastAsia="Times New Roman" w:hAnsi="Arial" w:cs="Arial"/>
                <w:color w:val="000000"/>
                <w:sz w:val="16"/>
                <w:szCs w:val="16"/>
                <w:lang w:eastAsia="es-ES"/>
              </w:rPr>
              <w:t xml:space="preserve"> base datos para el control judicial evidenciándose el  trámite correspondiente</w:t>
            </w:r>
            <w:r w:rsidR="00826145">
              <w:rPr>
                <w:rFonts w:ascii="Arial" w:eastAsia="Times New Roman" w:hAnsi="Arial" w:cs="Arial"/>
                <w:color w:val="000000"/>
                <w:sz w:val="16"/>
                <w:szCs w:val="16"/>
                <w:lang w:eastAsia="es-ES"/>
              </w:rPr>
              <w:t>.</w:t>
            </w:r>
          </w:p>
        </w:tc>
        <w:tc>
          <w:tcPr>
            <w:tcW w:w="3151" w:type="dxa"/>
            <w:tcBorders>
              <w:top w:val="nil"/>
              <w:left w:val="nil"/>
              <w:bottom w:val="single" w:sz="4" w:space="0" w:color="auto"/>
              <w:right w:val="single" w:sz="4" w:space="0" w:color="auto"/>
            </w:tcBorders>
            <w:shd w:val="clear" w:color="auto" w:fill="auto"/>
            <w:vAlign w:val="center"/>
            <w:hideMark/>
          </w:tcPr>
          <w:p w14:paraId="4C48E783" w14:textId="77777777" w:rsidR="00F67CF0" w:rsidRDefault="005F5A19" w:rsidP="008A127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00F67CF0" w:rsidRPr="00EE1339">
              <w:rPr>
                <w:rFonts w:ascii="Arial" w:eastAsia="Times New Roman" w:hAnsi="Arial" w:cs="Arial"/>
                <w:color w:val="000000"/>
                <w:sz w:val="16"/>
                <w:szCs w:val="16"/>
                <w:lang w:eastAsia="es-ES"/>
              </w:rPr>
              <w:t xml:space="preserve">e </w:t>
            </w:r>
            <w:r w:rsidR="00C050ED" w:rsidRPr="00EE1339">
              <w:rPr>
                <w:rFonts w:ascii="Arial" w:eastAsia="Times New Roman" w:hAnsi="Arial" w:cs="Arial"/>
                <w:color w:val="000000"/>
                <w:sz w:val="16"/>
                <w:szCs w:val="16"/>
                <w:lang w:eastAsia="es-ES"/>
              </w:rPr>
              <w:t xml:space="preserve">debe </w:t>
            </w:r>
            <w:r w:rsidR="00F67CF0" w:rsidRPr="00EE1339">
              <w:rPr>
                <w:rFonts w:ascii="Arial" w:eastAsia="Times New Roman" w:hAnsi="Arial" w:cs="Arial"/>
                <w:color w:val="000000"/>
                <w:sz w:val="16"/>
                <w:szCs w:val="16"/>
                <w:lang w:eastAsia="es-ES"/>
              </w:rPr>
              <w:t xml:space="preserve">utilizar el formato de procesos </w:t>
            </w:r>
            <w:r w:rsidR="00C050ED" w:rsidRPr="00EE1339">
              <w:rPr>
                <w:rFonts w:ascii="Arial" w:eastAsia="Times New Roman" w:hAnsi="Arial" w:cs="Arial"/>
                <w:color w:val="000000"/>
                <w:sz w:val="16"/>
                <w:szCs w:val="16"/>
                <w:lang w:eastAsia="es-ES"/>
              </w:rPr>
              <w:t>j</w:t>
            </w:r>
            <w:r w:rsidR="00F67CF0" w:rsidRPr="00EE1339">
              <w:rPr>
                <w:rFonts w:ascii="Arial" w:eastAsia="Times New Roman" w:hAnsi="Arial" w:cs="Arial"/>
                <w:color w:val="000000"/>
                <w:sz w:val="16"/>
                <w:szCs w:val="16"/>
                <w:lang w:eastAsia="es-ES"/>
              </w:rPr>
              <w:t>udiciales</w:t>
            </w:r>
            <w:r w:rsidR="00CE001C" w:rsidRPr="00EE1339">
              <w:rPr>
                <w:rFonts w:ascii="Arial" w:eastAsia="Times New Roman" w:hAnsi="Arial" w:cs="Arial"/>
                <w:color w:val="000000"/>
                <w:sz w:val="16"/>
                <w:szCs w:val="16"/>
                <w:lang w:eastAsia="es-ES"/>
              </w:rPr>
              <w:t xml:space="preserve"> </w:t>
            </w:r>
            <w:r w:rsidR="00F67CF0" w:rsidRPr="00EE1339">
              <w:rPr>
                <w:rFonts w:ascii="Arial" w:eastAsia="Times New Roman" w:hAnsi="Arial" w:cs="Arial"/>
                <w:color w:val="000000"/>
                <w:sz w:val="16"/>
                <w:szCs w:val="16"/>
                <w:lang w:eastAsia="es-ES"/>
              </w:rPr>
              <w:t>que fue aprobado con el procedimiento.</w:t>
            </w:r>
            <w:r>
              <w:rPr>
                <w:rFonts w:ascii="Arial" w:eastAsia="Times New Roman" w:hAnsi="Arial" w:cs="Arial"/>
                <w:color w:val="000000"/>
                <w:sz w:val="16"/>
                <w:szCs w:val="16"/>
                <w:lang w:eastAsia="es-ES"/>
              </w:rPr>
              <w:t xml:space="preserve"> </w:t>
            </w:r>
          </w:p>
          <w:p w14:paraId="23E66695" w14:textId="77777777" w:rsidR="005F5A19" w:rsidRDefault="005F5A19" w:rsidP="008A1279">
            <w:pPr>
              <w:widowControl/>
              <w:suppressAutoHyphens w:val="0"/>
              <w:spacing w:line="240" w:lineRule="auto"/>
              <w:jc w:val="both"/>
              <w:rPr>
                <w:rFonts w:ascii="Arial" w:eastAsia="Times New Roman" w:hAnsi="Arial" w:cs="Arial"/>
                <w:color w:val="000000"/>
                <w:sz w:val="16"/>
                <w:szCs w:val="16"/>
                <w:lang w:eastAsia="es-ES"/>
              </w:rPr>
            </w:pPr>
          </w:p>
          <w:p w14:paraId="7C24AF8C" w14:textId="60E34C89" w:rsidR="005F5A19" w:rsidRPr="00EE1339" w:rsidRDefault="00DB0EE6" w:rsidP="008A127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Se</w:t>
            </w:r>
            <w:r w:rsidR="005F5A19">
              <w:rPr>
                <w:rFonts w:ascii="Arial" w:eastAsia="Times New Roman" w:hAnsi="Arial" w:cs="Arial"/>
                <w:color w:val="000000"/>
                <w:sz w:val="16"/>
                <w:szCs w:val="16"/>
                <w:lang w:eastAsia="es-ES"/>
              </w:rPr>
              <w:t xml:space="preserve"> recomienda evaluar las causas definidas y los controles que se han implementado para evitar las mismas.</w:t>
            </w:r>
          </w:p>
        </w:tc>
      </w:tr>
      <w:tr w:rsidR="00FC2E3F" w:rsidRPr="00EE1339" w14:paraId="58304AC6" w14:textId="77777777" w:rsidTr="001D35D3">
        <w:trPr>
          <w:trHeight w:val="225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20145449" w14:textId="2ACF8754"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Gestión Contractual</w:t>
            </w:r>
          </w:p>
        </w:tc>
        <w:tc>
          <w:tcPr>
            <w:tcW w:w="4319" w:type="dxa"/>
            <w:tcBorders>
              <w:top w:val="nil"/>
              <w:left w:val="nil"/>
              <w:bottom w:val="single" w:sz="4" w:space="0" w:color="auto"/>
              <w:right w:val="single" w:sz="4" w:space="0" w:color="auto"/>
            </w:tcBorders>
            <w:shd w:val="clear" w:color="auto" w:fill="auto"/>
            <w:vAlign w:val="center"/>
            <w:hideMark/>
          </w:tcPr>
          <w:p w14:paraId="5A549295" w14:textId="3E2DCF50" w:rsidR="00BF6752" w:rsidRPr="00EE1339" w:rsidRDefault="00FC2E3F" w:rsidP="00131BA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El proceso de Gestión Contractual ha documentado e identificado 5 riesgos</w:t>
            </w:r>
            <w:r w:rsidR="00AD3486" w:rsidRPr="00EE1339">
              <w:rPr>
                <w:rFonts w:ascii="Arial" w:eastAsia="Times New Roman" w:hAnsi="Arial" w:cs="Arial"/>
                <w:color w:val="000000"/>
                <w:sz w:val="16"/>
                <w:szCs w:val="16"/>
                <w:lang w:eastAsia="es-ES"/>
              </w:rPr>
              <w:t>, sobre los cuales s</w:t>
            </w:r>
            <w:r w:rsidRPr="00EE1339">
              <w:rPr>
                <w:rFonts w:ascii="Arial" w:eastAsia="Times New Roman" w:hAnsi="Arial" w:cs="Arial"/>
                <w:color w:val="000000"/>
                <w:sz w:val="16"/>
                <w:szCs w:val="16"/>
                <w:lang w:eastAsia="es-ES"/>
              </w:rPr>
              <w:t>e han ejecutado los controles definidos y se han gestionado las actividades de mitigación definidas por el proceso</w:t>
            </w:r>
            <w:r w:rsidR="00BF6752" w:rsidRPr="00EE1339">
              <w:rPr>
                <w:rFonts w:ascii="Arial" w:eastAsia="Times New Roman" w:hAnsi="Arial" w:cs="Arial"/>
                <w:color w:val="000000"/>
                <w:sz w:val="16"/>
                <w:szCs w:val="16"/>
                <w:lang w:eastAsia="es-ES"/>
              </w:rPr>
              <w:t>, Evidenciándoselos siguientes logros:</w:t>
            </w:r>
          </w:p>
          <w:p w14:paraId="77D72BE3" w14:textId="77777777" w:rsidR="00BF6752" w:rsidRPr="00EE1339" w:rsidRDefault="00BF6752" w:rsidP="00131BA6">
            <w:pPr>
              <w:widowControl/>
              <w:suppressAutoHyphens w:val="0"/>
              <w:spacing w:line="240" w:lineRule="auto"/>
              <w:jc w:val="both"/>
              <w:rPr>
                <w:rFonts w:ascii="Arial" w:eastAsia="Times New Roman" w:hAnsi="Arial" w:cs="Arial"/>
                <w:color w:val="000000"/>
                <w:sz w:val="16"/>
                <w:szCs w:val="16"/>
                <w:lang w:eastAsia="es-ES"/>
              </w:rPr>
            </w:pPr>
          </w:p>
          <w:p w14:paraId="543B8631" w14:textId="3594060A" w:rsidR="00BF6752" w:rsidRPr="00EE1339" w:rsidRDefault="00BF6752"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Asesoría y acompañamiento en la elaboración de estudios previos de acuerdo a las solicitudes de las  dependencias</w:t>
            </w:r>
            <w:r w:rsidR="00DB0EE6">
              <w:rPr>
                <w:rFonts w:ascii="Arial" w:eastAsia="Times New Roman" w:hAnsi="Arial" w:cs="Arial"/>
                <w:color w:val="000000"/>
                <w:sz w:val="16"/>
                <w:szCs w:val="16"/>
                <w:lang w:eastAsia="es-ES"/>
              </w:rPr>
              <w:t>.</w:t>
            </w:r>
          </w:p>
          <w:p w14:paraId="675BCD5C" w14:textId="0AB88155" w:rsidR="00BF6752" w:rsidRPr="00EE1339" w:rsidRDefault="00DB0EE6" w:rsidP="00B31681">
            <w:pPr>
              <w:pStyle w:val="Prrafodelista"/>
              <w:widowControl/>
              <w:numPr>
                <w:ilvl w:val="0"/>
                <w:numId w:val="30"/>
              </w:numPr>
              <w:suppressAutoHyphens w:val="0"/>
              <w:spacing w:line="240" w:lineRule="auto"/>
              <w:ind w:left="213" w:hanging="136"/>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Realización de</w:t>
            </w:r>
            <w:r w:rsidR="00BF6752" w:rsidRPr="00EE1339">
              <w:rPr>
                <w:rFonts w:ascii="Arial" w:eastAsia="Times New Roman" w:hAnsi="Arial" w:cs="Arial"/>
                <w:color w:val="000000"/>
                <w:sz w:val="16"/>
                <w:szCs w:val="16"/>
                <w:lang w:eastAsia="es-ES"/>
              </w:rPr>
              <w:t xml:space="preserve"> conversatorio</w:t>
            </w:r>
            <w:r>
              <w:rPr>
                <w:rFonts w:ascii="Arial" w:eastAsia="Times New Roman" w:hAnsi="Arial" w:cs="Arial"/>
                <w:color w:val="000000"/>
                <w:sz w:val="16"/>
                <w:szCs w:val="16"/>
                <w:lang w:eastAsia="es-ES"/>
              </w:rPr>
              <w:t>s</w:t>
            </w:r>
            <w:r w:rsidR="00BF6752" w:rsidRPr="00EE1339">
              <w:rPr>
                <w:rFonts w:ascii="Arial" w:eastAsia="Times New Roman" w:hAnsi="Arial" w:cs="Arial"/>
                <w:color w:val="000000"/>
                <w:sz w:val="16"/>
                <w:szCs w:val="16"/>
                <w:lang w:eastAsia="es-ES"/>
              </w:rPr>
              <w:t xml:space="preserve"> y/o capacitación </w:t>
            </w:r>
            <w:r>
              <w:rPr>
                <w:rFonts w:ascii="Arial" w:eastAsia="Times New Roman" w:hAnsi="Arial" w:cs="Arial"/>
                <w:color w:val="000000"/>
                <w:sz w:val="16"/>
                <w:szCs w:val="16"/>
                <w:lang w:eastAsia="es-ES"/>
              </w:rPr>
              <w:t xml:space="preserve">en temas relacionados a </w:t>
            </w:r>
            <w:r w:rsidRPr="00DB0EE6">
              <w:rPr>
                <w:rFonts w:ascii="Arial" w:eastAsia="Times New Roman" w:hAnsi="Arial" w:cs="Arial"/>
                <w:color w:val="000000"/>
                <w:sz w:val="16"/>
                <w:szCs w:val="16"/>
                <w:lang w:eastAsia="es-ES"/>
              </w:rPr>
              <w:t>en temas relacionados a las buenas prácticas en la supervisión  contractual</w:t>
            </w:r>
            <w:r>
              <w:rPr>
                <w:rFonts w:ascii="Arial" w:eastAsia="Times New Roman" w:hAnsi="Arial" w:cs="Arial"/>
                <w:color w:val="000000"/>
                <w:sz w:val="16"/>
                <w:szCs w:val="16"/>
                <w:lang w:eastAsia="es-ES"/>
              </w:rPr>
              <w:t>.</w:t>
            </w:r>
          </w:p>
          <w:p w14:paraId="06F8D7CA" w14:textId="77777777" w:rsidR="00CE001C" w:rsidRPr="00EE1339" w:rsidRDefault="00CE001C" w:rsidP="00B32204">
            <w:pPr>
              <w:widowControl/>
              <w:suppressAutoHyphens w:val="0"/>
              <w:spacing w:line="240" w:lineRule="auto"/>
              <w:jc w:val="both"/>
              <w:rPr>
                <w:rFonts w:ascii="Arial" w:eastAsia="Times New Roman" w:hAnsi="Arial" w:cs="Arial"/>
                <w:color w:val="000000"/>
                <w:sz w:val="16"/>
                <w:szCs w:val="16"/>
                <w:lang w:eastAsia="es-ES"/>
              </w:rPr>
            </w:pPr>
          </w:p>
          <w:p w14:paraId="46F244FE" w14:textId="75159EDF" w:rsidR="00CE001C" w:rsidRPr="00EE1339" w:rsidRDefault="00654F2C" w:rsidP="008A1279">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L</w:t>
            </w:r>
            <w:r w:rsidR="00CE001C" w:rsidRPr="00EE1339">
              <w:rPr>
                <w:rFonts w:ascii="Arial" w:eastAsia="Times New Roman" w:hAnsi="Arial" w:cs="Arial"/>
                <w:color w:val="000000"/>
                <w:sz w:val="16"/>
                <w:szCs w:val="16"/>
                <w:lang w:eastAsia="es-ES"/>
              </w:rPr>
              <w:t>os riesgos de corrupción</w:t>
            </w:r>
            <w:r w:rsidR="008835F9" w:rsidRPr="00EE1339">
              <w:rPr>
                <w:rFonts w:ascii="Arial" w:eastAsia="Times New Roman" w:hAnsi="Arial" w:cs="Arial"/>
                <w:color w:val="000000"/>
                <w:sz w:val="16"/>
                <w:szCs w:val="16"/>
                <w:lang w:eastAsia="es-ES"/>
              </w:rPr>
              <w:t xml:space="preserve"> no se han materializado y se evidencia ejecución de los controles definidos y gestión de las actividades de mitigación</w:t>
            </w:r>
            <w:r w:rsidRPr="00EE1339">
              <w:rPr>
                <w:rFonts w:ascii="Arial" w:eastAsia="Times New Roman" w:hAnsi="Arial" w:cs="Arial"/>
                <w:color w:val="000000"/>
                <w:sz w:val="16"/>
                <w:szCs w:val="16"/>
                <w:lang w:eastAsia="es-ES"/>
              </w:rPr>
              <w:t>.</w:t>
            </w:r>
          </w:p>
        </w:tc>
        <w:tc>
          <w:tcPr>
            <w:tcW w:w="3151" w:type="dxa"/>
            <w:tcBorders>
              <w:top w:val="nil"/>
              <w:left w:val="nil"/>
              <w:bottom w:val="single" w:sz="4" w:space="0" w:color="auto"/>
              <w:right w:val="single" w:sz="4" w:space="0" w:color="auto"/>
            </w:tcBorders>
            <w:shd w:val="clear" w:color="auto" w:fill="auto"/>
            <w:vAlign w:val="center"/>
            <w:hideMark/>
          </w:tcPr>
          <w:p w14:paraId="55A45917" w14:textId="77777777" w:rsidR="008835F9" w:rsidRPr="00EE1339" w:rsidRDefault="008835F9" w:rsidP="00932139">
            <w:pPr>
              <w:widowControl/>
              <w:suppressAutoHyphens w:val="0"/>
              <w:spacing w:line="240" w:lineRule="auto"/>
              <w:jc w:val="both"/>
              <w:rPr>
                <w:rFonts w:ascii="Arial" w:eastAsia="Times New Roman" w:hAnsi="Arial" w:cs="Arial"/>
                <w:color w:val="000000"/>
                <w:sz w:val="16"/>
                <w:szCs w:val="16"/>
                <w:lang w:eastAsia="es-ES"/>
              </w:rPr>
            </w:pPr>
          </w:p>
          <w:p w14:paraId="1CFAAC36" w14:textId="0E4786FB" w:rsidR="008835F9" w:rsidRPr="00EE1339" w:rsidRDefault="00DB0EE6" w:rsidP="00FE1C18">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Se recomienda revisar los riesgos y controles  definidos  con el ánimo de evidenciar posibles situaciones que no permitan el logro del objetivo del proceso. </w:t>
            </w:r>
          </w:p>
          <w:p w14:paraId="574DA142" w14:textId="6E89D920" w:rsidR="00FC2E3F" w:rsidRPr="00EE1339" w:rsidRDefault="00FC2E3F" w:rsidP="00FE1C18">
            <w:pPr>
              <w:widowControl/>
              <w:suppressAutoHyphens w:val="0"/>
              <w:spacing w:line="240" w:lineRule="auto"/>
              <w:jc w:val="both"/>
              <w:rPr>
                <w:rFonts w:ascii="Arial" w:eastAsia="Times New Roman" w:hAnsi="Arial" w:cs="Arial"/>
                <w:color w:val="000000"/>
                <w:sz w:val="16"/>
                <w:szCs w:val="16"/>
                <w:lang w:eastAsia="es-ES"/>
              </w:rPr>
            </w:pPr>
          </w:p>
        </w:tc>
      </w:tr>
      <w:tr w:rsidR="00FC2E3F" w:rsidRPr="00EE1339" w14:paraId="65D19BEC" w14:textId="77777777" w:rsidTr="00B31681">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4FB17A0D" w14:textId="79884CCB"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Gestión Documental</w:t>
            </w:r>
          </w:p>
        </w:tc>
        <w:tc>
          <w:tcPr>
            <w:tcW w:w="4319" w:type="dxa"/>
            <w:tcBorders>
              <w:top w:val="nil"/>
              <w:left w:val="nil"/>
              <w:bottom w:val="single" w:sz="4" w:space="0" w:color="auto"/>
              <w:right w:val="single" w:sz="4" w:space="0" w:color="auto"/>
            </w:tcBorders>
            <w:shd w:val="clear" w:color="auto" w:fill="auto"/>
            <w:vAlign w:val="center"/>
            <w:hideMark/>
          </w:tcPr>
          <w:p w14:paraId="4E52D776" w14:textId="726DE0C7" w:rsidR="00DB0EE6" w:rsidRDefault="00DB0EE6" w:rsidP="008A127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Con el monitoreo realizado se evidencia que no se han materializado los riesgos de gestión y Corrupción con los que el proceso tiene relación.</w:t>
            </w:r>
          </w:p>
          <w:p w14:paraId="0B7B25F2" w14:textId="77777777" w:rsidR="00DB0EE6" w:rsidRDefault="00DB0EE6" w:rsidP="008A1279">
            <w:pPr>
              <w:widowControl/>
              <w:suppressAutoHyphens w:val="0"/>
              <w:spacing w:line="240" w:lineRule="auto"/>
              <w:jc w:val="both"/>
              <w:rPr>
                <w:rFonts w:ascii="Arial" w:eastAsia="Times New Roman" w:hAnsi="Arial" w:cs="Arial"/>
                <w:color w:val="000000"/>
                <w:sz w:val="16"/>
                <w:szCs w:val="16"/>
                <w:lang w:eastAsia="es-ES"/>
              </w:rPr>
            </w:pPr>
          </w:p>
          <w:p w14:paraId="0E6B7B33" w14:textId="69851AA5" w:rsidR="00DB0EE6" w:rsidRDefault="00DB0EE6" w:rsidP="008A127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En cuanto a las actividades de mitigación y control se evidencian los siguientes avances:</w:t>
            </w:r>
          </w:p>
          <w:p w14:paraId="0E40A7E9" w14:textId="77777777" w:rsidR="00DB0EE6" w:rsidRDefault="00DB0EE6" w:rsidP="008A1279">
            <w:pPr>
              <w:widowControl/>
              <w:suppressAutoHyphens w:val="0"/>
              <w:spacing w:line="240" w:lineRule="auto"/>
              <w:jc w:val="both"/>
              <w:rPr>
                <w:rFonts w:ascii="Arial" w:eastAsia="Times New Roman" w:hAnsi="Arial" w:cs="Arial"/>
                <w:color w:val="000000"/>
                <w:sz w:val="16"/>
                <w:szCs w:val="16"/>
                <w:lang w:eastAsia="es-ES"/>
              </w:rPr>
            </w:pPr>
          </w:p>
          <w:p w14:paraId="21E2DBD3" w14:textId="77777777" w:rsidR="00FC2E3F" w:rsidRDefault="00DB0EE6" w:rsidP="008A1279">
            <w:pPr>
              <w:widowControl/>
              <w:suppressAutoHyphens w:val="0"/>
              <w:spacing w:line="240" w:lineRule="auto"/>
              <w:jc w:val="both"/>
              <w:rPr>
                <w:rFonts w:ascii="Arial" w:eastAsia="Times New Roman" w:hAnsi="Arial" w:cs="Arial"/>
                <w:color w:val="000000"/>
                <w:sz w:val="16"/>
                <w:szCs w:val="16"/>
                <w:lang w:eastAsia="es-ES"/>
              </w:rPr>
            </w:pPr>
            <w:r w:rsidRPr="00DB0EE6">
              <w:rPr>
                <w:rFonts w:ascii="Arial" w:eastAsia="Times New Roman" w:hAnsi="Arial" w:cs="Arial"/>
                <w:color w:val="000000"/>
                <w:sz w:val="16"/>
                <w:szCs w:val="16"/>
                <w:lang w:eastAsia="es-ES"/>
              </w:rPr>
              <w:t>Se solicitó al Archivo de Bogotá el monitoreo de aire, desde el área técnica determinaron que se debía realizar el saneamiento. Actividad realizada en el mes de octubre del 2019.</w:t>
            </w:r>
          </w:p>
          <w:p w14:paraId="1717EEEB" w14:textId="77777777" w:rsidR="00F22821" w:rsidRDefault="00F22821" w:rsidP="008A1279">
            <w:pPr>
              <w:widowControl/>
              <w:suppressAutoHyphens w:val="0"/>
              <w:spacing w:line="240" w:lineRule="auto"/>
              <w:jc w:val="both"/>
              <w:rPr>
                <w:rFonts w:ascii="Arial" w:eastAsia="Times New Roman" w:hAnsi="Arial" w:cs="Arial"/>
                <w:color w:val="000000"/>
                <w:sz w:val="16"/>
                <w:szCs w:val="16"/>
                <w:lang w:eastAsia="es-ES"/>
              </w:rPr>
            </w:pPr>
          </w:p>
          <w:p w14:paraId="00D21AAA" w14:textId="77777777" w:rsidR="00F22821" w:rsidRDefault="00F22821" w:rsidP="008A127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Pr="00F22821">
              <w:rPr>
                <w:rFonts w:ascii="Arial" w:eastAsia="Times New Roman" w:hAnsi="Arial" w:cs="Arial"/>
                <w:color w:val="000000"/>
                <w:sz w:val="16"/>
                <w:szCs w:val="16"/>
                <w:lang w:eastAsia="es-ES"/>
              </w:rPr>
              <w:t>e presenta reporte parcial del proceso de Saneamiento ambiental en el mes de diciembre del 2019.</w:t>
            </w:r>
          </w:p>
          <w:p w14:paraId="1755AE26" w14:textId="77777777" w:rsidR="00F22821" w:rsidRDefault="00F22821" w:rsidP="008A1279">
            <w:pPr>
              <w:widowControl/>
              <w:suppressAutoHyphens w:val="0"/>
              <w:spacing w:line="240" w:lineRule="auto"/>
              <w:jc w:val="both"/>
              <w:rPr>
                <w:rFonts w:ascii="Arial" w:eastAsia="Times New Roman" w:hAnsi="Arial" w:cs="Arial"/>
                <w:color w:val="000000"/>
                <w:sz w:val="16"/>
                <w:szCs w:val="16"/>
                <w:lang w:eastAsia="es-ES"/>
              </w:rPr>
            </w:pPr>
          </w:p>
          <w:p w14:paraId="66A422AE" w14:textId="0C0DCB45" w:rsidR="00F22821" w:rsidRPr="00EE1339" w:rsidRDefault="00F22821" w:rsidP="008A127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Pr="00F22821">
              <w:rPr>
                <w:rFonts w:ascii="Arial" w:eastAsia="Times New Roman" w:hAnsi="Arial" w:cs="Arial"/>
                <w:color w:val="000000"/>
                <w:sz w:val="16"/>
                <w:szCs w:val="16"/>
                <w:lang w:eastAsia="es-ES"/>
              </w:rPr>
              <w:t>e  adjudicó el contrato de compraventa  No 506-2019 con el contratista OFIARCHIVO S.A.S, para la compra de estantes  rodantes para las cajas de archivo,</w:t>
            </w:r>
          </w:p>
        </w:tc>
        <w:tc>
          <w:tcPr>
            <w:tcW w:w="3151" w:type="dxa"/>
            <w:tcBorders>
              <w:top w:val="nil"/>
              <w:left w:val="nil"/>
              <w:bottom w:val="single" w:sz="4" w:space="0" w:color="auto"/>
              <w:right w:val="single" w:sz="4" w:space="0" w:color="auto"/>
            </w:tcBorders>
            <w:shd w:val="clear" w:color="auto" w:fill="auto"/>
            <w:vAlign w:val="center"/>
            <w:hideMark/>
          </w:tcPr>
          <w:p w14:paraId="29B6277F" w14:textId="77777777" w:rsidR="00F22821" w:rsidRDefault="00F22821" w:rsidP="00F22821">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Se recomienda m</w:t>
            </w:r>
            <w:r w:rsidRPr="00F22821">
              <w:rPr>
                <w:rFonts w:ascii="Arial" w:eastAsia="Times New Roman" w:hAnsi="Arial" w:cs="Arial"/>
                <w:color w:val="000000"/>
                <w:sz w:val="16"/>
                <w:szCs w:val="16"/>
                <w:lang w:eastAsia="es-ES"/>
              </w:rPr>
              <w:t xml:space="preserve">ejorar la definición de los riesgos, analizar los controles y evaluar </w:t>
            </w:r>
            <w:r>
              <w:rPr>
                <w:rFonts w:ascii="Arial" w:eastAsia="Times New Roman" w:hAnsi="Arial" w:cs="Arial"/>
                <w:color w:val="000000"/>
                <w:sz w:val="16"/>
                <w:szCs w:val="16"/>
                <w:lang w:eastAsia="es-ES"/>
              </w:rPr>
              <w:t xml:space="preserve">la efectividad </w:t>
            </w:r>
            <w:r w:rsidRPr="00F22821">
              <w:rPr>
                <w:rFonts w:ascii="Arial" w:eastAsia="Times New Roman" w:hAnsi="Arial" w:cs="Arial"/>
                <w:color w:val="000000"/>
                <w:sz w:val="16"/>
                <w:szCs w:val="16"/>
                <w:lang w:eastAsia="es-ES"/>
              </w:rPr>
              <w:t>de las actividades de mitigación</w:t>
            </w:r>
            <w:r>
              <w:rPr>
                <w:rFonts w:ascii="Arial" w:eastAsia="Times New Roman" w:hAnsi="Arial" w:cs="Arial"/>
                <w:color w:val="000000"/>
                <w:sz w:val="16"/>
                <w:szCs w:val="16"/>
                <w:lang w:eastAsia="es-ES"/>
              </w:rPr>
              <w:t xml:space="preserve"> llevadas a cabo.</w:t>
            </w:r>
          </w:p>
          <w:p w14:paraId="03D491D1" w14:textId="77777777" w:rsidR="00F22821" w:rsidRDefault="00F22821" w:rsidP="00F22821">
            <w:pPr>
              <w:widowControl/>
              <w:suppressAutoHyphens w:val="0"/>
              <w:spacing w:line="240" w:lineRule="auto"/>
              <w:jc w:val="both"/>
              <w:rPr>
                <w:rFonts w:ascii="Arial" w:eastAsia="Times New Roman" w:hAnsi="Arial" w:cs="Arial"/>
                <w:color w:val="000000"/>
                <w:sz w:val="16"/>
                <w:szCs w:val="16"/>
                <w:lang w:eastAsia="es-ES"/>
              </w:rPr>
            </w:pPr>
          </w:p>
          <w:p w14:paraId="41D364DF" w14:textId="3BB4FF62" w:rsidR="00FB16DF" w:rsidRPr="00EE1339" w:rsidRDefault="00F22821" w:rsidP="00F22821">
            <w:pPr>
              <w:widowControl/>
              <w:suppressAutoHyphens w:val="0"/>
              <w:spacing w:line="240" w:lineRule="auto"/>
              <w:jc w:val="both"/>
              <w:rPr>
                <w:rFonts w:ascii="Arial" w:eastAsia="Times New Roman" w:hAnsi="Arial" w:cs="Arial"/>
                <w:color w:val="000000"/>
                <w:sz w:val="16"/>
                <w:szCs w:val="16"/>
                <w:lang w:eastAsia="es-ES"/>
              </w:rPr>
            </w:pPr>
            <w:r w:rsidRPr="00F22821">
              <w:rPr>
                <w:rFonts w:ascii="Arial" w:eastAsia="Times New Roman" w:hAnsi="Arial" w:cs="Arial"/>
                <w:color w:val="000000"/>
                <w:sz w:val="16"/>
                <w:szCs w:val="16"/>
                <w:lang w:eastAsia="es-ES"/>
              </w:rPr>
              <w:t>Es importante que se identifiquen nuevos riesgos referentes al deterioro de los documentos, ausencia de TRD o desactualización de las mismas.</w:t>
            </w:r>
          </w:p>
        </w:tc>
      </w:tr>
      <w:tr w:rsidR="00FC2E3F" w:rsidRPr="00EE1339" w14:paraId="1CF44CE1" w14:textId="77777777" w:rsidTr="001D35D3">
        <w:trPr>
          <w:trHeight w:val="826"/>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35578F91" w14:textId="4C160542"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Administración de Bienes e Infraestructura</w:t>
            </w:r>
          </w:p>
        </w:tc>
        <w:tc>
          <w:tcPr>
            <w:tcW w:w="4319" w:type="dxa"/>
            <w:tcBorders>
              <w:top w:val="nil"/>
              <w:left w:val="nil"/>
              <w:bottom w:val="single" w:sz="4" w:space="0" w:color="auto"/>
              <w:right w:val="single" w:sz="4" w:space="0" w:color="auto"/>
            </w:tcBorders>
            <w:shd w:val="clear" w:color="auto" w:fill="auto"/>
            <w:vAlign w:val="center"/>
            <w:hideMark/>
          </w:tcPr>
          <w:p w14:paraId="61EFA0EE" w14:textId="77777777" w:rsidR="00FC2E3F" w:rsidRPr="00EE1339" w:rsidRDefault="00FC2E3F" w:rsidP="00932109">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En cuanto al riesgo de corrupción "Incorrecta verificación, asignación o administración de los  activos fijos y elementos de consumo" se evidencia que el control de los activos se ha realizado a través del sistema SIIGO y las solicitudes de elementos se han realizado a través del sistema de Gestión Documental ORFEO.</w:t>
            </w:r>
          </w:p>
          <w:p w14:paraId="40FDA26D" w14:textId="77777777" w:rsidR="00BF6752" w:rsidRPr="00EE1339" w:rsidRDefault="00BF6752" w:rsidP="00932109">
            <w:pPr>
              <w:widowControl/>
              <w:suppressAutoHyphens w:val="0"/>
              <w:spacing w:line="240" w:lineRule="auto"/>
              <w:jc w:val="both"/>
              <w:rPr>
                <w:rFonts w:ascii="Arial" w:eastAsia="Times New Roman" w:hAnsi="Arial" w:cs="Arial"/>
                <w:color w:val="000000"/>
                <w:sz w:val="16"/>
                <w:szCs w:val="16"/>
                <w:lang w:eastAsia="es-ES"/>
              </w:rPr>
            </w:pPr>
          </w:p>
          <w:p w14:paraId="7B2B778D" w14:textId="058291E2" w:rsidR="00BF6752" w:rsidRPr="00EE1339" w:rsidRDefault="00BF6752" w:rsidP="00342B08">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De los riesgos de gestión se evidencia </w:t>
            </w:r>
            <w:r w:rsidR="00342B08">
              <w:rPr>
                <w:rFonts w:ascii="Arial" w:eastAsia="Times New Roman" w:hAnsi="Arial" w:cs="Arial"/>
                <w:color w:val="000000"/>
                <w:sz w:val="16"/>
                <w:szCs w:val="16"/>
                <w:lang w:eastAsia="es-ES"/>
              </w:rPr>
              <w:t xml:space="preserve"> que se llevó a cabo la </w:t>
            </w:r>
            <w:r w:rsidR="00342B08" w:rsidRPr="00342B08">
              <w:rPr>
                <w:rFonts w:ascii="Arial" w:eastAsia="Times New Roman" w:hAnsi="Arial" w:cs="Arial"/>
                <w:color w:val="000000"/>
                <w:sz w:val="16"/>
                <w:szCs w:val="16"/>
                <w:lang w:eastAsia="es-ES"/>
              </w:rPr>
              <w:t>implementación del canal de "Mesa de Ayuda Almacén"</w:t>
            </w:r>
            <w:r w:rsidR="00342B08">
              <w:rPr>
                <w:rFonts w:ascii="Arial" w:eastAsia="Times New Roman" w:hAnsi="Arial" w:cs="Arial"/>
                <w:color w:val="000000"/>
                <w:sz w:val="16"/>
                <w:szCs w:val="16"/>
                <w:lang w:eastAsia="es-ES"/>
              </w:rPr>
              <w:t xml:space="preserve"> y</w:t>
            </w:r>
            <w:r w:rsidR="00342B08" w:rsidRPr="00342B08">
              <w:rPr>
                <w:rFonts w:ascii="Arial" w:eastAsia="Times New Roman" w:hAnsi="Arial" w:cs="Arial"/>
                <w:color w:val="000000"/>
                <w:sz w:val="16"/>
                <w:szCs w:val="16"/>
                <w:lang w:eastAsia="es-ES"/>
              </w:rPr>
              <w:t xml:space="preserve"> se están recibiendo los requerimientos por éste concepto a través de éste meca</w:t>
            </w:r>
            <w:r w:rsidR="00342B08">
              <w:rPr>
                <w:rFonts w:ascii="Arial" w:eastAsia="Times New Roman" w:hAnsi="Arial" w:cs="Arial"/>
                <w:color w:val="000000"/>
                <w:sz w:val="16"/>
                <w:szCs w:val="16"/>
                <w:lang w:eastAsia="es-ES"/>
              </w:rPr>
              <w:t>nismo publicado en la intranet.</w:t>
            </w:r>
          </w:p>
        </w:tc>
        <w:tc>
          <w:tcPr>
            <w:tcW w:w="3151" w:type="dxa"/>
            <w:tcBorders>
              <w:top w:val="nil"/>
              <w:left w:val="nil"/>
              <w:bottom w:val="single" w:sz="4" w:space="0" w:color="auto"/>
              <w:right w:val="single" w:sz="4" w:space="0" w:color="auto"/>
            </w:tcBorders>
            <w:shd w:val="clear" w:color="auto" w:fill="auto"/>
            <w:vAlign w:val="center"/>
            <w:hideMark/>
          </w:tcPr>
          <w:p w14:paraId="3CC09701" w14:textId="41A0F4A8" w:rsidR="00C875C9" w:rsidRDefault="00342B08" w:rsidP="00932139">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Se debe r</w:t>
            </w:r>
            <w:r w:rsidRPr="00342B08">
              <w:rPr>
                <w:rFonts w:ascii="Arial" w:eastAsia="Times New Roman" w:hAnsi="Arial" w:cs="Arial"/>
                <w:color w:val="000000"/>
                <w:sz w:val="16"/>
                <w:szCs w:val="16"/>
                <w:lang w:eastAsia="es-ES"/>
              </w:rPr>
              <w:t>evisar los controles y las actividades de mitigación dado ya que es posible que no se evite, controle o elimine</w:t>
            </w:r>
            <w:r>
              <w:rPr>
                <w:rFonts w:ascii="Arial" w:eastAsia="Times New Roman" w:hAnsi="Arial" w:cs="Arial"/>
                <w:color w:val="000000"/>
                <w:sz w:val="16"/>
                <w:szCs w:val="16"/>
                <w:lang w:eastAsia="es-ES"/>
              </w:rPr>
              <w:t xml:space="preserve"> las causas que generan </w:t>
            </w:r>
            <w:r w:rsidRPr="00342B08">
              <w:rPr>
                <w:rFonts w:ascii="Arial" w:eastAsia="Times New Roman" w:hAnsi="Arial" w:cs="Arial"/>
                <w:color w:val="000000"/>
                <w:sz w:val="16"/>
                <w:szCs w:val="16"/>
                <w:lang w:eastAsia="es-ES"/>
              </w:rPr>
              <w:t xml:space="preserve"> riesgo</w:t>
            </w:r>
            <w:r>
              <w:rPr>
                <w:rFonts w:ascii="Arial" w:eastAsia="Times New Roman" w:hAnsi="Arial" w:cs="Arial"/>
                <w:color w:val="000000"/>
                <w:sz w:val="16"/>
                <w:szCs w:val="16"/>
                <w:lang w:eastAsia="es-ES"/>
              </w:rPr>
              <w:t xml:space="preserve"> en el proceso.</w:t>
            </w:r>
          </w:p>
          <w:p w14:paraId="7C68A9BE" w14:textId="77777777" w:rsidR="00342B08" w:rsidRPr="00EE1339" w:rsidRDefault="00342B08" w:rsidP="00932139">
            <w:pPr>
              <w:widowControl/>
              <w:suppressAutoHyphens w:val="0"/>
              <w:spacing w:line="240" w:lineRule="auto"/>
              <w:jc w:val="both"/>
              <w:rPr>
                <w:rFonts w:ascii="Arial" w:eastAsia="Times New Roman" w:hAnsi="Arial" w:cs="Arial"/>
                <w:color w:val="000000"/>
                <w:sz w:val="16"/>
                <w:szCs w:val="16"/>
                <w:lang w:eastAsia="es-ES"/>
              </w:rPr>
            </w:pPr>
          </w:p>
          <w:p w14:paraId="4D96602C" w14:textId="37D9382C" w:rsidR="00342B08" w:rsidRPr="00EE1339" w:rsidRDefault="0016633F">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w:t>
            </w:r>
            <w:r w:rsidR="00C875C9" w:rsidRPr="00EE1339">
              <w:rPr>
                <w:rFonts w:ascii="Arial" w:eastAsia="Times New Roman" w:hAnsi="Arial" w:cs="Arial"/>
                <w:color w:val="000000"/>
                <w:sz w:val="16"/>
                <w:szCs w:val="16"/>
                <w:lang w:eastAsia="es-ES"/>
              </w:rPr>
              <w:t xml:space="preserve">e recomienda </w:t>
            </w:r>
            <w:r w:rsidRPr="00EE1339">
              <w:rPr>
                <w:rFonts w:ascii="Arial" w:eastAsia="Times New Roman" w:hAnsi="Arial" w:cs="Arial"/>
                <w:color w:val="000000"/>
                <w:sz w:val="16"/>
                <w:szCs w:val="16"/>
                <w:lang w:eastAsia="es-ES"/>
              </w:rPr>
              <w:t xml:space="preserve">generar mecanismos que </w:t>
            </w:r>
            <w:r w:rsidR="0015553E" w:rsidRPr="00EE1339">
              <w:rPr>
                <w:rFonts w:ascii="Arial" w:eastAsia="Times New Roman" w:hAnsi="Arial" w:cs="Arial"/>
                <w:color w:val="000000"/>
                <w:sz w:val="16"/>
                <w:szCs w:val="16"/>
                <w:lang w:eastAsia="es-ES"/>
              </w:rPr>
              <w:t>garanticen</w:t>
            </w:r>
            <w:r w:rsidRPr="00EE1339">
              <w:rPr>
                <w:rFonts w:ascii="Arial" w:eastAsia="Times New Roman" w:hAnsi="Arial" w:cs="Arial"/>
                <w:color w:val="000000"/>
                <w:sz w:val="16"/>
                <w:szCs w:val="16"/>
                <w:lang w:eastAsia="es-ES"/>
              </w:rPr>
              <w:t xml:space="preserve"> </w:t>
            </w:r>
            <w:r w:rsidR="0015553E" w:rsidRPr="00EE1339">
              <w:rPr>
                <w:rFonts w:ascii="Arial" w:eastAsia="Times New Roman" w:hAnsi="Arial" w:cs="Arial"/>
                <w:color w:val="000000"/>
                <w:sz w:val="16"/>
                <w:szCs w:val="16"/>
                <w:lang w:eastAsia="es-ES"/>
              </w:rPr>
              <w:t xml:space="preserve">la </w:t>
            </w:r>
            <w:r w:rsidRPr="00EE1339">
              <w:rPr>
                <w:rFonts w:ascii="Arial" w:eastAsia="Times New Roman" w:hAnsi="Arial" w:cs="Arial"/>
                <w:color w:val="000000"/>
                <w:sz w:val="16"/>
                <w:szCs w:val="16"/>
                <w:lang w:eastAsia="es-ES"/>
              </w:rPr>
              <w:t>revisión de los elementos adquiridos por el IDPC</w:t>
            </w:r>
            <w:r w:rsidR="0015553E" w:rsidRPr="00EE1339">
              <w:rPr>
                <w:rFonts w:ascii="Arial" w:eastAsia="Times New Roman" w:hAnsi="Arial" w:cs="Arial"/>
                <w:color w:val="000000"/>
                <w:sz w:val="16"/>
                <w:szCs w:val="16"/>
                <w:lang w:eastAsia="es-ES"/>
              </w:rPr>
              <w:t>, a través de la de elaboración de procedimientos, guías o manuales.</w:t>
            </w:r>
          </w:p>
        </w:tc>
      </w:tr>
      <w:tr w:rsidR="00FC2E3F" w:rsidRPr="00EE1339" w14:paraId="471F7A9B" w14:textId="77777777" w:rsidTr="001D35D3">
        <w:trPr>
          <w:trHeight w:val="1425"/>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633625DC" w14:textId="77777777"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Gestión de Sistemas de Información y Tecnología</w:t>
            </w:r>
          </w:p>
        </w:tc>
        <w:tc>
          <w:tcPr>
            <w:tcW w:w="4319" w:type="dxa"/>
            <w:tcBorders>
              <w:top w:val="nil"/>
              <w:left w:val="nil"/>
              <w:bottom w:val="single" w:sz="4" w:space="0" w:color="auto"/>
              <w:right w:val="single" w:sz="4" w:space="0" w:color="auto"/>
            </w:tcBorders>
            <w:shd w:val="clear" w:color="auto" w:fill="auto"/>
            <w:vAlign w:val="center"/>
            <w:hideMark/>
          </w:tcPr>
          <w:p w14:paraId="7D234C23" w14:textId="77777777" w:rsidR="00342B08" w:rsidRDefault="0016633F" w:rsidP="00131BA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El proceso a identificado los riesgos de “Vulnerabilidad y perdida de información” y Daños, deterioro o pérdida de los recursos tecnológicos” los cuales no se han materializado.</w:t>
            </w:r>
          </w:p>
          <w:p w14:paraId="27E8D15D" w14:textId="77777777" w:rsidR="00342B08" w:rsidRDefault="00342B08" w:rsidP="00131BA6">
            <w:pPr>
              <w:widowControl/>
              <w:suppressAutoHyphens w:val="0"/>
              <w:spacing w:line="240" w:lineRule="auto"/>
              <w:jc w:val="both"/>
              <w:rPr>
                <w:rFonts w:ascii="Arial" w:eastAsia="Times New Roman" w:hAnsi="Arial" w:cs="Arial"/>
                <w:color w:val="000000"/>
                <w:sz w:val="16"/>
                <w:szCs w:val="16"/>
                <w:lang w:eastAsia="es-ES"/>
              </w:rPr>
            </w:pPr>
          </w:p>
          <w:p w14:paraId="68094572" w14:textId="77777777" w:rsidR="00342B08" w:rsidRDefault="00342B08" w:rsidP="00131BA6">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Durante el cuatrimestre evaluado el proceso genero tres informes con el fin de realizar seguimiento a las herramientas tecnológicas del IDPC.</w:t>
            </w:r>
          </w:p>
          <w:p w14:paraId="6E45CE9F" w14:textId="77777777" w:rsidR="00342B08" w:rsidRDefault="00342B08" w:rsidP="00131BA6">
            <w:pPr>
              <w:widowControl/>
              <w:suppressAutoHyphens w:val="0"/>
              <w:spacing w:line="240" w:lineRule="auto"/>
              <w:jc w:val="both"/>
              <w:rPr>
                <w:rFonts w:ascii="Arial" w:eastAsia="Times New Roman" w:hAnsi="Arial" w:cs="Arial"/>
                <w:color w:val="000000"/>
                <w:sz w:val="16"/>
                <w:szCs w:val="16"/>
                <w:lang w:eastAsia="es-ES"/>
              </w:rPr>
            </w:pPr>
          </w:p>
          <w:p w14:paraId="2F5745C2" w14:textId="3804D6A9" w:rsidR="00FC2E3F" w:rsidRPr="00EE1339" w:rsidRDefault="00342B08" w:rsidP="00131BA6">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S</w:t>
            </w:r>
            <w:r w:rsidRPr="00342B08">
              <w:rPr>
                <w:rFonts w:ascii="Arial" w:eastAsia="Times New Roman" w:hAnsi="Arial" w:cs="Arial"/>
                <w:color w:val="000000"/>
                <w:sz w:val="16"/>
                <w:szCs w:val="16"/>
                <w:lang w:eastAsia="es-ES"/>
              </w:rPr>
              <w:t>e informa que el  27 Septiembre 2019 se publica en la intranet la última versión del  procedimiento de BACK UP</w:t>
            </w:r>
            <w:r w:rsidR="0016633F" w:rsidRPr="00EE1339">
              <w:rPr>
                <w:rFonts w:ascii="Arial" w:eastAsia="Times New Roman" w:hAnsi="Arial" w:cs="Arial"/>
                <w:color w:val="000000"/>
                <w:sz w:val="16"/>
                <w:szCs w:val="16"/>
                <w:lang w:eastAsia="es-ES"/>
              </w:rPr>
              <w:t xml:space="preserve"> </w:t>
            </w:r>
          </w:p>
        </w:tc>
        <w:tc>
          <w:tcPr>
            <w:tcW w:w="3151" w:type="dxa"/>
            <w:tcBorders>
              <w:top w:val="nil"/>
              <w:left w:val="nil"/>
              <w:bottom w:val="single" w:sz="4" w:space="0" w:color="auto"/>
              <w:right w:val="single" w:sz="4" w:space="0" w:color="auto"/>
            </w:tcBorders>
            <w:shd w:val="clear" w:color="auto" w:fill="auto"/>
            <w:vAlign w:val="center"/>
            <w:hideMark/>
          </w:tcPr>
          <w:p w14:paraId="5F7F43F8" w14:textId="77777777" w:rsidR="00DD08CE" w:rsidRDefault="00DD08CE" w:rsidP="00932109">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Se recomienda aplicar los lineamientos definidos en el manual de Gestión de Riesgos del IDPC con el ánimo de identificar</w:t>
            </w:r>
            <w:r w:rsidR="009979EA">
              <w:rPr>
                <w:rFonts w:ascii="Arial" w:eastAsia="Times New Roman" w:hAnsi="Arial" w:cs="Arial"/>
                <w:color w:val="000000"/>
                <w:sz w:val="16"/>
                <w:szCs w:val="16"/>
                <w:lang w:eastAsia="es-ES"/>
              </w:rPr>
              <w:t xml:space="preserve"> y evaluar</w:t>
            </w:r>
            <w:r w:rsidRPr="00EE1339">
              <w:rPr>
                <w:rFonts w:ascii="Arial" w:eastAsia="Times New Roman" w:hAnsi="Arial" w:cs="Arial"/>
                <w:color w:val="000000"/>
                <w:sz w:val="16"/>
                <w:szCs w:val="16"/>
                <w:lang w:eastAsia="es-ES"/>
              </w:rPr>
              <w:t xml:space="preserve"> los riesgos de Seguridad en la información.  </w:t>
            </w:r>
          </w:p>
          <w:p w14:paraId="305F5E02" w14:textId="77777777" w:rsidR="009979EA" w:rsidRDefault="009979EA" w:rsidP="00932109">
            <w:pPr>
              <w:widowControl/>
              <w:suppressAutoHyphens w:val="0"/>
              <w:spacing w:line="240" w:lineRule="auto"/>
              <w:jc w:val="both"/>
              <w:rPr>
                <w:rFonts w:ascii="Arial" w:eastAsia="Times New Roman" w:hAnsi="Arial" w:cs="Arial"/>
                <w:color w:val="000000"/>
                <w:sz w:val="16"/>
                <w:szCs w:val="16"/>
                <w:lang w:eastAsia="es-ES"/>
              </w:rPr>
            </w:pPr>
          </w:p>
          <w:p w14:paraId="421BFF57" w14:textId="43B46A72" w:rsidR="009979EA" w:rsidRPr="00EE1339" w:rsidRDefault="009979EA" w:rsidP="009979EA">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8"/>
                <w:lang w:eastAsia="es-ES"/>
              </w:rPr>
              <w:t>Se debe m</w:t>
            </w:r>
            <w:r w:rsidRPr="009979EA">
              <w:rPr>
                <w:rFonts w:ascii="Arial" w:eastAsia="Times New Roman" w:hAnsi="Arial" w:cs="Arial"/>
                <w:color w:val="000000"/>
                <w:sz w:val="16"/>
                <w:szCs w:val="18"/>
                <w:lang w:eastAsia="es-ES"/>
              </w:rPr>
              <w:t>ejorar la redacción de los controles definidos,  tipo de tr</w:t>
            </w:r>
            <w:r>
              <w:rPr>
                <w:rFonts w:ascii="Arial" w:eastAsia="Times New Roman" w:hAnsi="Arial" w:cs="Arial"/>
                <w:color w:val="000000"/>
                <w:sz w:val="16"/>
                <w:szCs w:val="18"/>
                <w:lang w:eastAsia="es-ES"/>
              </w:rPr>
              <w:t>atamiento y acciones de mejora</w:t>
            </w:r>
            <w:r w:rsidRPr="009979EA">
              <w:rPr>
                <w:rFonts w:ascii="Arial" w:eastAsia="Times New Roman" w:hAnsi="Arial" w:cs="Arial"/>
                <w:color w:val="000000"/>
                <w:sz w:val="16"/>
                <w:szCs w:val="18"/>
                <w:lang w:eastAsia="es-ES"/>
              </w:rPr>
              <w:t xml:space="preserve"> ya que la probabilidad de ocurrencia puede ser probable y en caso de la materialización del riesgo su impacto podría ser mayor</w:t>
            </w:r>
            <w:r>
              <w:rPr>
                <w:rFonts w:ascii="Arial" w:eastAsia="Times New Roman" w:hAnsi="Arial" w:cs="Arial"/>
                <w:color w:val="000000"/>
                <w:sz w:val="16"/>
                <w:szCs w:val="18"/>
                <w:lang w:eastAsia="es-ES"/>
              </w:rPr>
              <w:t>.</w:t>
            </w:r>
          </w:p>
        </w:tc>
      </w:tr>
      <w:tr w:rsidR="00FC2E3F" w:rsidRPr="00EE1339" w14:paraId="00240379" w14:textId="77777777" w:rsidTr="001D35D3">
        <w:trPr>
          <w:trHeight w:val="135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1DAF6986" w14:textId="1B08E8C9"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Control Interno Disciplinario</w:t>
            </w:r>
          </w:p>
        </w:tc>
        <w:tc>
          <w:tcPr>
            <w:tcW w:w="4319" w:type="dxa"/>
            <w:tcBorders>
              <w:top w:val="nil"/>
              <w:left w:val="nil"/>
              <w:bottom w:val="single" w:sz="4" w:space="0" w:color="auto"/>
              <w:right w:val="single" w:sz="4" w:space="0" w:color="auto"/>
            </w:tcBorders>
            <w:shd w:val="clear" w:color="auto" w:fill="auto"/>
            <w:vAlign w:val="center"/>
            <w:hideMark/>
          </w:tcPr>
          <w:p w14:paraId="7B6462DE" w14:textId="77777777" w:rsidR="009979EA" w:rsidRDefault="00BF6752" w:rsidP="00BF6752">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De los riesgos de “Pérdida de piezas procesales o del expediente” y “Incumpliendo en las respuestas”, s</w:t>
            </w:r>
            <w:r w:rsidR="00FC2E3F" w:rsidRPr="00EE1339">
              <w:rPr>
                <w:rFonts w:ascii="Arial" w:eastAsia="Times New Roman" w:hAnsi="Arial" w:cs="Arial"/>
                <w:color w:val="000000"/>
                <w:sz w:val="16"/>
                <w:szCs w:val="16"/>
                <w:lang w:eastAsia="es-ES"/>
              </w:rPr>
              <w:t>e evidencia ejecución de las actividades de mitigación y ejecución de los controles definidos</w:t>
            </w:r>
            <w:r w:rsidRPr="00EE1339">
              <w:rPr>
                <w:rFonts w:ascii="Arial" w:eastAsia="Times New Roman" w:hAnsi="Arial" w:cs="Arial"/>
                <w:color w:val="000000"/>
                <w:sz w:val="16"/>
                <w:szCs w:val="16"/>
                <w:lang w:eastAsia="es-ES"/>
              </w:rPr>
              <w:t>, garantizando  custodia  de los expedientes y espacios adecuados y seguros para la custodia de la información.</w:t>
            </w:r>
          </w:p>
          <w:p w14:paraId="72708345" w14:textId="77777777" w:rsidR="009979EA" w:rsidRDefault="009979EA" w:rsidP="00BF6752">
            <w:pPr>
              <w:widowControl/>
              <w:suppressAutoHyphens w:val="0"/>
              <w:spacing w:line="240" w:lineRule="auto"/>
              <w:jc w:val="both"/>
              <w:rPr>
                <w:rFonts w:ascii="Arial" w:eastAsia="Times New Roman" w:hAnsi="Arial" w:cs="Arial"/>
                <w:color w:val="000000"/>
                <w:sz w:val="16"/>
                <w:szCs w:val="16"/>
                <w:lang w:eastAsia="es-ES"/>
              </w:rPr>
            </w:pPr>
          </w:p>
          <w:p w14:paraId="6D6FEBA8" w14:textId="43A4D233" w:rsidR="00FC2E3F" w:rsidRPr="00EE1339" w:rsidRDefault="009979EA" w:rsidP="009979EA">
            <w:pPr>
              <w:widowControl/>
              <w:suppressAutoHyphens w:val="0"/>
              <w:spacing w:line="240" w:lineRule="auto"/>
              <w:jc w:val="both"/>
              <w:rPr>
                <w:rFonts w:ascii="Arial" w:eastAsia="Times New Roman" w:hAnsi="Arial" w:cs="Arial"/>
                <w:color w:val="000000"/>
                <w:sz w:val="16"/>
                <w:szCs w:val="16"/>
                <w:lang w:eastAsia="es-ES"/>
              </w:rPr>
            </w:pPr>
            <w:r>
              <w:rPr>
                <w:rFonts w:ascii="Arial" w:eastAsia="Times New Roman" w:hAnsi="Arial" w:cs="Arial"/>
                <w:color w:val="000000"/>
                <w:sz w:val="16"/>
                <w:szCs w:val="16"/>
                <w:lang w:eastAsia="es-ES"/>
              </w:rPr>
              <w:t xml:space="preserve">A diciembre del 2019 </w:t>
            </w:r>
            <w:r w:rsidR="00BF6752" w:rsidRPr="00EE1339">
              <w:rPr>
                <w:rFonts w:ascii="Arial" w:eastAsia="Times New Roman" w:hAnsi="Arial" w:cs="Arial"/>
                <w:color w:val="000000"/>
                <w:sz w:val="16"/>
                <w:szCs w:val="16"/>
                <w:lang w:eastAsia="es-ES"/>
              </w:rPr>
              <w:t xml:space="preserve"> se cuenta con la base de datos actualizada con la gestión de cada uno de los procesos disciplinarios.</w:t>
            </w:r>
          </w:p>
        </w:tc>
        <w:tc>
          <w:tcPr>
            <w:tcW w:w="3151" w:type="dxa"/>
            <w:tcBorders>
              <w:top w:val="nil"/>
              <w:left w:val="nil"/>
              <w:bottom w:val="single" w:sz="4" w:space="0" w:color="auto"/>
              <w:right w:val="single" w:sz="4" w:space="0" w:color="auto"/>
            </w:tcBorders>
            <w:shd w:val="clear" w:color="auto" w:fill="auto"/>
            <w:vAlign w:val="center"/>
            <w:hideMark/>
          </w:tcPr>
          <w:p w14:paraId="79B06BC9" w14:textId="30F53F81" w:rsidR="00FC2E3F" w:rsidRPr="00EE1339" w:rsidRDefault="00095C69" w:rsidP="00B32204">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Se</w:t>
            </w:r>
            <w:r w:rsidR="00DD08CE" w:rsidRPr="00EE1339">
              <w:rPr>
                <w:rFonts w:ascii="Arial" w:eastAsia="Times New Roman" w:hAnsi="Arial" w:cs="Arial"/>
                <w:color w:val="000000"/>
                <w:sz w:val="16"/>
                <w:szCs w:val="16"/>
                <w:lang w:eastAsia="es-ES"/>
              </w:rPr>
              <w:t xml:space="preserve"> recomienda </w:t>
            </w:r>
            <w:r w:rsidR="00FC2E3F" w:rsidRPr="00EE1339">
              <w:rPr>
                <w:rFonts w:ascii="Arial" w:eastAsia="Times New Roman" w:hAnsi="Arial" w:cs="Arial"/>
                <w:color w:val="000000"/>
                <w:sz w:val="16"/>
                <w:szCs w:val="16"/>
                <w:lang w:eastAsia="es-ES"/>
              </w:rPr>
              <w:t>definir nuevos riesgos de gestión y corrupción</w:t>
            </w:r>
            <w:r w:rsidR="002840E7" w:rsidRPr="00EE1339">
              <w:rPr>
                <w:rFonts w:ascii="Arial" w:eastAsia="Times New Roman" w:hAnsi="Arial" w:cs="Arial"/>
                <w:color w:val="000000"/>
                <w:sz w:val="16"/>
                <w:szCs w:val="16"/>
                <w:lang w:eastAsia="es-ES"/>
              </w:rPr>
              <w:t xml:space="preserve"> dado que por el alcance del proceso se pueden presentar el riesgo de </w:t>
            </w:r>
            <w:r w:rsidR="00844E6D" w:rsidRPr="00EE1339">
              <w:rPr>
                <w:rFonts w:ascii="Arial" w:eastAsia="Times New Roman" w:hAnsi="Arial" w:cs="Arial"/>
                <w:color w:val="000000"/>
                <w:sz w:val="16"/>
                <w:szCs w:val="16"/>
                <w:lang w:eastAsia="es-ES"/>
              </w:rPr>
              <w:t xml:space="preserve"> vulneración de la información o incumplimiento en las etapas de los procesos ordinarios.</w:t>
            </w:r>
          </w:p>
        </w:tc>
      </w:tr>
      <w:tr w:rsidR="00FC2E3F" w:rsidRPr="00EE1339" w14:paraId="4A0E6CBA" w14:textId="77777777" w:rsidTr="00B31681">
        <w:trPr>
          <w:trHeight w:val="7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00A5D968" w14:textId="77777777"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Gestión Financiera</w:t>
            </w:r>
          </w:p>
        </w:tc>
        <w:tc>
          <w:tcPr>
            <w:tcW w:w="4319" w:type="dxa"/>
            <w:tcBorders>
              <w:top w:val="nil"/>
              <w:left w:val="nil"/>
              <w:bottom w:val="single" w:sz="4" w:space="0" w:color="auto"/>
              <w:right w:val="single" w:sz="4" w:space="0" w:color="auto"/>
            </w:tcBorders>
            <w:shd w:val="clear" w:color="auto" w:fill="auto"/>
            <w:vAlign w:val="center"/>
            <w:hideMark/>
          </w:tcPr>
          <w:p w14:paraId="4C269761" w14:textId="75B6872C" w:rsidR="00FC2E3F" w:rsidRDefault="00FC2E3F" w:rsidP="00131BA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Se evidencia aplicación de los controles definidos y ejecución de las actividades de mit</w:t>
            </w:r>
            <w:r w:rsidR="00095C69" w:rsidRPr="00EE1339">
              <w:rPr>
                <w:rFonts w:ascii="Arial" w:eastAsia="Times New Roman" w:hAnsi="Arial" w:cs="Arial"/>
                <w:color w:val="000000"/>
                <w:sz w:val="16"/>
                <w:szCs w:val="16"/>
                <w:lang w:eastAsia="es-ES"/>
              </w:rPr>
              <w:t>igación correspondientes a los</w:t>
            </w:r>
            <w:r w:rsidRPr="00EE1339">
              <w:rPr>
                <w:rFonts w:ascii="Arial" w:eastAsia="Times New Roman" w:hAnsi="Arial" w:cs="Arial"/>
                <w:color w:val="000000"/>
                <w:sz w:val="16"/>
                <w:szCs w:val="16"/>
                <w:lang w:eastAsia="es-ES"/>
              </w:rPr>
              <w:t xml:space="preserve"> riesgos de gestión definidos por el proceso</w:t>
            </w:r>
            <w:r w:rsidR="005D25A7" w:rsidRPr="00EE1339">
              <w:rPr>
                <w:rFonts w:ascii="Arial" w:eastAsia="Times New Roman" w:hAnsi="Arial" w:cs="Arial"/>
                <w:color w:val="000000"/>
                <w:sz w:val="16"/>
                <w:szCs w:val="16"/>
                <w:lang w:eastAsia="es-ES"/>
              </w:rPr>
              <w:t xml:space="preserve">, evidenciándose  lo siguiente: </w:t>
            </w:r>
          </w:p>
          <w:p w14:paraId="3A953325" w14:textId="77777777" w:rsidR="00EE1339" w:rsidRPr="00EE1339" w:rsidRDefault="00EE1339" w:rsidP="00131BA6">
            <w:pPr>
              <w:widowControl/>
              <w:suppressAutoHyphens w:val="0"/>
              <w:spacing w:line="240" w:lineRule="auto"/>
              <w:jc w:val="both"/>
              <w:rPr>
                <w:rFonts w:ascii="Arial" w:eastAsia="Times New Roman" w:hAnsi="Arial" w:cs="Arial"/>
                <w:color w:val="000000"/>
                <w:sz w:val="16"/>
                <w:szCs w:val="16"/>
                <w:lang w:eastAsia="es-ES"/>
              </w:rPr>
            </w:pPr>
          </w:p>
          <w:p w14:paraId="514D1509" w14:textId="1F9CF8DF" w:rsidR="00EE1339" w:rsidRDefault="005D25A7" w:rsidP="00EE1339">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Del riesgo </w:t>
            </w:r>
            <w:r w:rsidR="00EE1339">
              <w:rPr>
                <w:rFonts w:ascii="Arial" w:eastAsia="Times New Roman" w:hAnsi="Arial" w:cs="Arial"/>
                <w:color w:val="000000"/>
                <w:sz w:val="16"/>
                <w:szCs w:val="16"/>
                <w:lang w:eastAsia="es-ES"/>
              </w:rPr>
              <w:t>“</w:t>
            </w:r>
            <w:r w:rsidR="00095C69" w:rsidRPr="00EE1339">
              <w:rPr>
                <w:rFonts w:ascii="Arial" w:eastAsia="Times New Roman" w:hAnsi="Arial" w:cs="Arial"/>
                <w:color w:val="000000"/>
                <w:sz w:val="16"/>
                <w:szCs w:val="16"/>
                <w:lang w:eastAsia="es-ES"/>
              </w:rPr>
              <w:t>Incumplimiento   en el pago de  los bienes y servicios que requiere la entidad</w:t>
            </w:r>
            <w:r w:rsidR="00EE1339">
              <w:rPr>
                <w:rFonts w:ascii="Arial" w:eastAsia="Times New Roman" w:hAnsi="Arial" w:cs="Arial"/>
                <w:color w:val="000000"/>
                <w:sz w:val="16"/>
                <w:szCs w:val="16"/>
                <w:lang w:eastAsia="es-ES"/>
              </w:rPr>
              <w:t>”,</w:t>
            </w:r>
            <w:r w:rsidRPr="00EE1339">
              <w:rPr>
                <w:rFonts w:ascii="Arial" w:eastAsia="Times New Roman" w:hAnsi="Arial" w:cs="Arial"/>
                <w:color w:val="000000"/>
                <w:sz w:val="16"/>
                <w:szCs w:val="16"/>
                <w:lang w:eastAsia="es-ES"/>
              </w:rPr>
              <w:t xml:space="preserve"> </w:t>
            </w:r>
            <w:r w:rsidR="009979EA">
              <w:rPr>
                <w:rFonts w:ascii="Arial" w:eastAsia="Times New Roman" w:hAnsi="Arial" w:cs="Arial"/>
                <w:color w:val="000000"/>
                <w:sz w:val="16"/>
                <w:szCs w:val="16"/>
                <w:lang w:eastAsia="es-ES"/>
              </w:rPr>
              <w:t>Se realizó la actualización del p</w:t>
            </w:r>
            <w:r w:rsidR="009979EA" w:rsidRPr="009979EA">
              <w:rPr>
                <w:rFonts w:ascii="Arial" w:eastAsia="Times New Roman" w:hAnsi="Arial" w:cs="Arial"/>
                <w:color w:val="000000"/>
                <w:sz w:val="16"/>
                <w:szCs w:val="16"/>
                <w:lang w:eastAsia="es-ES"/>
              </w:rPr>
              <w:t>rocedimiento de Caja Menor y al Manual de Políticas Contables</w:t>
            </w:r>
            <w:r w:rsidR="009979EA">
              <w:rPr>
                <w:rFonts w:ascii="Arial" w:eastAsia="Times New Roman" w:hAnsi="Arial" w:cs="Arial"/>
                <w:color w:val="000000"/>
                <w:sz w:val="16"/>
                <w:szCs w:val="16"/>
                <w:lang w:eastAsia="es-ES"/>
              </w:rPr>
              <w:t>.</w:t>
            </w:r>
          </w:p>
          <w:p w14:paraId="745EE181" w14:textId="77777777" w:rsidR="00EE1339" w:rsidRDefault="00EE1339" w:rsidP="00EE1339">
            <w:pPr>
              <w:widowControl/>
              <w:suppressAutoHyphens w:val="0"/>
              <w:spacing w:line="240" w:lineRule="auto"/>
              <w:jc w:val="both"/>
              <w:rPr>
                <w:rFonts w:ascii="Arial" w:eastAsia="Times New Roman" w:hAnsi="Arial" w:cs="Arial"/>
                <w:color w:val="000000"/>
                <w:sz w:val="16"/>
                <w:szCs w:val="16"/>
                <w:lang w:eastAsia="es-ES"/>
              </w:rPr>
            </w:pPr>
          </w:p>
          <w:p w14:paraId="64589D7F" w14:textId="183B5D97" w:rsidR="00EE1339" w:rsidRDefault="005D25A7" w:rsidP="00EE1339">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Del riesgo “</w:t>
            </w:r>
            <w:r w:rsidR="00095C69" w:rsidRPr="00EE1339">
              <w:rPr>
                <w:rFonts w:ascii="Arial" w:eastAsia="Times New Roman" w:hAnsi="Arial" w:cs="Arial"/>
                <w:color w:val="000000"/>
                <w:sz w:val="16"/>
                <w:szCs w:val="16"/>
                <w:lang w:eastAsia="es-ES"/>
              </w:rPr>
              <w:t>Información financiera con inconsistencias</w:t>
            </w:r>
            <w:r w:rsidRPr="00EE1339">
              <w:rPr>
                <w:rFonts w:ascii="Arial" w:eastAsia="Times New Roman" w:hAnsi="Arial" w:cs="Arial"/>
                <w:color w:val="000000"/>
                <w:sz w:val="16"/>
                <w:szCs w:val="16"/>
                <w:lang w:eastAsia="es-ES"/>
              </w:rPr>
              <w:t xml:space="preserve">” </w:t>
            </w:r>
            <w:r w:rsidR="009979EA" w:rsidRPr="009979EA">
              <w:rPr>
                <w:rFonts w:ascii="Arial" w:eastAsia="Times New Roman" w:hAnsi="Arial" w:cs="Arial"/>
                <w:color w:val="000000"/>
                <w:sz w:val="16"/>
                <w:szCs w:val="16"/>
                <w:lang w:eastAsia="es-ES"/>
              </w:rPr>
              <w:t>se realizaron las conciliaciones de balance (CUD, nómina y bancos) y las conciliaciones de inventario, las conciliaciones corresponden a los meses de agosto, septiembre, octubre, noviembre, diciembre</w:t>
            </w:r>
            <w:r w:rsidR="009979EA">
              <w:rPr>
                <w:rFonts w:ascii="Arial" w:eastAsia="Times New Roman" w:hAnsi="Arial" w:cs="Arial"/>
                <w:color w:val="000000"/>
                <w:sz w:val="16"/>
                <w:szCs w:val="16"/>
                <w:lang w:eastAsia="es-ES"/>
              </w:rPr>
              <w:t>.</w:t>
            </w:r>
          </w:p>
          <w:p w14:paraId="09E5A7C8" w14:textId="77777777" w:rsidR="00EE1339" w:rsidRDefault="00EE1339" w:rsidP="00EE1339">
            <w:pPr>
              <w:widowControl/>
              <w:suppressAutoHyphens w:val="0"/>
              <w:spacing w:line="240" w:lineRule="auto"/>
              <w:jc w:val="both"/>
              <w:rPr>
                <w:rFonts w:ascii="Arial" w:eastAsia="Times New Roman" w:hAnsi="Arial" w:cs="Arial"/>
                <w:color w:val="000000"/>
                <w:sz w:val="16"/>
                <w:szCs w:val="16"/>
                <w:lang w:eastAsia="es-ES"/>
              </w:rPr>
            </w:pPr>
          </w:p>
          <w:p w14:paraId="66C44B68" w14:textId="77777777" w:rsidR="00EE1339" w:rsidRDefault="005D25A7" w:rsidP="00EE1339">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En cuanto al riesgo “</w:t>
            </w:r>
            <w:r w:rsidR="00095C69" w:rsidRPr="00EE1339">
              <w:rPr>
                <w:rFonts w:ascii="Arial" w:eastAsia="Times New Roman" w:hAnsi="Arial" w:cs="Arial"/>
                <w:color w:val="000000"/>
                <w:sz w:val="16"/>
                <w:szCs w:val="16"/>
                <w:lang w:eastAsia="es-ES"/>
              </w:rPr>
              <w:t>Incumplimiento en los parámetros establecidos en el SIG-MIPG</w:t>
            </w:r>
            <w:r w:rsidRPr="00EE1339">
              <w:rPr>
                <w:rFonts w:ascii="Arial" w:eastAsia="Times New Roman" w:hAnsi="Arial" w:cs="Arial"/>
                <w:color w:val="000000"/>
                <w:sz w:val="16"/>
                <w:szCs w:val="16"/>
                <w:lang w:eastAsia="es-ES"/>
              </w:rPr>
              <w:t>”</w:t>
            </w:r>
            <w:r w:rsidRPr="009979EA">
              <w:rPr>
                <w:rFonts w:ascii="Arial" w:eastAsia="Times New Roman" w:hAnsi="Arial" w:cs="Arial"/>
                <w:color w:val="000000"/>
                <w:sz w:val="16"/>
                <w:szCs w:val="16"/>
                <w:lang w:eastAsia="es-ES"/>
              </w:rPr>
              <w:t xml:space="preserve"> </w:t>
            </w:r>
            <w:r w:rsidRPr="00EE1339">
              <w:rPr>
                <w:rFonts w:ascii="Arial" w:eastAsia="Times New Roman" w:hAnsi="Arial" w:cs="Arial"/>
                <w:color w:val="000000"/>
                <w:sz w:val="16"/>
                <w:szCs w:val="16"/>
                <w:lang w:eastAsia="es-ES"/>
              </w:rPr>
              <w:t>se actualizaron los procedimientos y formatos  del proceso de  Gestión Financiera</w:t>
            </w:r>
            <w:r w:rsidR="00EE1339">
              <w:rPr>
                <w:rFonts w:ascii="Arial" w:eastAsia="Times New Roman" w:hAnsi="Arial" w:cs="Arial"/>
                <w:color w:val="000000"/>
                <w:sz w:val="16"/>
                <w:szCs w:val="16"/>
                <w:lang w:eastAsia="es-ES"/>
              </w:rPr>
              <w:t>.</w:t>
            </w:r>
          </w:p>
          <w:p w14:paraId="40173CEA" w14:textId="77777777" w:rsidR="00EE1339" w:rsidRDefault="00EE1339" w:rsidP="00EE1339">
            <w:pPr>
              <w:widowControl/>
              <w:suppressAutoHyphens w:val="0"/>
              <w:spacing w:line="240" w:lineRule="auto"/>
              <w:jc w:val="both"/>
              <w:rPr>
                <w:rFonts w:ascii="Arial" w:eastAsia="Times New Roman" w:hAnsi="Arial" w:cs="Arial"/>
                <w:color w:val="000000"/>
                <w:sz w:val="16"/>
                <w:szCs w:val="16"/>
                <w:lang w:eastAsia="es-ES"/>
              </w:rPr>
            </w:pPr>
          </w:p>
          <w:p w14:paraId="43346D6E" w14:textId="0E2E8795" w:rsidR="00095C69" w:rsidRDefault="00EE1339" w:rsidP="009979EA">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D</w:t>
            </w:r>
            <w:r w:rsidR="00303F96" w:rsidRPr="00EE1339">
              <w:rPr>
                <w:rFonts w:ascii="Arial" w:eastAsia="Times New Roman" w:hAnsi="Arial" w:cs="Arial"/>
                <w:color w:val="000000"/>
                <w:sz w:val="16"/>
                <w:szCs w:val="16"/>
                <w:lang w:eastAsia="es-ES"/>
              </w:rPr>
              <w:t>el riesgo  “</w:t>
            </w:r>
            <w:r w:rsidR="00095C69" w:rsidRPr="00EE1339">
              <w:rPr>
                <w:rFonts w:ascii="Arial" w:eastAsia="Times New Roman" w:hAnsi="Arial" w:cs="Arial"/>
                <w:color w:val="000000"/>
                <w:sz w:val="16"/>
                <w:szCs w:val="16"/>
                <w:lang w:eastAsia="es-ES"/>
              </w:rPr>
              <w:t>Diferencia entre los reportes generados y los subidos a la plataforma</w:t>
            </w:r>
            <w:r w:rsidR="00303F96" w:rsidRPr="00EE1339">
              <w:rPr>
                <w:rFonts w:ascii="Arial" w:eastAsia="Times New Roman" w:hAnsi="Arial" w:cs="Arial"/>
                <w:color w:val="000000"/>
                <w:sz w:val="16"/>
                <w:szCs w:val="16"/>
                <w:lang w:eastAsia="es-ES"/>
              </w:rPr>
              <w:t xml:space="preserve">”, </w:t>
            </w:r>
            <w:r w:rsidR="009979EA">
              <w:rPr>
                <w:rFonts w:ascii="Arial" w:eastAsia="Times New Roman" w:hAnsi="Arial" w:cs="Arial"/>
                <w:color w:val="000000"/>
                <w:sz w:val="16"/>
                <w:szCs w:val="16"/>
                <w:lang w:eastAsia="es-ES"/>
              </w:rPr>
              <w:t>s</w:t>
            </w:r>
            <w:r w:rsidR="009979EA" w:rsidRPr="009979EA">
              <w:rPr>
                <w:rFonts w:ascii="Arial" w:eastAsia="Times New Roman" w:hAnsi="Arial" w:cs="Arial"/>
                <w:color w:val="000000"/>
                <w:sz w:val="16"/>
                <w:szCs w:val="16"/>
                <w:lang w:eastAsia="es-ES"/>
              </w:rPr>
              <w:t xml:space="preserve">e realizó control en el cargue de la información de la plataforma </w:t>
            </w:r>
            <w:proofErr w:type="spellStart"/>
            <w:r w:rsidR="009979EA" w:rsidRPr="009979EA">
              <w:rPr>
                <w:rFonts w:ascii="Arial" w:eastAsia="Times New Roman" w:hAnsi="Arial" w:cs="Arial"/>
                <w:color w:val="000000"/>
                <w:sz w:val="16"/>
                <w:szCs w:val="16"/>
                <w:lang w:eastAsia="es-ES"/>
              </w:rPr>
              <w:t>Sivicof</w:t>
            </w:r>
            <w:proofErr w:type="spellEnd"/>
            <w:r w:rsidR="009979EA" w:rsidRPr="009979EA">
              <w:rPr>
                <w:rFonts w:ascii="Arial" w:eastAsia="Times New Roman" w:hAnsi="Arial" w:cs="Arial"/>
                <w:color w:val="000000"/>
                <w:sz w:val="16"/>
                <w:szCs w:val="16"/>
                <w:lang w:eastAsia="es-ES"/>
              </w:rPr>
              <w:t xml:space="preserve">  para los mes de septiembre, octubre y noviembre del 2019</w:t>
            </w:r>
            <w:r w:rsidR="009979EA">
              <w:rPr>
                <w:rFonts w:ascii="Arial" w:eastAsia="Times New Roman" w:hAnsi="Arial" w:cs="Arial"/>
                <w:color w:val="000000"/>
                <w:sz w:val="16"/>
                <w:szCs w:val="16"/>
                <w:lang w:eastAsia="es-ES"/>
              </w:rPr>
              <w:t>.</w:t>
            </w:r>
          </w:p>
          <w:p w14:paraId="7C323C64" w14:textId="77777777" w:rsidR="009979EA" w:rsidRPr="00EE1339" w:rsidRDefault="009979EA" w:rsidP="00FE1C18">
            <w:pPr>
              <w:pStyle w:val="Prrafodelista"/>
              <w:widowControl/>
              <w:suppressAutoHyphens w:val="0"/>
              <w:spacing w:line="240" w:lineRule="auto"/>
              <w:jc w:val="both"/>
              <w:rPr>
                <w:rFonts w:ascii="Arial" w:eastAsia="Times New Roman" w:hAnsi="Arial" w:cs="Arial"/>
                <w:color w:val="000000"/>
                <w:sz w:val="16"/>
                <w:szCs w:val="16"/>
                <w:lang w:eastAsia="es-ES"/>
              </w:rPr>
            </w:pPr>
          </w:p>
          <w:p w14:paraId="759210D8" w14:textId="3854C1F4" w:rsidR="00095C69" w:rsidRPr="00EE1339" w:rsidRDefault="00095C69" w:rsidP="00FE1C18">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Se evidencia que los riesgos nombrados no se han materializado </w:t>
            </w:r>
          </w:p>
        </w:tc>
        <w:tc>
          <w:tcPr>
            <w:tcW w:w="3151" w:type="dxa"/>
            <w:tcBorders>
              <w:top w:val="nil"/>
              <w:left w:val="nil"/>
              <w:bottom w:val="single" w:sz="4" w:space="0" w:color="auto"/>
              <w:right w:val="single" w:sz="4" w:space="0" w:color="auto"/>
            </w:tcBorders>
            <w:shd w:val="clear" w:color="auto" w:fill="auto"/>
            <w:vAlign w:val="center"/>
            <w:hideMark/>
          </w:tcPr>
          <w:p w14:paraId="7F9D212B" w14:textId="0C3937A2" w:rsidR="00FC2E3F" w:rsidRPr="00EE1339" w:rsidRDefault="009979EA" w:rsidP="009979EA">
            <w:pPr>
              <w:widowControl/>
              <w:suppressAutoHyphens w:val="0"/>
              <w:spacing w:line="240" w:lineRule="auto"/>
              <w:jc w:val="both"/>
              <w:rPr>
                <w:rFonts w:ascii="Arial" w:eastAsia="Times New Roman" w:hAnsi="Arial" w:cs="Arial"/>
                <w:color w:val="000000"/>
                <w:sz w:val="16"/>
                <w:szCs w:val="16"/>
                <w:lang w:eastAsia="es-ES"/>
              </w:rPr>
            </w:pPr>
            <w:r w:rsidRPr="009979EA">
              <w:rPr>
                <w:rFonts w:ascii="Arial" w:eastAsia="Times New Roman" w:hAnsi="Arial" w:cs="Arial"/>
                <w:color w:val="000000"/>
                <w:sz w:val="16"/>
                <w:szCs w:val="16"/>
                <w:lang w:eastAsia="es-ES"/>
              </w:rPr>
              <w:t>Se recomienda mejorar la redacción de los riesgos, ajustar la evaluación del riesgo residual  y revisar los controles de los mismos; ya que la probabilidad de ocurrencia de los riesgos definidos  puede ser más alta  y en caso de la materialización de alguno de los riesgos su impacto podría ser mayor o catastrófico, adicionalmente, es posible que no se evite, controle o elimine las causas</w:t>
            </w:r>
            <w:r>
              <w:rPr>
                <w:rFonts w:ascii="Arial" w:eastAsia="Times New Roman" w:hAnsi="Arial" w:cs="Arial"/>
                <w:color w:val="000000"/>
                <w:sz w:val="16"/>
                <w:szCs w:val="16"/>
                <w:lang w:eastAsia="es-ES"/>
              </w:rPr>
              <w:t xml:space="preserve"> que generan los </w:t>
            </w:r>
            <w:r w:rsidRPr="009979EA">
              <w:rPr>
                <w:rFonts w:ascii="Arial" w:eastAsia="Times New Roman" w:hAnsi="Arial" w:cs="Arial"/>
                <w:color w:val="000000"/>
                <w:sz w:val="16"/>
                <w:szCs w:val="16"/>
                <w:lang w:eastAsia="es-ES"/>
              </w:rPr>
              <w:t>riesgo</w:t>
            </w:r>
            <w:r>
              <w:rPr>
                <w:rFonts w:ascii="Arial" w:eastAsia="Times New Roman" w:hAnsi="Arial" w:cs="Arial"/>
                <w:color w:val="000000"/>
                <w:sz w:val="16"/>
                <w:szCs w:val="16"/>
                <w:lang w:eastAsia="es-ES"/>
              </w:rPr>
              <w:t>s identificados</w:t>
            </w:r>
            <w:r w:rsidRPr="009979EA">
              <w:rPr>
                <w:rFonts w:ascii="Arial" w:eastAsia="Times New Roman" w:hAnsi="Arial" w:cs="Arial"/>
                <w:color w:val="000000"/>
                <w:sz w:val="16"/>
                <w:szCs w:val="16"/>
                <w:lang w:eastAsia="es-ES"/>
              </w:rPr>
              <w:t>.</w:t>
            </w:r>
          </w:p>
        </w:tc>
      </w:tr>
      <w:tr w:rsidR="00FC2E3F" w:rsidRPr="00EE1339" w14:paraId="3A486FD5" w14:textId="77777777" w:rsidTr="001D35D3">
        <w:trPr>
          <w:trHeight w:val="120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266DEA06" w14:textId="138DC04E" w:rsidR="00FC2E3F" w:rsidRPr="00EE1339" w:rsidRDefault="00FC2E3F" w:rsidP="005B4190">
            <w:pPr>
              <w:widowControl/>
              <w:suppressAutoHyphens w:val="0"/>
              <w:spacing w:line="240" w:lineRule="auto"/>
              <w:jc w:val="center"/>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Seguimiento y Evaluación</w:t>
            </w:r>
          </w:p>
        </w:tc>
        <w:tc>
          <w:tcPr>
            <w:tcW w:w="4319" w:type="dxa"/>
            <w:tcBorders>
              <w:top w:val="nil"/>
              <w:left w:val="nil"/>
              <w:bottom w:val="single" w:sz="4" w:space="0" w:color="auto"/>
              <w:right w:val="single" w:sz="4" w:space="0" w:color="auto"/>
            </w:tcBorders>
            <w:shd w:val="clear" w:color="auto" w:fill="auto"/>
            <w:vAlign w:val="center"/>
            <w:hideMark/>
          </w:tcPr>
          <w:p w14:paraId="61B7A279" w14:textId="089EE909" w:rsidR="00FC2E3F" w:rsidRPr="00EE1339" w:rsidRDefault="00FC2E3F" w:rsidP="00131BA6">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El proceso ha realizado monitoreo a los dos riesgos de gestión y al riesgo de corrupción; se evidencia que </w:t>
            </w:r>
            <w:r w:rsidR="00095C69" w:rsidRPr="00EE1339">
              <w:rPr>
                <w:rFonts w:ascii="Arial" w:eastAsia="Times New Roman" w:hAnsi="Arial" w:cs="Arial"/>
                <w:color w:val="000000"/>
                <w:sz w:val="16"/>
                <w:szCs w:val="16"/>
                <w:lang w:eastAsia="es-ES"/>
              </w:rPr>
              <w:t>se ha actualizado</w:t>
            </w:r>
            <w:r w:rsidRPr="00EE1339">
              <w:rPr>
                <w:rFonts w:ascii="Arial" w:eastAsia="Times New Roman" w:hAnsi="Arial" w:cs="Arial"/>
                <w:color w:val="000000"/>
                <w:sz w:val="16"/>
                <w:szCs w:val="16"/>
                <w:lang w:eastAsia="es-ES"/>
              </w:rPr>
              <w:t xml:space="preserve"> la documentación </w:t>
            </w:r>
            <w:r w:rsidR="00095C69" w:rsidRPr="00EE1339">
              <w:rPr>
                <w:rFonts w:ascii="Arial" w:eastAsia="Times New Roman" w:hAnsi="Arial" w:cs="Arial"/>
                <w:color w:val="000000"/>
                <w:sz w:val="16"/>
                <w:szCs w:val="16"/>
                <w:lang w:eastAsia="es-ES"/>
              </w:rPr>
              <w:t xml:space="preserve">del proceso </w:t>
            </w:r>
            <w:r w:rsidRPr="00EE1339">
              <w:rPr>
                <w:rFonts w:ascii="Arial" w:eastAsia="Times New Roman" w:hAnsi="Arial" w:cs="Arial"/>
                <w:color w:val="000000"/>
                <w:sz w:val="16"/>
                <w:szCs w:val="16"/>
                <w:lang w:eastAsia="es-ES"/>
              </w:rPr>
              <w:t>y se ha dado cumplimiento a lo definido en el Plan Anual de Auditorías</w:t>
            </w:r>
          </w:p>
        </w:tc>
        <w:tc>
          <w:tcPr>
            <w:tcW w:w="3151" w:type="dxa"/>
            <w:tcBorders>
              <w:top w:val="nil"/>
              <w:left w:val="nil"/>
              <w:bottom w:val="single" w:sz="4" w:space="0" w:color="auto"/>
              <w:right w:val="single" w:sz="4" w:space="0" w:color="auto"/>
            </w:tcBorders>
            <w:shd w:val="clear" w:color="auto" w:fill="auto"/>
            <w:vAlign w:val="center"/>
            <w:hideMark/>
          </w:tcPr>
          <w:p w14:paraId="5CE0E1EF" w14:textId="186D188D" w:rsidR="00FC2E3F" w:rsidRPr="00EE1339" w:rsidRDefault="00095C69" w:rsidP="00B32204">
            <w:pPr>
              <w:widowControl/>
              <w:suppressAutoHyphens w:val="0"/>
              <w:spacing w:line="240" w:lineRule="auto"/>
              <w:jc w:val="both"/>
              <w:rPr>
                <w:rFonts w:ascii="Arial" w:eastAsia="Times New Roman" w:hAnsi="Arial" w:cs="Arial"/>
                <w:color w:val="000000"/>
                <w:sz w:val="16"/>
                <w:szCs w:val="16"/>
                <w:lang w:eastAsia="es-ES"/>
              </w:rPr>
            </w:pPr>
            <w:r w:rsidRPr="00EE1339">
              <w:rPr>
                <w:rFonts w:ascii="Arial" w:eastAsia="Times New Roman" w:hAnsi="Arial" w:cs="Arial"/>
                <w:color w:val="000000"/>
                <w:sz w:val="16"/>
                <w:szCs w:val="16"/>
                <w:lang w:eastAsia="es-ES"/>
              </w:rPr>
              <w:t xml:space="preserve">Se recomienda aplicar los lineamientos del Manual de Gestión del Riesgos del IDPC con el ánimo de complementar o ajustar los riesgos identificados hasta el momento. </w:t>
            </w:r>
          </w:p>
        </w:tc>
      </w:tr>
    </w:tbl>
    <w:p w14:paraId="59B81FE7" w14:textId="77777777" w:rsidR="00782980" w:rsidRDefault="00782980" w:rsidP="008E0F4B">
      <w:pPr>
        <w:pStyle w:val="m7007535857312232601gmail-msolistparagraph"/>
        <w:shd w:val="clear" w:color="auto" w:fill="FFFFFF"/>
        <w:spacing w:before="0" w:beforeAutospacing="0" w:after="0" w:afterAutospacing="0"/>
        <w:ind w:left="426"/>
        <w:jc w:val="both"/>
        <w:rPr>
          <w:rFonts w:ascii="Arial" w:hAnsi="Arial" w:cs="Arial"/>
          <w:b/>
          <w:bCs/>
          <w:sz w:val="28"/>
          <w:szCs w:val="44"/>
        </w:rPr>
      </w:pPr>
    </w:p>
    <w:p w14:paraId="34C825B4" w14:textId="494CEB91" w:rsidR="008E0F4B" w:rsidRDefault="009979EA" w:rsidP="008E0F4B">
      <w:pPr>
        <w:spacing w:line="240" w:lineRule="auto"/>
        <w:jc w:val="both"/>
        <w:rPr>
          <w:rFonts w:ascii="Arial" w:hAnsi="Arial" w:cs="Arial"/>
          <w:sz w:val="20"/>
          <w:szCs w:val="20"/>
        </w:rPr>
      </w:pPr>
      <w:r>
        <w:rPr>
          <w:rFonts w:ascii="Arial" w:hAnsi="Arial" w:cs="Arial"/>
          <w:sz w:val="20"/>
          <w:szCs w:val="20"/>
        </w:rPr>
        <w:t>Con el ánimo de efectuar seguimiento a los riesgos del IDPC se recomienda a los procesos del IDPC</w:t>
      </w:r>
      <w:r w:rsidR="00CD6FB9">
        <w:rPr>
          <w:rFonts w:ascii="Arial" w:hAnsi="Arial" w:cs="Arial"/>
          <w:sz w:val="20"/>
          <w:szCs w:val="20"/>
        </w:rPr>
        <w:t xml:space="preserve"> realizar </w:t>
      </w:r>
      <w:r w:rsidR="008E0F4B">
        <w:rPr>
          <w:rFonts w:ascii="Arial" w:hAnsi="Arial" w:cs="Arial"/>
          <w:sz w:val="20"/>
          <w:szCs w:val="20"/>
        </w:rPr>
        <w:t>el reporte cualitativo para los controles existentes y las acciones de mitigación de manera separada.</w:t>
      </w:r>
    </w:p>
    <w:p w14:paraId="26F5E308" w14:textId="77777777" w:rsidR="00CD6FB9" w:rsidRDefault="00CD6FB9" w:rsidP="008E0F4B">
      <w:pPr>
        <w:spacing w:line="240" w:lineRule="auto"/>
        <w:jc w:val="both"/>
        <w:rPr>
          <w:rFonts w:ascii="Arial" w:hAnsi="Arial" w:cs="Arial"/>
          <w:sz w:val="20"/>
          <w:szCs w:val="20"/>
        </w:rPr>
      </w:pPr>
    </w:p>
    <w:p w14:paraId="42137D14" w14:textId="770709F0" w:rsidR="00CD6FB9" w:rsidRDefault="00CD6FB9" w:rsidP="008E0F4B">
      <w:pPr>
        <w:spacing w:line="240" w:lineRule="auto"/>
        <w:jc w:val="both"/>
        <w:rPr>
          <w:rFonts w:ascii="Arial" w:hAnsi="Arial" w:cs="Arial"/>
          <w:sz w:val="20"/>
          <w:szCs w:val="20"/>
        </w:rPr>
      </w:pPr>
      <w:r>
        <w:rPr>
          <w:rFonts w:ascii="Arial" w:hAnsi="Arial" w:cs="Arial"/>
          <w:sz w:val="20"/>
          <w:szCs w:val="20"/>
        </w:rPr>
        <w:t>Se recomienda aplicar los lineamientos definidos en el manual de Gestión de riesgos y el procedimiento de Gestión de Riesgos para la identificación de los riesgos a trabajar en la vigencia 2020.</w:t>
      </w:r>
    </w:p>
    <w:p w14:paraId="752A9059" w14:textId="77777777" w:rsidR="008A1279" w:rsidRDefault="008A1279" w:rsidP="008E0F4B">
      <w:pPr>
        <w:spacing w:line="240" w:lineRule="auto"/>
        <w:jc w:val="both"/>
        <w:rPr>
          <w:rFonts w:ascii="Arial" w:hAnsi="Arial" w:cs="Arial"/>
          <w:sz w:val="20"/>
          <w:szCs w:val="20"/>
        </w:rPr>
      </w:pPr>
    </w:p>
    <w:p w14:paraId="7D5B3444" w14:textId="77777777" w:rsidR="008E0F4B" w:rsidRDefault="008E0F4B" w:rsidP="008E0F4B">
      <w:pPr>
        <w:pStyle w:val="m7007535857312232601gmail-msolistparagraph"/>
        <w:shd w:val="clear" w:color="auto" w:fill="FFFFFF"/>
        <w:spacing w:before="0" w:beforeAutospacing="0" w:after="0" w:afterAutospacing="0"/>
        <w:ind w:left="426"/>
        <w:jc w:val="both"/>
        <w:rPr>
          <w:rFonts w:ascii="Arial" w:hAnsi="Arial" w:cs="Arial"/>
          <w:b/>
          <w:bCs/>
          <w:sz w:val="28"/>
          <w:szCs w:val="44"/>
        </w:rPr>
      </w:pPr>
    </w:p>
    <w:p w14:paraId="31C527AF" w14:textId="37AC4F6F" w:rsidR="009E0B85" w:rsidRPr="00730430" w:rsidRDefault="00FC2E3F" w:rsidP="008E0F4B">
      <w:pPr>
        <w:pStyle w:val="m7007535857312232601gmail-msolistparagraph"/>
        <w:numPr>
          <w:ilvl w:val="0"/>
          <w:numId w:val="14"/>
        </w:numPr>
        <w:shd w:val="clear" w:color="auto" w:fill="FFFFFF"/>
        <w:spacing w:before="0" w:beforeAutospacing="0" w:after="0" w:afterAutospacing="0"/>
        <w:ind w:left="426"/>
        <w:jc w:val="both"/>
        <w:rPr>
          <w:rFonts w:ascii="Arial" w:hAnsi="Arial" w:cs="Arial"/>
          <w:b/>
          <w:bCs/>
          <w:sz w:val="28"/>
          <w:szCs w:val="44"/>
        </w:rPr>
      </w:pPr>
      <w:r w:rsidRPr="00730430">
        <w:rPr>
          <w:rFonts w:ascii="Arial" w:hAnsi="Arial" w:cs="Arial"/>
          <w:b/>
          <w:bCs/>
          <w:sz w:val="28"/>
          <w:szCs w:val="44"/>
        </w:rPr>
        <w:t>Conclusiones</w:t>
      </w:r>
    </w:p>
    <w:p w14:paraId="0A2EE303" w14:textId="77777777" w:rsidR="00782980" w:rsidRDefault="00782980" w:rsidP="008E0F4B">
      <w:pPr>
        <w:pStyle w:val="Prrafodelista"/>
        <w:spacing w:line="240" w:lineRule="auto"/>
        <w:jc w:val="both"/>
        <w:rPr>
          <w:rFonts w:ascii="Arial" w:hAnsi="Arial" w:cs="Arial"/>
          <w:sz w:val="20"/>
          <w:szCs w:val="20"/>
        </w:rPr>
      </w:pPr>
    </w:p>
    <w:p w14:paraId="70F0A66C" w14:textId="294BB884" w:rsidR="00CD6FB9" w:rsidRDefault="00CD6FB9" w:rsidP="00CD6FB9">
      <w:pPr>
        <w:pStyle w:val="Prrafodelista"/>
        <w:numPr>
          <w:ilvl w:val="0"/>
          <w:numId w:val="15"/>
        </w:numPr>
        <w:jc w:val="both"/>
        <w:rPr>
          <w:rFonts w:ascii="Arial" w:hAnsi="Arial" w:cs="Arial"/>
          <w:sz w:val="20"/>
          <w:szCs w:val="20"/>
        </w:rPr>
      </w:pPr>
      <w:r w:rsidRPr="000F3B1D">
        <w:rPr>
          <w:rFonts w:ascii="Arial" w:hAnsi="Arial" w:cs="Arial"/>
          <w:sz w:val="20"/>
          <w:szCs w:val="20"/>
        </w:rPr>
        <w:t xml:space="preserve">Para la vigencia 2019 se identificaron y documentaron 9 riesgos de corrupción y 37 riesgos de gestión a los que se les realizó seguimiento </w:t>
      </w:r>
      <w:r>
        <w:rPr>
          <w:rFonts w:ascii="Arial" w:hAnsi="Arial" w:cs="Arial"/>
          <w:sz w:val="20"/>
          <w:szCs w:val="20"/>
        </w:rPr>
        <w:t xml:space="preserve"> de manera cuatrimestral.</w:t>
      </w:r>
    </w:p>
    <w:p w14:paraId="1867CD75" w14:textId="77777777" w:rsidR="00CD6FB9" w:rsidRDefault="00CD6FB9" w:rsidP="00CD6FB9">
      <w:pPr>
        <w:pStyle w:val="Prrafodelista"/>
        <w:jc w:val="both"/>
        <w:rPr>
          <w:rFonts w:ascii="Arial" w:hAnsi="Arial" w:cs="Arial"/>
          <w:sz w:val="20"/>
          <w:szCs w:val="20"/>
        </w:rPr>
      </w:pPr>
    </w:p>
    <w:p w14:paraId="2903F8AD" w14:textId="77777777" w:rsidR="00CD6FB9" w:rsidRPr="00F04AB0" w:rsidRDefault="00CD6FB9" w:rsidP="00CD6FB9">
      <w:pPr>
        <w:pStyle w:val="Prrafodelista"/>
        <w:numPr>
          <w:ilvl w:val="0"/>
          <w:numId w:val="15"/>
        </w:numPr>
        <w:spacing w:line="240" w:lineRule="auto"/>
        <w:jc w:val="both"/>
        <w:rPr>
          <w:rFonts w:ascii="Arial" w:hAnsi="Arial" w:cs="Arial"/>
          <w:sz w:val="20"/>
          <w:szCs w:val="20"/>
        </w:rPr>
      </w:pPr>
      <w:r>
        <w:rPr>
          <w:rFonts w:ascii="Arial" w:hAnsi="Arial" w:cs="Arial"/>
          <w:sz w:val="20"/>
          <w:szCs w:val="20"/>
        </w:rPr>
        <w:t>S</w:t>
      </w:r>
      <w:r w:rsidRPr="00190E3C">
        <w:rPr>
          <w:rFonts w:ascii="Arial" w:hAnsi="Arial" w:cs="Arial"/>
          <w:sz w:val="20"/>
          <w:szCs w:val="20"/>
        </w:rPr>
        <w:t xml:space="preserve">e evidencia </w:t>
      </w:r>
      <w:r>
        <w:rPr>
          <w:rFonts w:ascii="Arial" w:hAnsi="Arial" w:cs="Arial"/>
          <w:sz w:val="20"/>
          <w:szCs w:val="20"/>
        </w:rPr>
        <w:t>que no se han</w:t>
      </w:r>
      <w:r w:rsidRPr="00190E3C">
        <w:rPr>
          <w:rFonts w:ascii="Arial" w:hAnsi="Arial" w:cs="Arial"/>
          <w:sz w:val="20"/>
          <w:szCs w:val="20"/>
        </w:rPr>
        <w:t xml:space="preserve"> materializa</w:t>
      </w:r>
      <w:r>
        <w:rPr>
          <w:rFonts w:ascii="Arial" w:hAnsi="Arial" w:cs="Arial"/>
          <w:sz w:val="20"/>
          <w:szCs w:val="20"/>
        </w:rPr>
        <w:t xml:space="preserve">do los </w:t>
      </w:r>
      <w:r w:rsidRPr="00190E3C">
        <w:rPr>
          <w:rFonts w:ascii="Arial" w:hAnsi="Arial" w:cs="Arial"/>
          <w:sz w:val="20"/>
          <w:szCs w:val="20"/>
        </w:rPr>
        <w:t>riesgo</w:t>
      </w:r>
      <w:r>
        <w:rPr>
          <w:rFonts w:ascii="Arial" w:hAnsi="Arial" w:cs="Arial"/>
          <w:sz w:val="20"/>
          <w:szCs w:val="20"/>
        </w:rPr>
        <w:t>s</w:t>
      </w:r>
      <w:r w:rsidRPr="00190E3C">
        <w:rPr>
          <w:rFonts w:ascii="Arial" w:hAnsi="Arial" w:cs="Arial"/>
          <w:sz w:val="20"/>
          <w:szCs w:val="20"/>
        </w:rPr>
        <w:t xml:space="preserve"> </w:t>
      </w:r>
      <w:r>
        <w:rPr>
          <w:rFonts w:ascii="Arial" w:hAnsi="Arial" w:cs="Arial"/>
          <w:sz w:val="20"/>
          <w:szCs w:val="20"/>
        </w:rPr>
        <w:t>de corrupción y de gestión identificados</w:t>
      </w:r>
      <w:r w:rsidRPr="00190E3C">
        <w:rPr>
          <w:rFonts w:ascii="Arial" w:hAnsi="Arial" w:cs="Arial"/>
          <w:sz w:val="20"/>
          <w:szCs w:val="20"/>
        </w:rPr>
        <w:t xml:space="preserve">. </w:t>
      </w:r>
    </w:p>
    <w:p w14:paraId="3263994D" w14:textId="77777777" w:rsidR="00FC5D88" w:rsidRPr="00CD6FB9" w:rsidRDefault="00FC5D88" w:rsidP="00CD6FB9">
      <w:pPr>
        <w:pStyle w:val="Prrafodelista"/>
        <w:jc w:val="both"/>
        <w:rPr>
          <w:rFonts w:ascii="Arial" w:hAnsi="Arial" w:cs="Arial"/>
          <w:sz w:val="20"/>
          <w:szCs w:val="20"/>
        </w:rPr>
      </w:pPr>
    </w:p>
    <w:p w14:paraId="654F1B39" w14:textId="59E9122B" w:rsidR="000F3B1D" w:rsidRPr="00173859" w:rsidRDefault="00B844B0" w:rsidP="008E0F4B">
      <w:pPr>
        <w:pStyle w:val="Prrafodelista"/>
        <w:numPr>
          <w:ilvl w:val="0"/>
          <w:numId w:val="15"/>
        </w:numPr>
        <w:spacing w:line="240" w:lineRule="auto"/>
        <w:jc w:val="both"/>
        <w:rPr>
          <w:rFonts w:ascii="Arial" w:hAnsi="Arial" w:cs="Arial"/>
          <w:sz w:val="20"/>
          <w:szCs w:val="20"/>
        </w:rPr>
      </w:pPr>
      <w:r w:rsidRPr="0016633F">
        <w:rPr>
          <w:rFonts w:ascii="Arial" w:hAnsi="Arial" w:cs="Arial"/>
          <w:sz w:val="20"/>
          <w:szCs w:val="20"/>
        </w:rPr>
        <w:t xml:space="preserve">Con el presente informe se dan </w:t>
      </w:r>
      <w:r w:rsidR="00D553AA">
        <w:rPr>
          <w:rFonts w:ascii="Arial" w:hAnsi="Arial" w:cs="Arial"/>
          <w:sz w:val="20"/>
          <w:szCs w:val="20"/>
        </w:rPr>
        <w:t xml:space="preserve">las </w:t>
      </w:r>
      <w:r w:rsidRPr="0016633F">
        <w:rPr>
          <w:rFonts w:ascii="Arial" w:hAnsi="Arial" w:cs="Arial"/>
          <w:sz w:val="20"/>
          <w:szCs w:val="20"/>
        </w:rPr>
        <w:t xml:space="preserve">recomendaciones a los </w:t>
      </w:r>
      <w:r w:rsidR="00173859">
        <w:rPr>
          <w:rFonts w:ascii="Arial" w:hAnsi="Arial" w:cs="Arial"/>
          <w:sz w:val="20"/>
          <w:szCs w:val="20"/>
        </w:rPr>
        <w:t xml:space="preserve">responsables de </w:t>
      </w:r>
      <w:r w:rsidRPr="0016633F">
        <w:rPr>
          <w:rFonts w:ascii="Arial" w:hAnsi="Arial" w:cs="Arial"/>
          <w:sz w:val="20"/>
          <w:szCs w:val="20"/>
        </w:rPr>
        <w:t>procesos</w:t>
      </w:r>
      <w:r w:rsidR="00EA0D08" w:rsidRPr="0016633F">
        <w:rPr>
          <w:rFonts w:ascii="Arial" w:hAnsi="Arial" w:cs="Arial"/>
          <w:sz w:val="20"/>
          <w:szCs w:val="20"/>
        </w:rPr>
        <w:t>,</w:t>
      </w:r>
      <w:r w:rsidRPr="0016633F">
        <w:rPr>
          <w:rFonts w:ascii="Arial" w:hAnsi="Arial" w:cs="Arial"/>
          <w:sz w:val="20"/>
          <w:szCs w:val="20"/>
        </w:rPr>
        <w:t xml:space="preserve"> con el fin de que se </w:t>
      </w:r>
      <w:r w:rsidRPr="00173859">
        <w:rPr>
          <w:rFonts w:ascii="Arial" w:hAnsi="Arial" w:cs="Arial"/>
          <w:sz w:val="20"/>
          <w:szCs w:val="20"/>
        </w:rPr>
        <w:t xml:space="preserve">detecten las causas </w:t>
      </w:r>
      <w:r w:rsidR="00EA0D08" w:rsidRPr="00173859">
        <w:rPr>
          <w:rFonts w:ascii="Arial" w:hAnsi="Arial" w:cs="Arial"/>
          <w:sz w:val="20"/>
          <w:szCs w:val="20"/>
        </w:rPr>
        <w:t xml:space="preserve">reales que generan los riesgos </w:t>
      </w:r>
      <w:r w:rsidRPr="00173859">
        <w:rPr>
          <w:rFonts w:ascii="Arial" w:hAnsi="Arial" w:cs="Arial"/>
          <w:sz w:val="20"/>
          <w:szCs w:val="20"/>
        </w:rPr>
        <w:t xml:space="preserve">y </w:t>
      </w:r>
      <w:r w:rsidR="00EA0D08" w:rsidRPr="00173859">
        <w:rPr>
          <w:rFonts w:ascii="Arial" w:hAnsi="Arial" w:cs="Arial"/>
          <w:sz w:val="20"/>
          <w:szCs w:val="20"/>
        </w:rPr>
        <w:t>se</w:t>
      </w:r>
      <w:r w:rsidRPr="00173859">
        <w:rPr>
          <w:rFonts w:ascii="Arial" w:hAnsi="Arial" w:cs="Arial"/>
          <w:sz w:val="20"/>
          <w:szCs w:val="20"/>
        </w:rPr>
        <w:t xml:space="preserve"> formulen actividades de </w:t>
      </w:r>
      <w:r w:rsidR="00EA0D08" w:rsidRPr="00173859">
        <w:rPr>
          <w:rFonts w:ascii="Arial" w:hAnsi="Arial" w:cs="Arial"/>
          <w:sz w:val="20"/>
          <w:szCs w:val="20"/>
        </w:rPr>
        <w:t xml:space="preserve">mejora </w:t>
      </w:r>
      <w:r w:rsidRPr="00173859">
        <w:rPr>
          <w:rFonts w:ascii="Arial" w:hAnsi="Arial" w:cs="Arial"/>
          <w:sz w:val="20"/>
          <w:szCs w:val="20"/>
        </w:rPr>
        <w:t>qu</w:t>
      </w:r>
      <w:r w:rsidR="00EA0D08" w:rsidRPr="00173859">
        <w:rPr>
          <w:rFonts w:ascii="Arial" w:hAnsi="Arial" w:cs="Arial"/>
          <w:sz w:val="20"/>
          <w:szCs w:val="20"/>
        </w:rPr>
        <w:t>e eviten la materialización de los mismos</w:t>
      </w:r>
      <w:r w:rsidR="00A96804">
        <w:rPr>
          <w:rFonts w:ascii="Arial" w:hAnsi="Arial" w:cs="Arial"/>
          <w:sz w:val="20"/>
          <w:szCs w:val="20"/>
        </w:rPr>
        <w:t>, para la identificación y definición de riesgos en la vigencia 2020.</w:t>
      </w:r>
    </w:p>
    <w:p w14:paraId="1EADC44B" w14:textId="77777777" w:rsidR="00255DF1" w:rsidRPr="00255DF1" w:rsidRDefault="00255DF1" w:rsidP="008E0F4B">
      <w:pPr>
        <w:pStyle w:val="Prrafodelista"/>
        <w:spacing w:line="240" w:lineRule="auto"/>
        <w:rPr>
          <w:rFonts w:ascii="Arial" w:hAnsi="Arial" w:cs="Arial"/>
          <w:sz w:val="20"/>
          <w:szCs w:val="20"/>
        </w:rPr>
      </w:pPr>
    </w:p>
    <w:p w14:paraId="5624C3C4" w14:textId="77777777" w:rsidR="000F3B1D" w:rsidRPr="000F3B1D" w:rsidRDefault="000F3B1D" w:rsidP="008E0F4B">
      <w:pPr>
        <w:tabs>
          <w:tab w:val="left" w:pos="1095"/>
        </w:tabs>
        <w:spacing w:line="240" w:lineRule="auto"/>
        <w:jc w:val="both"/>
        <w:rPr>
          <w:rFonts w:ascii="Arial" w:hAnsi="Arial" w:cs="Arial"/>
          <w:sz w:val="20"/>
          <w:szCs w:val="20"/>
        </w:rPr>
      </w:pPr>
    </w:p>
    <w:sectPr w:rsidR="000F3B1D" w:rsidRPr="000F3B1D" w:rsidSect="00FC2E3F">
      <w:headerReference w:type="default" r:id="rId10"/>
      <w:footerReference w:type="default" r:id="rId11"/>
      <w:pgSz w:w="12240" w:h="15840" w:code="1"/>
      <w:pgMar w:top="1559" w:right="1701" w:bottom="680" w:left="1701"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03ABA" w14:textId="77777777" w:rsidR="008574A4" w:rsidRDefault="008574A4">
      <w:pPr>
        <w:spacing w:line="240" w:lineRule="auto"/>
      </w:pPr>
      <w:r>
        <w:separator/>
      </w:r>
    </w:p>
  </w:endnote>
  <w:endnote w:type="continuationSeparator" w:id="0">
    <w:p w14:paraId="7A7A0745" w14:textId="77777777" w:rsidR="008574A4" w:rsidRDefault="0085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932A2" w14:textId="22ECB9F1" w:rsidR="00BF6752" w:rsidRDefault="00BF6752">
    <w:pPr>
      <w:pStyle w:val="Piedepgina"/>
      <w:tabs>
        <w:tab w:val="center" w:pos="4419"/>
        <w:tab w:val="right" w:pos="8838"/>
        <w:tab w:val="right" w:pos="11340"/>
      </w:tabs>
      <w:rPr>
        <w:rFonts w:ascii="Arial" w:hAnsi="Arial"/>
        <w:sz w:val="12"/>
        <w:szCs w:val="12"/>
      </w:rPr>
    </w:pPr>
    <w:r>
      <w:rPr>
        <w:rFonts w:ascii="Arial" w:hAnsi="Arial"/>
        <w:noProof/>
        <w:sz w:val="12"/>
        <w:szCs w:val="12"/>
        <w:lang w:eastAsia="es-ES"/>
      </w:rPr>
      <mc:AlternateContent>
        <mc:Choice Requires="wps">
          <w:drawing>
            <wp:anchor distT="0" distB="0" distL="0" distR="0" simplePos="0" relativeHeight="2" behindDoc="1" locked="0" layoutInCell="1" allowOverlap="1" wp14:anchorId="562BF7E0" wp14:editId="6FD128AF">
              <wp:simplePos x="0" y="0"/>
              <wp:positionH relativeFrom="column">
                <wp:posOffset>2008505</wp:posOffset>
              </wp:positionH>
              <wp:positionV relativeFrom="paragraph">
                <wp:posOffset>73025</wp:posOffset>
              </wp:positionV>
              <wp:extent cx="3175" cy="1905"/>
              <wp:effectExtent l="0" t="0" r="0" b="0"/>
              <wp:wrapNone/>
              <wp:docPr id="2" name="Image1"/>
              <wp:cNvGraphicFramePr/>
              <a:graphic xmlns:a="http://schemas.openxmlformats.org/drawingml/2006/main">
                <a:graphicData uri="http://schemas.microsoft.com/office/word/2010/wordprocessingShape">
                  <wps:wsp>
                    <wps:cNvCnPr/>
                    <wps:spPr>
                      <a:xfrm flipH="1">
                        <a:off x="0" y="0"/>
                        <a:ext cx="3240" cy="180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A54DDD7"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15pt,5.75pt" to="158.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" strokecolor="#333" strokeweight=".49mm"/>
          </w:pict>
        </mc:Fallback>
      </mc:AlternateContent>
    </w:r>
  </w:p>
  <w:p w14:paraId="193170E0" w14:textId="6EA61828" w:rsidR="00BF6752" w:rsidRDefault="00BF6752">
    <w:pPr>
      <w:pStyle w:val="Piedepgina"/>
      <w:tabs>
        <w:tab w:val="center" w:pos="4419"/>
        <w:tab w:val="right" w:pos="8838"/>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6AB1A" w14:textId="77777777" w:rsidR="008574A4" w:rsidRDefault="008574A4">
      <w:pPr>
        <w:spacing w:line="240" w:lineRule="auto"/>
      </w:pPr>
      <w:r>
        <w:separator/>
      </w:r>
    </w:p>
  </w:footnote>
  <w:footnote w:type="continuationSeparator" w:id="0">
    <w:p w14:paraId="28BF05DE" w14:textId="77777777" w:rsidR="008574A4" w:rsidRDefault="008574A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A811D" w14:textId="77777777" w:rsidR="00BF6752" w:rsidRDefault="00BF6752">
    <w:pPr>
      <w:pStyle w:val="Encabezamiento"/>
      <w:jc w:val="center"/>
      <w:rPr>
        <w:rFonts w:ascii="Arial" w:eastAsia="Arial" w:hAnsi="Arial" w:cs="Arial"/>
        <w:b/>
        <w:bCs/>
        <w:sz w:val="18"/>
        <w:szCs w:val="18"/>
        <w:lang w:eastAsia="es-ES" w:bidi="es-ES"/>
      </w:rPr>
    </w:pPr>
    <w:r>
      <w:rPr>
        <w:rFonts w:ascii="Arial" w:eastAsia="Arial" w:hAnsi="Arial" w:cs="Arial"/>
        <w:b/>
        <w:bCs/>
        <w:noProof/>
        <w:sz w:val="18"/>
        <w:szCs w:val="18"/>
        <w:lang w:eastAsia="es-ES"/>
      </w:rPr>
      <w:drawing>
        <wp:anchor distT="0" distB="0" distL="0" distR="0" simplePos="0" relativeHeight="251659776" behindDoc="1" locked="0" layoutInCell="1" allowOverlap="1" wp14:anchorId="071175D5" wp14:editId="43E2282C">
          <wp:simplePos x="0" y="0"/>
          <wp:positionH relativeFrom="column">
            <wp:align>center</wp:align>
          </wp:positionH>
          <wp:positionV relativeFrom="paragraph">
            <wp:posOffset>635</wp:posOffset>
          </wp:positionV>
          <wp:extent cx="456565" cy="52514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56565" cy="525145"/>
                  </a:xfrm>
                  <a:prstGeom prst="rect">
                    <a:avLst/>
                  </a:prstGeom>
                </pic:spPr>
              </pic:pic>
            </a:graphicData>
          </a:graphic>
        </wp:anchor>
      </w:drawing>
    </w:r>
  </w:p>
  <w:p w14:paraId="7D07EFFA" w14:textId="77777777" w:rsidR="00BF6752" w:rsidRDefault="00BF6752">
    <w:pPr>
      <w:pStyle w:val="Encabezamiento"/>
      <w:jc w:val="center"/>
      <w:rPr>
        <w:rFonts w:ascii="Arial" w:eastAsia="Arial" w:hAnsi="Arial" w:cs="Arial"/>
        <w:b/>
        <w:bCs/>
        <w:sz w:val="18"/>
        <w:szCs w:val="18"/>
        <w:lang w:eastAsia="es-ES" w:bidi="es-ES"/>
      </w:rPr>
    </w:pPr>
  </w:p>
  <w:p w14:paraId="348E3DBC" w14:textId="77777777" w:rsidR="00BF6752" w:rsidRDefault="00BF6752">
    <w:pPr>
      <w:pStyle w:val="Encabezamiento"/>
      <w:rPr>
        <w:rFonts w:ascii="Arial" w:eastAsia="Arial" w:hAnsi="Arial" w:cs="Arial"/>
        <w:b/>
        <w:bCs/>
        <w:sz w:val="18"/>
        <w:szCs w:val="18"/>
        <w:lang w:eastAsia="es-ES" w:bidi="es-ES"/>
      </w:rPr>
    </w:pPr>
  </w:p>
  <w:p w14:paraId="4FE32F23" w14:textId="77777777" w:rsidR="00BF6752" w:rsidRDefault="00BF6752">
    <w:pPr>
      <w:pStyle w:val="Encabezamiento"/>
      <w:jc w:val="center"/>
      <w:rPr>
        <w:rFonts w:ascii="Helvetica LT condensed light" w:eastAsia="Andale Sans UI;Arial Unicode MS" w:hAnsi="Helvetica LT condensed light" w:cs="Lucidasans;Times New Roman"/>
        <w:b/>
        <w:bCs/>
        <w:sz w:val="20"/>
        <w:szCs w:val="20"/>
      </w:rPr>
    </w:pPr>
  </w:p>
  <w:p w14:paraId="59942363" w14:textId="77777777" w:rsidR="00BF6752" w:rsidRDefault="00BF6752">
    <w:pPr>
      <w:pStyle w:val="Encabezamiento"/>
      <w:jc w:val="center"/>
      <w:rPr>
        <w:rFonts w:ascii="Arial" w:eastAsia="Andale Sans UI;Arial Unicode MS" w:hAnsi="Arial" w:cs="Lucidasans;Times New Roman"/>
        <w:b/>
        <w:bCs/>
        <w:sz w:val="12"/>
        <w:szCs w:val="12"/>
      </w:rPr>
    </w:pPr>
    <w:r>
      <w:rPr>
        <w:rFonts w:ascii="Arial" w:eastAsia="Andale Sans UI;Arial Unicode MS" w:hAnsi="Arial" w:cs="Lucidasans;Times New Roman"/>
        <w:b/>
        <w:bCs/>
        <w:sz w:val="13"/>
        <w:szCs w:val="13"/>
      </w:rPr>
      <w:t>ALCALDÍA MAYOR</w:t>
    </w:r>
  </w:p>
  <w:p w14:paraId="231E665B" w14:textId="77777777" w:rsidR="00BF6752" w:rsidRDefault="00BF6752">
    <w:pPr>
      <w:pStyle w:val="Encabezamiento"/>
      <w:jc w:val="center"/>
      <w:rPr>
        <w:sz w:val="14"/>
        <w:szCs w:val="14"/>
        <w:u w:val="single"/>
      </w:rPr>
    </w:pPr>
    <w:r>
      <w:rPr>
        <w:rFonts w:ascii="Arial" w:eastAsia="Andale Sans UI;Arial Unicode MS" w:hAnsi="Arial" w:cs="Lucidasans;Times New Roman"/>
        <w:b/>
        <w:bCs/>
        <w:sz w:val="13"/>
        <w:szCs w:val="13"/>
        <w:u w:val="single"/>
      </w:rPr>
      <w:t xml:space="preserve">          DE BOGOTÁ D. C.</w:t>
    </w:r>
    <w:r>
      <w:rPr>
        <w:rFonts w:ascii="Arial" w:eastAsia="Andale Sans UI;Arial Unicode MS" w:hAnsi="Arial" w:cs="Lucidasans;Times New Roman"/>
        <w:b/>
        <w:bCs/>
        <w:sz w:val="14"/>
        <w:szCs w:val="14"/>
        <w:u w:val="single"/>
      </w:rPr>
      <w:t xml:space="preserve">         </w:t>
    </w:r>
  </w:p>
  <w:p w14:paraId="60497F48" w14:textId="77777777" w:rsidR="00BF6752" w:rsidRDefault="00BF6752">
    <w:pPr>
      <w:pStyle w:val="Encabezamiento"/>
      <w:jc w:val="center"/>
      <w:rPr>
        <w:rFonts w:ascii="Arial" w:eastAsia="Andale Sans UI;Arial Unicode MS" w:hAnsi="Arial" w:cs="Lucidasans;Times New Roman"/>
        <w:b/>
        <w:bCs/>
        <w:sz w:val="10"/>
        <w:szCs w:val="10"/>
        <w:u w:val="single"/>
      </w:rPr>
    </w:pPr>
    <w:r>
      <w:rPr>
        <w:rFonts w:ascii="Arial" w:eastAsia="Andale Sans UI;Arial Unicode MS" w:hAnsi="Arial" w:cs="Lucidasans;Times New Roman"/>
        <w:b/>
        <w:bCs/>
        <w:sz w:val="10"/>
        <w:szCs w:val="10"/>
      </w:rPr>
      <w:t xml:space="preserve"> </w:t>
    </w:r>
    <w:r>
      <w:rPr>
        <w:rFonts w:ascii="Arial" w:eastAsia="Andale Sans UI;Arial Unicode MS" w:hAnsi="Arial" w:cs="Lucidasans;Times New Roman"/>
        <w:sz w:val="10"/>
        <w:szCs w:val="10"/>
      </w:rPr>
      <w:t>CULTURA, RECREACIÓN Y DEPORTE</w:t>
    </w:r>
    <w:r>
      <w:rPr>
        <w:rFonts w:ascii="Arial" w:eastAsia="Andale Sans UI;Arial Unicode MS" w:hAnsi="Arial" w:cs="Lucidasans;Times New Roman"/>
        <w:b/>
        <w:bCs/>
        <w:sz w:val="10"/>
        <w:szCs w:val="10"/>
      </w:rPr>
      <w:t xml:space="preserve"> </w:t>
    </w:r>
  </w:p>
  <w:p w14:paraId="466880EA" w14:textId="65263610" w:rsidR="00BF6752" w:rsidRPr="00425456" w:rsidRDefault="00BF6752" w:rsidP="00425456">
    <w:pPr>
      <w:pStyle w:val="Encabezamiento"/>
      <w:jc w:val="center"/>
      <w:rPr>
        <w:rFonts w:ascii="Arial" w:eastAsia="Andale Sans UI;Arial Unicode MS" w:hAnsi="Arial" w:cs="Lucidasans;Times New Roman"/>
        <w:color w:val="000000"/>
        <w:sz w:val="14"/>
        <w:szCs w:val="14"/>
      </w:rPr>
    </w:pPr>
    <w:r>
      <w:rPr>
        <w:rFonts w:ascii="Arial" w:eastAsia="Andale Sans UI;Arial Unicode MS" w:hAnsi="Arial" w:cs="Lucidasans;Times New Roman"/>
        <w:color w:val="000000"/>
        <w:sz w:val="14"/>
        <w:szCs w:val="14"/>
      </w:rPr>
      <w:t>Instituto Distrital de Patrimonio Cultural</w:t>
    </w:r>
    <w:r w:rsidRPr="00547F42">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E83"/>
    <w:multiLevelType w:val="hybridMultilevel"/>
    <w:tmpl w:val="BEC2B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721CE5"/>
    <w:multiLevelType w:val="hybridMultilevel"/>
    <w:tmpl w:val="72F221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786244"/>
    <w:multiLevelType w:val="hybridMultilevel"/>
    <w:tmpl w:val="193A39BA"/>
    <w:lvl w:ilvl="0" w:tplc="0EBCB7AC">
      <w:start w:val="6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A76A07"/>
    <w:multiLevelType w:val="hybridMultilevel"/>
    <w:tmpl w:val="A22294B6"/>
    <w:lvl w:ilvl="0" w:tplc="ECEA68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383CFC"/>
    <w:multiLevelType w:val="hybridMultilevel"/>
    <w:tmpl w:val="9386276E"/>
    <w:lvl w:ilvl="0" w:tplc="ECEA68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CE01B2"/>
    <w:multiLevelType w:val="hybridMultilevel"/>
    <w:tmpl w:val="109442D6"/>
    <w:lvl w:ilvl="0" w:tplc="ECEA68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DC225C"/>
    <w:multiLevelType w:val="hybridMultilevel"/>
    <w:tmpl w:val="DC183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345FDC"/>
    <w:multiLevelType w:val="hybridMultilevel"/>
    <w:tmpl w:val="719A95B4"/>
    <w:lvl w:ilvl="0" w:tplc="7BFE1BA2">
      <w:numFmt w:val="bullet"/>
      <w:lvlText w:val="-"/>
      <w:lvlJc w:val="left"/>
      <w:pPr>
        <w:ind w:left="405" w:hanging="360"/>
      </w:pPr>
      <w:rPr>
        <w:rFonts w:ascii="Arial" w:eastAsia="Times New Roman"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8" w15:restartNumberingAfterBreak="0">
    <w:nsid w:val="23D14107"/>
    <w:multiLevelType w:val="hybridMultilevel"/>
    <w:tmpl w:val="EC588DDC"/>
    <w:lvl w:ilvl="0" w:tplc="0C0A0001">
      <w:start w:val="1"/>
      <w:numFmt w:val="bullet"/>
      <w:lvlText w:val=""/>
      <w:lvlJc w:val="left"/>
      <w:pPr>
        <w:ind w:left="405" w:hanging="360"/>
      </w:pPr>
      <w:rPr>
        <w:rFonts w:ascii="Symbol" w:hAnsi="Symbo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9" w15:restartNumberingAfterBreak="0">
    <w:nsid w:val="2501604C"/>
    <w:multiLevelType w:val="hybridMultilevel"/>
    <w:tmpl w:val="38662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562102"/>
    <w:multiLevelType w:val="hybridMultilevel"/>
    <w:tmpl w:val="91423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FF2D57"/>
    <w:multiLevelType w:val="hybridMultilevel"/>
    <w:tmpl w:val="3912E2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EE6767C"/>
    <w:multiLevelType w:val="hybridMultilevel"/>
    <w:tmpl w:val="7AB4AB7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14C62D9"/>
    <w:multiLevelType w:val="hybridMultilevel"/>
    <w:tmpl w:val="96D29050"/>
    <w:lvl w:ilvl="0" w:tplc="52340BD6">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3B85FAA"/>
    <w:multiLevelType w:val="hybridMultilevel"/>
    <w:tmpl w:val="7DEE7D9A"/>
    <w:lvl w:ilvl="0" w:tplc="ECEA68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3BB595C"/>
    <w:multiLevelType w:val="hybridMultilevel"/>
    <w:tmpl w:val="E59C1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18325C"/>
    <w:multiLevelType w:val="hybridMultilevel"/>
    <w:tmpl w:val="40708856"/>
    <w:lvl w:ilvl="0" w:tplc="3184253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17" w15:restartNumberingAfterBreak="0">
    <w:nsid w:val="36BB6FD2"/>
    <w:multiLevelType w:val="hybridMultilevel"/>
    <w:tmpl w:val="1CAC3F36"/>
    <w:lvl w:ilvl="0" w:tplc="0C0A0001">
      <w:start w:val="1"/>
      <w:numFmt w:val="bullet"/>
      <w:lvlText w:val=""/>
      <w:lvlJc w:val="left"/>
      <w:pPr>
        <w:ind w:left="857" w:hanging="360"/>
      </w:pPr>
      <w:rPr>
        <w:rFonts w:ascii="Symbol" w:hAnsi="Symbol" w:hint="default"/>
      </w:rPr>
    </w:lvl>
    <w:lvl w:ilvl="1" w:tplc="0C0A0003" w:tentative="1">
      <w:start w:val="1"/>
      <w:numFmt w:val="bullet"/>
      <w:lvlText w:val="o"/>
      <w:lvlJc w:val="left"/>
      <w:pPr>
        <w:ind w:left="1577" w:hanging="360"/>
      </w:pPr>
      <w:rPr>
        <w:rFonts w:ascii="Courier New" w:hAnsi="Courier New" w:cs="Courier New" w:hint="default"/>
      </w:rPr>
    </w:lvl>
    <w:lvl w:ilvl="2" w:tplc="0C0A0005" w:tentative="1">
      <w:start w:val="1"/>
      <w:numFmt w:val="bullet"/>
      <w:lvlText w:val=""/>
      <w:lvlJc w:val="left"/>
      <w:pPr>
        <w:ind w:left="2297" w:hanging="360"/>
      </w:pPr>
      <w:rPr>
        <w:rFonts w:ascii="Wingdings" w:hAnsi="Wingdings" w:hint="default"/>
      </w:rPr>
    </w:lvl>
    <w:lvl w:ilvl="3" w:tplc="0C0A0001" w:tentative="1">
      <w:start w:val="1"/>
      <w:numFmt w:val="bullet"/>
      <w:lvlText w:val=""/>
      <w:lvlJc w:val="left"/>
      <w:pPr>
        <w:ind w:left="3017" w:hanging="360"/>
      </w:pPr>
      <w:rPr>
        <w:rFonts w:ascii="Symbol" w:hAnsi="Symbol" w:hint="default"/>
      </w:rPr>
    </w:lvl>
    <w:lvl w:ilvl="4" w:tplc="0C0A0003" w:tentative="1">
      <w:start w:val="1"/>
      <w:numFmt w:val="bullet"/>
      <w:lvlText w:val="o"/>
      <w:lvlJc w:val="left"/>
      <w:pPr>
        <w:ind w:left="3737" w:hanging="360"/>
      </w:pPr>
      <w:rPr>
        <w:rFonts w:ascii="Courier New" w:hAnsi="Courier New" w:cs="Courier New" w:hint="default"/>
      </w:rPr>
    </w:lvl>
    <w:lvl w:ilvl="5" w:tplc="0C0A0005" w:tentative="1">
      <w:start w:val="1"/>
      <w:numFmt w:val="bullet"/>
      <w:lvlText w:val=""/>
      <w:lvlJc w:val="left"/>
      <w:pPr>
        <w:ind w:left="4457" w:hanging="360"/>
      </w:pPr>
      <w:rPr>
        <w:rFonts w:ascii="Wingdings" w:hAnsi="Wingdings" w:hint="default"/>
      </w:rPr>
    </w:lvl>
    <w:lvl w:ilvl="6" w:tplc="0C0A0001" w:tentative="1">
      <w:start w:val="1"/>
      <w:numFmt w:val="bullet"/>
      <w:lvlText w:val=""/>
      <w:lvlJc w:val="left"/>
      <w:pPr>
        <w:ind w:left="5177" w:hanging="360"/>
      </w:pPr>
      <w:rPr>
        <w:rFonts w:ascii="Symbol" w:hAnsi="Symbol" w:hint="default"/>
      </w:rPr>
    </w:lvl>
    <w:lvl w:ilvl="7" w:tplc="0C0A0003" w:tentative="1">
      <w:start w:val="1"/>
      <w:numFmt w:val="bullet"/>
      <w:lvlText w:val="o"/>
      <w:lvlJc w:val="left"/>
      <w:pPr>
        <w:ind w:left="5897" w:hanging="360"/>
      </w:pPr>
      <w:rPr>
        <w:rFonts w:ascii="Courier New" w:hAnsi="Courier New" w:cs="Courier New" w:hint="default"/>
      </w:rPr>
    </w:lvl>
    <w:lvl w:ilvl="8" w:tplc="0C0A0005" w:tentative="1">
      <w:start w:val="1"/>
      <w:numFmt w:val="bullet"/>
      <w:lvlText w:val=""/>
      <w:lvlJc w:val="left"/>
      <w:pPr>
        <w:ind w:left="6617" w:hanging="360"/>
      </w:pPr>
      <w:rPr>
        <w:rFonts w:ascii="Wingdings" w:hAnsi="Wingdings" w:hint="default"/>
      </w:rPr>
    </w:lvl>
  </w:abstractNum>
  <w:abstractNum w:abstractNumId="18" w15:restartNumberingAfterBreak="0">
    <w:nsid w:val="373F393D"/>
    <w:multiLevelType w:val="hybridMultilevel"/>
    <w:tmpl w:val="29A2A322"/>
    <w:lvl w:ilvl="0" w:tplc="0EBCB7AC">
      <w:start w:val="6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4BA5410"/>
    <w:multiLevelType w:val="hybridMultilevel"/>
    <w:tmpl w:val="C938F12C"/>
    <w:lvl w:ilvl="0" w:tplc="0EBCB7AC">
      <w:start w:val="6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7136B8E"/>
    <w:multiLevelType w:val="hybridMultilevel"/>
    <w:tmpl w:val="E806D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69B174B"/>
    <w:multiLevelType w:val="hybridMultilevel"/>
    <w:tmpl w:val="8C94B430"/>
    <w:lvl w:ilvl="0" w:tplc="983CE48C">
      <w:start w:val="26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9E366A5"/>
    <w:multiLevelType w:val="multilevel"/>
    <w:tmpl w:val="1CD0C6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6A761092"/>
    <w:multiLevelType w:val="hybridMultilevel"/>
    <w:tmpl w:val="D7045A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EFD380F"/>
    <w:multiLevelType w:val="hybridMultilevel"/>
    <w:tmpl w:val="BD1A34D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1A756B5"/>
    <w:multiLevelType w:val="hybridMultilevel"/>
    <w:tmpl w:val="61243E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EE261A"/>
    <w:multiLevelType w:val="hybridMultilevel"/>
    <w:tmpl w:val="B5528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6CE0C7A"/>
    <w:multiLevelType w:val="hybridMultilevel"/>
    <w:tmpl w:val="AC76A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B3874AC"/>
    <w:multiLevelType w:val="hybridMultilevel"/>
    <w:tmpl w:val="8778A6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0C2A51"/>
    <w:multiLevelType w:val="hybridMultilevel"/>
    <w:tmpl w:val="2C8A2698"/>
    <w:lvl w:ilvl="0" w:tplc="0C0A000F">
      <w:start w:val="1"/>
      <w:numFmt w:val="decimal"/>
      <w:lvlText w:val="%1."/>
      <w:lvlJc w:val="left"/>
      <w:pPr>
        <w:ind w:left="783" w:hanging="360"/>
      </w:pPr>
    </w:lvl>
    <w:lvl w:ilvl="1" w:tplc="0C0A0019" w:tentative="1">
      <w:start w:val="1"/>
      <w:numFmt w:val="lowerLetter"/>
      <w:lvlText w:val="%2."/>
      <w:lvlJc w:val="left"/>
      <w:pPr>
        <w:ind w:left="1503" w:hanging="360"/>
      </w:pPr>
    </w:lvl>
    <w:lvl w:ilvl="2" w:tplc="0C0A001B" w:tentative="1">
      <w:start w:val="1"/>
      <w:numFmt w:val="lowerRoman"/>
      <w:lvlText w:val="%3."/>
      <w:lvlJc w:val="right"/>
      <w:pPr>
        <w:ind w:left="2223" w:hanging="180"/>
      </w:pPr>
    </w:lvl>
    <w:lvl w:ilvl="3" w:tplc="0C0A000F" w:tentative="1">
      <w:start w:val="1"/>
      <w:numFmt w:val="decimal"/>
      <w:lvlText w:val="%4."/>
      <w:lvlJc w:val="left"/>
      <w:pPr>
        <w:ind w:left="2943" w:hanging="360"/>
      </w:pPr>
    </w:lvl>
    <w:lvl w:ilvl="4" w:tplc="0C0A0019" w:tentative="1">
      <w:start w:val="1"/>
      <w:numFmt w:val="lowerLetter"/>
      <w:lvlText w:val="%5."/>
      <w:lvlJc w:val="left"/>
      <w:pPr>
        <w:ind w:left="3663" w:hanging="360"/>
      </w:pPr>
    </w:lvl>
    <w:lvl w:ilvl="5" w:tplc="0C0A001B" w:tentative="1">
      <w:start w:val="1"/>
      <w:numFmt w:val="lowerRoman"/>
      <w:lvlText w:val="%6."/>
      <w:lvlJc w:val="right"/>
      <w:pPr>
        <w:ind w:left="4383" w:hanging="180"/>
      </w:pPr>
    </w:lvl>
    <w:lvl w:ilvl="6" w:tplc="0C0A000F" w:tentative="1">
      <w:start w:val="1"/>
      <w:numFmt w:val="decimal"/>
      <w:lvlText w:val="%7."/>
      <w:lvlJc w:val="left"/>
      <w:pPr>
        <w:ind w:left="5103" w:hanging="360"/>
      </w:pPr>
    </w:lvl>
    <w:lvl w:ilvl="7" w:tplc="0C0A0019" w:tentative="1">
      <w:start w:val="1"/>
      <w:numFmt w:val="lowerLetter"/>
      <w:lvlText w:val="%8."/>
      <w:lvlJc w:val="left"/>
      <w:pPr>
        <w:ind w:left="5823" w:hanging="360"/>
      </w:pPr>
    </w:lvl>
    <w:lvl w:ilvl="8" w:tplc="0C0A001B" w:tentative="1">
      <w:start w:val="1"/>
      <w:numFmt w:val="lowerRoman"/>
      <w:lvlText w:val="%9."/>
      <w:lvlJc w:val="right"/>
      <w:pPr>
        <w:ind w:left="6543" w:hanging="180"/>
      </w:pPr>
    </w:lvl>
  </w:abstractNum>
  <w:num w:numId="1">
    <w:abstractNumId w:val="29"/>
  </w:num>
  <w:num w:numId="2">
    <w:abstractNumId w:val="16"/>
  </w:num>
  <w:num w:numId="3">
    <w:abstractNumId w:val="28"/>
  </w:num>
  <w:num w:numId="4">
    <w:abstractNumId w:val="0"/>
  </w:num>
  <w:num w:numId="5">
    <w:abstractNumId w:val="13"/>
  </w:num>
  <w:num w:numId="6">
    <w:abstractNumId w:val="21"/>
  </w:num>
  <w:num w:numId="7">
    <w:abstractNumId w:val="12"/>
  </w:num>
  <w:num w:numId="8">
    <w:abstractNumId w:val="11"/>
  </w:num>
  <w:num w:numId="9">
    <w:abstractNumId w:val="19"/>
  </w:num>
  <w:num w:numId="10">
    <w:abstractNumId w:val="2"/>
  </w:num>
  <w:num w:numId="11">
    <w:abstractNumId w:val="18"/>
  </w:num>
  <w:num w:numId="12">
    <w:abstractNumId w:val="6"/>
  </w:num>
  <w:num w:numId="13">
    <w:abstractNumId w:val="9"/>
  </w:num>
  <w:num w:numId="14">
    <w:abstractNumId w:val="22"/>
  </w:num>
  <w:num w:numId="15">
    <w:abstractNumId w:val="24"/>
  </w:num>
  <w:num w:numId="16">
    <w:abstractNumId w:val="5"/>
  </w:num>
  <w:num w:numId="17">
    <w:abstractNumId w:val="4"/>
  </w:num>
  <w:num w:numId="18">
    <w:abstractNumId w:val="3"/>
  </w:num>
  <w:num w:numId="19">
    <w:abstractNumId w:val="14"/>
  </w:num>
  <w:num w:numId="20">
    <w:abstractNumId w:val="27"/>
  </w:num>
  <w:num w:numId="21">
    <w:abstractNumId w:val="20"/>
  </w:num>
  <w:num w:numId="22">
    <w:abstractNumId w:val="1"/>
  </w:num>
  <w:num w:numId="23">
    <w:abstractNumId w:val="25"/>
  </w:num>
  <w:num w:numId="24">
    <w:abstractNumId w:val="7"/>
  </w:num>
  <w:num w:numId="25">
    <w:abstractNumId w:val="8"/>
  </w:num>
  <w:num w:numId="26">
    <w:abstractNumId w:val="17"/>
  </w:num>
  <w:num w:numId="27">
    <w:abstractNumId w:val="26"/>
  </w:num>
  <w:num w:numId="28">
    <w:abstractNumId w:val="23"/>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B4"/>
    <w:rsid w:val="000019BA"/>
    <w:rsid w:val="00015FB3"/>
    <w:rsid w:val="00023B74"/>
    <w:rsid w:val="000326B1"/>
    <w:rsid w:val="00034D7D"/>
    <w:rsid w:val="000467FD"/>
    <w:rsid w:val="000470B8"/>
    <w:rsid w:val="00047AD2"/>
    <w:rsid w:val="000629B0"/>
    <w:rsid w:val="000703DC"/>
    <w:rsid w:val="00074D82"/>
    <w:rsid w:val="000812D5"/>
    <w:rsid w:val="00081BE3"/>
    <w:rsid w:val="00095C69"/>
    <w:rsid w:val="000A1821"/>
    <w:rsid w:val="000A2D20"/>
    <w:rsid w:val="000B5E39"/>
    <w:rsid w:val="000B7DD9"/>
    <w:rsid w:val="000C11EF"/>
    <w:rsid w:val="000C7079"/>
    <w:rsid w:val="000E00A7"/>
    <w:rsid w:val="000E0F4C"/>
    <w:rsid w:val="000F3B1D"/>
    <w:rsid w:val="000F5469"/>
    <w:rsid w:val="00101DEE"/>
    <w:rsid w:val="00105629"/>
    <w:rsid w:val="00123200"/>
    <w:rsid w:val="001271DC"/>
    <w:rsid w:val="00131BA6"/>
    <w:rsid w:val="0013622D"/>
    <w:rsid w:val="0015181E"/>
    <w:rsid w:val="0015270A"/>
    <w:rsid w:val="0015553E"/>
    <w:rsid w:val="00160C46"/>
    <w:rsid w:val="00161920"/>
    <w:rsid w:val="0016633F"/>
    <w:rsid w:val="00173859"/>
    <w:rsid w:val="001802B0"/>
    <w:rsid w:val="0018595B"/>
    <w:rsid w:val="00190E3C"/>
    <w:rsid w:val="00194EAD"/>
    <w:rsid w:val="001A00C3"/>
    <w:rsid w:val="001B147A"/>
    <w:rsid w:val="001B4B93"/>
    <w:rsid w:val="001C5023"/>
    <w:rsid w:val="001C5997"/>
    <w:rsid w:val="001D35D3"/>
    <w:rsid w:val="001D773B"/>
    <w:rsid w:val="001E2055"/>
    <w:rsid w:val="001F17F1"/>
    <w:rsid w:val="001F4EE0"/>
    <w:rsid w:val="002017E3"/>
    <w:rsid w:val="00211AF8"/>
    <w:rsid w:val="00247747"/>
    <w:rsid w:val="00254C62"/>
    <w:rsid w:val="00255DF1"/>
    <w:rsid w:val="00264839"/>
    <w:rsid w:val="00277AAB"/>
    <w:rsid w:val="00280D62"/>
    <w:rsid w:val="00280EE9"/>
    <w:rsid w:val="002840E7"/>
    <w:rsid w:val="00284E97"/>
    <w:rsid w:val="00286CAF"/>
    <w:rsid w:val="00286E9A"/>
    <w:rsid w:val="002914F0"/>
    <w:rsid w:val="002931A7"/>
    <w:rsid w:val="002A5A0E"/>
    <w:rsid w:val="002B67D1"/>
    <w:rsid w:val="002C2D57"/>
    <w:rsid w:val="002C3020"/>
    <w:rsid w:val="002D0181"/>
    <w:rsid w:val="002D28A7"/>
    <w:rsid w:val="00303F96"/>
    <w:rsid w:val="00306117"/>
    <w:rsid w:val="003105AC"/>
    <w:rsid w:val="00315E91"/>
    <w:rsid w:val="0031610E"/>
    <w:rsid w:val="00334480"/>
    <w:rsid w:val="00334DA4"/>
    <w:rsid w:val="00334E93"/>
    <w:rsid w:val="003376B5"/>
    <w:rsid w:val="00341111"/>
    <w:rsid w:val="00342B08"/>
    <w:rsid w:val="003540CC"/>
    <w:rsid w:val="00354ED6"/>
    <w:rsid w:val="00362565"/>
    <w:rsid w:val="003629F6"/>
    <w:rsid w:val="003816DB"/>
    <w:rsid w:val="003858CC"/>
    <w:rsid w:val="003A0FBD"/>
    <w:rsid w:val="003A2032"/>
    <w:rsid w:val="003A537E"/>
    <w:rsid w:val="003B7864"/>
    <w:rsid w:val="003B7C43"/>
    <w:rsid w:val="003C477C"/>
    <w:rsid w:val="003D0E34"/>
    <w:rsid w:val="003E0DFE"/>
    <w:rsid w:val="003F5459"/>
    <w:rsid w:val="00402517"/>
    <w:rsid w:val="00424004"/>
    <w:rsid w:val="0042523F"/>
    <w:rsid w:val="00425456"/>
    <w:rsid w:val="00427B0A"/>
    <w:rsid w:val="004311FE"/>
    <w:rsid w:val="00435639"/>
    <w:rsid w:val="004616E6"/>
    <w:rsid w:val="00475746"/>
    <w:rsid w:val="004815B4"/>
    <w:rsid w:val="004824C8"/>
    <w:rsid w:val="004840BA"/>
    <w:rsid w:val="004923D5"/>
    <w:rsid w:val="004B21F3"/>
    <w:rsid w:val="004B5D76"/>
    <w:rsid w:val="004C1C9C"/>
    <w:rsid w:val="004C31A6"/>
    <w:rsid w:val="004C60DA"/>
    <w:rsid w:val="004D0EAF"/>
    <w:rsid w:val="004E1B12"/>
    <w:rsid w:val="004E468F"/>
    <w:rsid w:val="004F0991"/>
    <w:rsid w:val="004F3964"/>
    <w:rsid w:val="00507D58"/>
    <w:rsid w:val="0051079F"/>
    <w:rsid w:val="00511891"/>
    <w:rsid w:val="005126F0"/>
    <w:rsid w:val="005150C5"/>
    <w:rsid w:val="00542077"/>
    <w:rsid w:val="00544A2A"/>
    <w:rsid w:val="00545BE9"/>
    <w:rsid w:val="00547F42"/>
    <w:rsid w:val="00551DAE"/>
    <w:rsid w:val="005549E6"/>
    <w:rsid w:val="00561793"/>
    <w:rsid w:val="00567126"/>
    <w:rsid w:val="00570BA7"/>
    <w:rsid w:val="005721C1"/>
    <w:rsid w:val="00574A83"/>
    <w:rsid w:val="005873AE"/>
    <w:rsid w:val="00592C16"/>
    <w:rsid w:val="0059685A"/>
    <w:rsid w:val="005A1D40"/>
    <w:rsid w:val="005A34AF"/>
    <w:rsid w:val="005A54B0"/>
    <w:rsid w:val="005B2613"/>
    <w:rsid w:val="005B4190"/>
    <w:rsid w:val="005C1FD6"/>
    <w:rsid w:val="005D25A7"/>
    <w:rsid w:val="005D385A"/>
    <w:rsid w:val="005D7449"/>
    <w:rsid w:val="005F4769"/>
    <w:rsid w:val="005F5A19"/>
    <w:rsid w:val="00605176"/>
    <w:rsid w:val="006053BE"/>
    <w:rsid w:val="00614CFA"/>
    <w:rsid w:val="0061648C"/>
    <w:rsid w:val="006301E7"/>
    <w:rsid w:val="00653DA5"/>
    <w:rsid w:val="00654F2C"/>
    <w:rsid w:val="006608E1"/>
    <w:rsid w:val="00673A4D"/>
    <w:rsid w:val="00683674"/>
    <w:rsid w:val="0068495C"/>
    <w:rsid w:val="0069000D"/>
    <w:rsid w:val="00691C23"/>
    <w:rsid w:val="00692CD1"/>
    <w:rsid w:val="006A03B6"/>
    <w:rsid w:val="006A155C"/>
    <w:rsid w:val="006A19D0"/>
    <w:rsid w:val="006B061C"/>
    <w:rsid w:val="006B08B7"/>
    <w:rsid w:val="006B0B9A"/>
    <w:rsid w:val="006B7078"/>
    <w:rsid w:val="006B75AA"/>
    <w:rsid w:val="006C12BD"/>
    <w:rsid w:val="006C3A94"/>
    <w:rsid w:val="006C71DD"/>
    <w:rsid w:val="006D57EF"/>
    <w:rsid w:val="006D5DE2"/>
    <w:rsid w:val="006E4313"/>
    <w:rsid w:val="006E73AD"/>
    <w:rsid w:val="006F4A99"/>
    <w:rsid w:val="006F57E6"/>
    <w:rsid w:val="006F5FD3"/>
    <w:rsid w:val="00702564"/>
    <w:rsid w:val="00711375"/>
    <w:rsid w:val="0071400E"/>
    <w:rsid w:val="007245F8"/>
    <w:rsid w:val="00730430"/>
    <w:rsid w:val="00735AED"/>
    <w:rsid w:val="00745794"/>
    <w:rsid w:val="00762530"/>
    <w:rsid w:val="00763A7E"/>
    <w:rsid w:val="00772D81"/>
    <w:rsid w:val="007766C2"/>
    <w:rsid w:val="00782980"/>
    <w:rsid w:val="00783F2A"/>
    <w:rsid w:val="007846C1"/>
    <w:rsid w:val="00784E5B"/>
    <w:rsid w:val="00786B1D"/>
    <w:rsid w:val="00794D6B"/>
    <w:rsid w:val="007A0490"/>
    <w:rsid w:val="007A2A75"/>
    <w:rsid w:val="007C1C0D"/>
    <w:rsid w:val="007D56E3"/>
    <w:rsid w:val="007D7C70"/>
    <w:rsid w:val="007F3E87"/>
    <w:rsid w:val="00812B75"/>
    <w:rsid w:val="00826145"/>
    <w:rsid w:val="00844E6D"/>
    <w:rsid w:val="0085164C"/>
    <w:rsid w:val="008574A4"/>
    <w:rsid w:val="00877069"/>
    <w:rsid w:val="0087767C"/>
    <w:rsid w:val="008835F9"/>
    <w:rsid w:val="00884511"/>
    <w:rsid w:val="0088474A"/>
    <w:rsid w:val="008925E3"/>
    <w:rsid w:val="008A11F2"/>
    <w:rsid w:val="008A1279"/>
    <w:rsid w:val="008A2ACD"/>
    <w:rsid w:val="008A683F"/>
    <w:rsid w:val="008C6078"/>
    <w:rsid w:val="008E0228"/>
    <w:rsid w:val="008E0F4B"/>
    <w:rsid w:val="008E5943"/>
    <w:rsid w:val="008E62F3"/>
    <w:rsid w:val="008F4190"/>
    <w:rsid w:val="008F6C1B"/>
    <w:rsid w:val="00910F0A"/>
    <w:rsid w:val="0092208C"/>
    <w:rsid w:val="00924CB1"/>
    <w:rsid w:val="00926D1C"/>
    <w:rsid w:val="00930B4A"/>
    <w:rsid w:val="00932109"/>
    <w:rsid w:val="00932139"/>
    <w:rsid w:val="00933634"/>
    <w:rsid w:val="009369DD"/>
    <w:rsid w:val="0094563F"/>
    <w:rsid w:val="009460C7"/>
    <w:rsid w:val="0095129B"/>
    <w:rsid w:val="00955D93"/>
    <w:rsid w:val="00955F0A"/>
    <w:rsid w:val="00961C78"/>
    <w:rsid w:val="00964584"/>
    <w:rsid w:val="00975646"/>
    <w:rsid w:val="009848BC"/>
    <w:rsid w:val="009853C4"/>
    <w:rsid w:val="009979EA"/>
    <w:rsid w:val="009B2FDE"/>
    <w:rsid w:val="009D03CE"/>
    <w:rsid w:val="009D2D1F"/>
    <w:rsid w:val="009D3FFA"/>
    <w:rsid w:val="009D5E9D"/>
    <w:rsid w:val="009E0B85"/>
    <w:rsid w:val="009E412C"/>
    <w:rsid w:val="009F0E0A"/>
    <w:rsid w:val="009F73D0"/>
    <w:rsid w:val="00A02D53"/>
    <w:rsid w:val="00A039BE"/>
    <w:rsid w:val="00A34673"/>
    <w:rsid w:val="00A523C3"/>
    <w:rsid w:val="00A527EE"/>
    <w:rsid w:val="00A61138"/>
    <w:rsid w:val="00A64BE2"/>
    <w:rsid w:val="00A67384"/>
    <w:rsid w:val="00A733E4"/>
    <w:rsid w:val="00A742C8"/>
    <w:rsid w:val="00A83ED0"/>
    <w:rsid w:val="00A859CA"/>
    <w:rsid w:val="00A85CE7"/>
    <w:rsid w:val="00A90425"/>
    <w:rsid w:val="00A92273"/>
    <w:rsid w:val="00A938BF"/>
    <w:rsid w:val="00A96804"/>
    <w:rsid w:val="00AA212B"/>
    <w:rsid w:val="00AB398E"/>
    <w:rsid w:val="00AC1DD9"/>
    <w:rsid w:val="00AC5312"/>
    <w:rsid w:val="00AD3486"/>
    <w:rsid w:val="00AF4DE0"/>
    <w:rsid w:val="00B0454A"/>
    <w:rsid w:val="00B07E3B"/>
    <w:rsid w:val="00B115B5"/>
    <w:rsid w:val="00B12286"/>
    <w:rsid w:val="00B16CA6"/>
    <w:rsid w:val="00B17106"/>
    <w:rsid w:val="00B21CDB"/>
    <w:rsid w:val="00B27B00"/>
    <w:rsid w:val="00B31681"/>
    <w:rsid w:val="00B32204"/>
    <w:rsid w:val="00B40ABA"/>
    <w:rsid w:val="00B47276"/>
    <w:rsid w:val="00B51ED3"/>
    <w:rsid w:val="00B533FE"/>
    <w:rsid w:val="00B625F7"/>
    <w:rsid w:val="00B75F32"/>
    <w:rsid w:val="00B771CE"/>
    <w:rsid w:val="00B8037B"/>
    <w:rsid w:val="00B844B0"/>
    <w:rsid w:val="00B851B0"/>
    <w:rsid w:val="00B85CD1"/>
    <w:rsid w:val="00B91682"/>
    <w:rsid w:val="00B93676"/>
    <w:rsid w:val="00B9523A"/>
    <w:rsid w:val="00BA090F"/>
    <w:rsid w:val="00BA22DD"/>
    <w:rsid w:val="00BA2B4D"/>
    <w:rsid w:val="00BA62D5"/>
    <w:rsid w:val="00BB40FB"/>
    <w:rsid w:val="00BB70DE"/>
    <w:rsid w:val="00BC2DC4"/>
    <w:rsid w:val="00BC43C0"/>
    <w:rsid w:val="00BD444A"/>
    <w:rsid w:val="00BE2D8F"/>
    <w:rsid w:val="00BE3A55"/>
    <w:rsid w:val="00BE574A"/>
    <w:rsid w:val="00BE69A3"/>
    <w:rsid w:val="00BF25E3"/>
    <w:rsid w:val="00BF6752"/>
    <w:rsid w:val="00C01A0A"/>
    <w:rsid w:val="00C050ED"/>
    <w:rsid w:val="00C13CB2"/>
    <w:rsid w:val="00C14417"/>
    <w:rsid w:val="00C21699"/>
    <w:rsid w:val="00C32861"/>
    <w:rsid w:val="00C32F78"/>
    <w:rsid w:val="00C36243"/>
    <w:rsid w:val="00C415FD"/>
    <w:rsid w:val="00C52DA9"/>
    <w:rsid w:val="00C55602"/>
    <w:rsid w:val="00C705EA"/>
    <w:rsid w:val="00C731BA"/>
    <w:rsid w:val="00C8004E"/>
    <w:rsid w:val="00C85428"/>
    <w:rsid w:val="00C86CDA"/>
    <w:rsid w:val="00C875C9"/>
    <w:rsid w:val="00C9042F"/>
    <w:rsid w:val="00C93894"/>
    <w:rsid w:val="00C945A7"/>
    <w:rsid w:val="00CA0AA1"/>
    <w:rsid w:val="00CB22F9"/>
    <w:rsid w:val="00CC3F09"/>
    <w:rsid w:val="00CD603E"/>
    <w:rsid w:val="00CD6FB9"/>
    <w:rsid w:val="00CE001C"/>
    <w:rsid w:val="00CF1DA2"/>
    <w:rsid w:val="00CF448A"/>
    <w:rsid w:val="00D04FCD"/>
    <w:rsid w:val="00D10BDE"/>
    <w:rsid w:val="00D13097"/>
    <w:rsid w:val="00D26496"/>
    <w:rsid w:val="00D27F05"/>
    <w:rsid w:val="00D42F56"/>
    <w:rsid w:val="00D553AA"/>
    <w:rsid w:val="00D56458"/>
    <w:rsid w:val="00D56C20"/>
    <w:rsid w:val="00D705E3"/>
    <w:rsid w:val="00D74676"/>
    <w:rsid w:val="00D86B27"/>
    <w:rsid w:val="00DA36A0"/>
    <w:rsid w:val="00DA6F70"/>
    <w:rsid w:val="00DA79EC"/>
    <w:rsid w:val="00DB0EE6"/>
    <w:rsid w:val="00DC1C44"/>
    <w:rsid w:val="00DD08CE"/>
    <w:rsid w:val="00DD19E6"/>
    <w:rsid w:val="00DD24DA"/>
    <w:rsid w:val="00DE7E3A"/>
    <w:rsid w:val="00DF36F6"/>
    <w:rsid w:val="00E049D9"/>
    <w:rsid w:val="00E1675C"/>
    <w:rsid w:val="00E21311"/>
    <w:rsid w:val="00E24622"/>
    <w:rsid w:val="00E320D7"/>
    <w:rsid w:val="00E41C11"/>
    <w:rsid w:val="00E42461"/>
    <w:rsid w:val="00E461FE"/>
    <w:rsid w:val="00E52BFC"/>
    <w:rsid w:val="00E60D79"/>
    <w:rsid w:val="00E6441F"/>
    <w:rsid w:val="00E65DBD"/>
    <w:rsid w:val="00E66356"/>
    <w:rsid w:val="00E85F5E"/>
    <w:rsid w:val="00E86774"/>
    <w:rsid w:val="00E86DC5"/>
    <w:rsid w:val="00E96278"/>
    <w:rsid w:val="00EA0D08"/>
    <w:rsid w:val="00EA3DA3"/>
    <w:rsid w:val="00EB072B"/>
    <w:rsid w:val="00EB337C"/>
    <w:rsid w:val="00EB345A"/>
    <w:rsid w:val="00EC1A50"/>
    <w:rsid w:val="00ED436B"/>
    <w:rsid w:val="00EE1339"/>
    <w:rsid w:val="00EF39CC"/>
    <w:rsid w:val="00F000F3"/>
    <w:rsid w:val="00F04AB0"/>
    <w:rsid w:val="00F20828"/>
    <w:rsid w:val="00F22821"/>
    <w:rsid w:val="00F27CDA"/>
    <w:rsid w:val="00F3478F"/>
    <w:rsid w:val="00F44260"/>
    <w:rsid w:val="00F53C99"/>
    <w:rsid w:val="00F55036"/>
    <w:rsid w:val="00F568C6"/>
    <w:rsid w:val="00F615EC"/>
    <w:rsid w:val="00F6643D"/>
    <w:rsid w:val="00F67CF0"/>
    <w:rsid w:val="00F7105F"/>
    <w:rsid w:val="00F8628F"/>
    <w:rsid w:val="00F958A1"/>
    <w:rsid w:val="00F96BCD"/>
    <w:rsid w:val="00F976E2"/>
    <w:rsid w:val="00FA041D"/>
    <w:rsid w:val="00FA3D1A"/>
    <w:rsid w:val="00FA4122"/>
    <w:rsid w:val="00FA7999"/>
    <w:rsid w:val="00FB16DF"/>
    <w:rsid w:val="00FB5B55"/>
    <w:rsid w:val="00FC1F2F"/>
    <w:rsid w:val="00FC2369"/>
    <w:rsid w:val="00FC2E3F"/>
    <w:rsid w:val="00FC4774"/>
    <w:rsid w:val="00FC5D88"/>
    <w:rsid w:val="00FE1C18"/>
    <w:rsid w:val="00FF29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402D"/>
  <w15:docId w15:val="{6B2D6C6F-8C20-439E-813C-C2DD1D13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character" w:styleId="Refdecomentario">
    <w:name w:val="annotation reference"/>
    <w:basedOn w:val="Fuentedeprrafopredeter"/>
    <w:uiPriority w:val="99"/>
    <w:semiHidden/>
    <w:unhideWhenUsed/>
    <w:rsid w:val="00280D62"/>
    <w:rPr>
      <w:sz w:val="16"/>
      <w:szCs w:val="16"/>
    </w:rPr>
  </w:style>
  <w:style w:type="paragraph" w:styleId="Textocomentario">
    <w:name w:val="annotation text"/>
    <w:basedOn w:val="Normal"/>
    <w:link w:val="TextocomentarioCar"/>
    <w:uiPriority w:val="99"/>
    <w:semiHidden/>
    <w:unhideWhenUsed/>
    <w:rsid w:val="00280D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0D62"/>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280D62"/>
    <w:rPr>
      <w:b/>
      <w:bCs/>
    </w:rPr>
  </w:style>
  <w:style w:type="character" w:customStyle="1" w:styleId="AsuntodelcomentarioCar">
    <w:name w:val="Asunto del comentario Car"/>
    <w:basedOn w:val="TextocomentarioCar"/>
    <w:link w:val="Asuntodelcomentario"/>
    <w:uiPriority w:val="99"/>
    <w:semiHidden/>
    <w:rsid w:val="00280D62"/>
    <w:rPr>
      <w:rFonts w:ascii="Times New Roman" w:eastAsia="Arial Unicode MS" w:hAnsi="Times New Roman" w:cs="Tahoma"/>
      <w:b/>
      <w:bCs/>
      <w:color w:val="00000A"/>
      <w:szCs w:val="20"/>
      <w:lang w:val="es-ES" w:eastAsia="es-CO" w:bidi="ar-SA"/>
    </w:rPr>
  </w:style>
  <w:style w:type="paragraph" w:styleId="Prrafodelista">
    <w:name w:val="List Paragraph"/>
    <w:basedOn w:val="Normal"/>
    <w:uiPriority w:val="34"/>
    <w:qFormat/>
    <w:rsid w:val="00475746"/>
    <w:pPr>
      <w:ind w:left="720"/>
      <w:contextualSpacing/>
    </w:pPr>
  </w:style>
  <w:style w:type="character" w:styleId="Hipervnculo">
    <w:name w:val="Hyperlink"/>
    <w:basedOn w:val="Fuentedeprrafopredeter"/>
    <w:uiPriority w:val="99"/>
    <w:unhideWhenUsed/>
    <w:rsid w:val="002A5A0E"/>
    <w:rPr>
      <w:color w:val="0563C1" w:themeColor="hyperlink"/>
      <w:u w:val="single"/>
    </w:rPr>
  </w:style>
  <w:style w:type="paragraph" w:customStyle="1" w:styleId="m7007535857312232601gmail-msolistparagraph">
    <w:name w:val="m_7007535857312232601gmail-msolistparagraph"/>
    <w:basedOn w:val="Normal"/>
    <w:rsid w:val="000F5469"/>
    <w:pPr>
      <w:widowControl/>
      <w:suppressAutoHyphens w:val="0"/>
      <w:spacing w:before="100" w:beforeAutospacing="1" w:after="100" w:afterAutospacing="1" w:line="240" w:lineRule="auto"/>
    </w:pPr>
    <w:rPr>
      <w:rFonts w:eastAsia="Times New Roman"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177">
      <w:bodyDiv w:val="1"/>
      <w:marLeft w:val="0"/>
      <w:marRight w:val="0"/>
      <w:marTop w:val="0"/>
      <w:marBottom w:val="0"/>
      <w:divBdr>
        <w:top w:val="none" w:sz="0" w:space="0" w:color="auto"/>
        <w:left w:val="none" w:sz="0" w:space="0" w:color="auto"/>
        <w:bottom w:val="none" w:sz="0" w:space="0" w:color="auto"/>
        <w:right w:val="none" w:sz="0" w:space="0" w:color="auto"/>
      </w:divBdr>
    </w:div>
    <w:div w:id="15281046">
      <w:bodyDiv w:val="1"/>
      <w:marLeft w:val="0"/>
      <w:marRight w:val="0"/>
      <w:marTop w:val="0"/>
      <w:marBottom w:val="0"/>
      <w:divBdr>
        <w:top w:val="none" w:sz="0" w:space="0" w:color="auto"/>
        <w:left w:val="none" w:sz="0" w:space="0" w:color="auto"/>
        <w:bottom w:val="none" w:sz="0" w:space="0" w:color="auto"/>
        <w:right w:val="none" w:sz="0" w:space="0" w:color="auto"/>
      </w:divBdr>
    </w:div>
    <w:div w:id="28800927">
      <w:bodyDiv w:val="1"/>
      <w:marLeft w:val="0"/>
      <w:marRight w:val="0"/>
      <w:marTop w:val="0"/>
      <w:marBottom w:val="0"/>
      <w:divBdr>
        <w:top w:val="none" w:sz="0" w:space="0" w:color="auto"/>
        <w:left w:val="none" w:sz="0" w:space="0" w:color="auto"/>
        <w:bottom w:val="none" w:sz="0" w:space="0" w:color="auto"/>
        <w:right w:val="none" w:sz="0" w:space="0" w:color="auto"/>
      </w:divBdr>
    </w:div>
    <w:div w:id="34162142">
      <w:bodyDiv w:val="1"/>
      <w:marLeft w:val="0"/>
      <w:marRight w:val="0"/>
      <w:marTop w:val="0"/>
      <w:marBottom w:val="0"/>
      <w:divBdr>
        <w:top w:val="none" w:sz="0" w:space="0" w:color="auto"/>
        <w:left w:val="none" w:sz="0" w:space="0" w:color="auto"/>
        <w:bottom w:val="none" w:sz="0" w:space="0" w:color="auto"/>
        <w:right w:val="none" w:sz="0" w:space="0" w:color="auto"/>
      </w:divBdr>
    </w:div>
    <w:div w:id="83652193">
      <w:bodyDiv w:val="1"/>
      <w:marLeft w:val="0"/>
      <w:marRight w:val="0"/>
      <w:marTop w:val="0"/>
      <w:marBottom w:val="0"/>
      <w:divBdr>
        <w:top w:val="none" w:sz="0" w:space="0" w:color="auto"/>
        <w:left w:val="none" w:sz="0" w:space="0" w:color="auto"/>
        <w:bottom w:val="none" w:sz="0" w:space="0" w:color="auto"/>
        <w:right w:val="none" w:sz="0" w:space="0" w:color="auto"/>
      </w:divBdr>
    </w:div>
    <w:div w:id="113597305">
      <w:bodyDiv w:val="1"/>
      <w:marLeft w:val="0"/>
      <w:marRight w:val="0"/>
      <w:marTop w:val="0"/>
      <w:marBottom w:val="0"/>
      <w:divBdr>
        <w:top w:val="none" w:sz="0" w:space="0" w:color="auto"/>
        <w:left w:val="none" w:sz="0" w:space="0" w:color="auto"/>
        <w:bottom w:val="none" w:sz="0" w:space="0" w:color="auto"/>
        <w:right w:val="none" w:sz="0" w:space="0" w:color="auto"/>
      </w:divBdr>
    </w:div>
    <w:div w:id="132915450">
      <w:bodyDiv w:val="1"/>
      <w:marLeft w:val="0"/>
      <w:marRight w:val="0"/>
      <w:marTop w:val="0"/>
      <w:marBottom w:val="0"/>
      <w:divBdr>
        <w:top w:val="none" w:sz="0" w:space="0" w:color="auto"/>
        <w:left w:val="none" w:sz="0" w:space="0" w:color="auto"/>
        <w:bottom w:val="none" w:sz="0" w:space="0" w:color="auto"/>
        <w:right w:val="none" w:sz="0" w:space="0" w:color="auto"/>
      </w:divBdr>
    </w:div>
    <w:div w:id="154341335">
      <w:bodyDiv w:val="1"/>
      <w:marLeft w:val="0"/>
      <w:marRight w:val="0"/>
      <w:marTop w:val="0"/>
      <w:marBottom w:val="0"/>
      <w:divBdr>
        <w:top w:val="none" w:sz="0" w:space="0" w:color="auto"/>
        <w:left w:val="none" w:sz="0" w:space="0" w:color="auto"/>
        <w:bottom w:val="none" w:sz="0" w:space="0" w:color="auto"/>
        <w:right w:val="none" w:sz="0" w:space="0" w:color="auto"/>
      </w:divBdr>
    </w:div>
    <w:div w:id="181091366">
      <w:bodyDiv w:val="1"/>
      <w:marLeft w:val="0"/>
      <w:marRight w:val="0"/>
      <w:marTop w:val="0"/>
      <w:marBottom w:val="0"/>
      <w:divBdr>
        <w:top w:val="none" w:sz="0" w:space="0" w:color="auto"/>
        <w:left w:val="none" w:sz="0" w:space="0" w:color="auto"/>
        <w:bottom w:val="none" w:sz="0" w:space="0" w:color="auto"/>
        <w:right w:val="none" w:sz="0" w:space="0" w:color="auto"/>
      </w:divBdr>
    </w:div>
    <w:div w:id="182865424">
      <w:bodyDiv w:val="1"/>
      <w:marLeft w:val="0"/>
      <w:marRight w:val="0"/>
      <w:marTop w:val="0"/>
      <w:marBottom w:val="0"/>
      <w:divBdr>
        <w:top w:val="none" w:sz="0" w:space="0" w:color="auto"/>
        <w:left w:val="none" w:sz="0" w:space="0" w:color="auto"/>
        <w:bottom w:val="none" w:sz="0" w:space="0" w:color="auto"/>
        <w:right w:val="none" w:sz="0" w:space="0" w:color="auto"/>
      </w:divBdr>
      <w:divsChild>
        <w:div w:id="216472519">
          <w:marLeft w:val="0"/>
          <w:marRight w:val="0"/>
          <w:marTop w:val="0"/>
          <w:marBottom w:val="0"/>
          <w:divBdr>
            <w:top w:val="none" w:sz="0" w:space="0" w:color="auto"/>
            <w:left w:val="none" w:sz="0" w:space="0" w:color="auto"/>
            <w:bottom w:val="none" w:sz="0" w:space="0" w:color="auto"/>
            <w:right w:val="none" w:sz="0" w:space="0" w:color="auto"/>
          </w:divBdr>
        </w:div>
        <w:div w:id="252396741">
          <w:marLeft w:val="0"/>
          <w:marRight w:val="0"/>
          <w:marTop w:val="0"/>
          <w:marBottom w:val="0"/>
          <w:divBdr>
            <w:top w:val="none" w:sz="0" w:space="0" w:color="auto"/>
            <w:left w:val="none" w:sz="0" w:space="0" w:color="auto"/>
            <w:bottom w:val="none" w:sz="0" w:space="0" w:color="auto"/>
            <w:right w:val="none" w:sz="0" w:space="0" w:color="auto"/>
          </w:divBdr>
        </w:div>
        <w:div w:id="409039927">
          <w:marLeft w:val="0"/>
          <w:marRight w:val="0"/>
          <w:marTop w:val="0"/>
          <w:marBottom w:val="0"/>
          <w:divBdr>
            <w:top w:val="none" w:sz="0" w:space="0" w:color="auto"/>
            <w:left w:val="none" w:sz="0" w:space="0" w:color="auto"/>
            <w:bottom w:val="none" w:sz="0" w:space="0" w:color="auto"/>
            <w:right w:val="none" w:sz="0" w:space="0" w:color="auto"/>
          </w:divBdr>
        </w:div>
        <w:div w:id="549265522">
          <w:marLeft w:val="0"/>
          <w:marRight w:val="0"/>
          <w:marTop w:val="0"/>
          <w:marBottom w:val="0"/>
          <w:divBdr>
            <w:top w:val="none" w:sz="0" w:space="0" w:color="auto"/>
            <w:left w:val="none" w:sz="0" w:space="0" w:color="auto"/>
            <w:bottom w:val="none" w:sz="0" w:space="0" w:color="auto"/>
            <w:right w:val="none" w:sz="0" w:space="0" w:color="auto"/>
          </w:divBdr>
        </w:div>
        <w:div w:id="627929646">
          <w:marLeft w:val="0"/>
          <w:marRight w:val="0"/>
          <w:marTop w:val="0"/>
          <w:marBottom w:val="0"/>
          <w:divBdr>
            <w:top w:val="none" w:sz="0" w:space="0" w:color="auto"/>
            <w:left w:val="none" w:sz="0" w:space="0" w:color="auto"/>
            <w:bottom w:val="none" w:sz="0" w:space="0" w:color="auto"/>
            <w:right w:val="none" w:sz="0" w:space="0" w:color="auto"/>
          </w:divBdr>
        </w:div>
        <w:div w:id="843932963">
          <w:marLeft w:val="0"/>
          <w:marRight w:val="0"/>
          <w:marTop w:val="0"/>
          <w:marBottom w:val="0"/>
          <w:divBdr>
            <w:top w:val="none" w:sz="0" w:space="0" w:color="auto"/>
            <w:left w:val="none" w:sz="0" w:space="0" w:color="auto"/>
            <w:bottom w:val="none" w:sz="0" w:space="0" w:color="auto"/>
            <w:right w:val="none" w:sz="0" w:space="0" w:color="auto"/>
          </w:divBdr>
        </w:div>
        <w:div w:id="1149520442">
          <w:marLeft w:val="0"/>
          <w:marRight w:val="0"/>
          <w:marTop w:val="0"/>
          <w:marBottom w:val="0"/>
          <w:divBdr>
            <w:top w:val="none" w:sz="0" w:space="0" w:color="auto"/>
            <w:left w:val="none" w:sz="0" w:space="0" w:color="auto"/>
            <w:bottom w:val="none" w:sz="0" w:space="0" w:color="auto"/>
            <w:right w:val="none" w:sz="0" w:space="0" w:color="auto"/>
          </w:divBdr>
        </w:div>
        <w:div w:id="1195189563">
          <w:marLeft w:val="0"/>
          <w:marRight w:val="0"/>
          <w:marTop w:val="0"/>
          <w:marBottom w:val="0"/>
          <w:divBdr>
            <w:top w:val="none" w:sz="0" w:space="0" w:color="auto"/>
            <w:left w:val="none" w:sz="0" w:space="0" w:color="auto"/>
            <w:bottom w:val="none" w:sz="0" w:space="0" w:color="auto"/>
            <w:right w:val="none" w:sz="0" w:space="0" w:color="auto"/>
          </w:divBdr>
        </w:div>
        <w:div w:id="1208645544">
          <w:marLeft w:val="0"/>
          <w:marRight w:val="0"/>
          <w:marTop w:val="0"/>
          <w:marBottom w:val="0"/>
          <w:divBdr>
            <w:top w:val="none" w:sz="0" w:space="0" w:color="auto"/>
            <w:left w:val="none" w:sz="0" w:space="0" w:color="auto"/>
            <w:bottom w:val="none" w:sz="0" w:space="0" w:color="auto"/>
            <w:right w:val="none" w:sz="0" w:space="0" w:color="auto"/>
          </w:divBdr>
        </w:div>
        <w:div w:id="1288776610">
          <w:marLeft w:val="0"/>
          <w:marRight w:val="0"/>
          <w:marTop w:val="0"/>
          <w:marBottom w:val="0"/>
          <w:divBdr>
            <w:top w:val="none" w:sz="0" w:space="0" w:color="auto"/>
            <w:left w:val="none" w:sz="0" w:space="0" w:color="auto"/>
            <w:bottom w:val="none" w:sz="0" w:space="0" w:color="auto"/>
            <w:right w:val="none" w:sz="0" w:space="0" w:color="auto"/>
          </w:divBdr>
        </w:div>
        <w:div w:id="1314262286">
          <w:marLeft w:val="0"/>
          <w:marRight w:val="0"/>
          <w:marTop w:val="0"/>
          <w:marBottom w:val="0"/>
          <w:divBdr>
            <w:top w:val="none" w:sz="0" w:space="0" w:color="auto"/>
            <w:left w:val="none" w:sz="0" w:space="0" w:color="auto"/>
            <w:bottom w:val="none" w:sz="0" w:space="0" w:color="auto"/>
            <w:right w:val="none" w:sz="0" w:space="0" w:color="auto"/>
          </w:divBdr>
        </w:div>
        <w:div w:id="1352417961">
          <w:marLeft w:val="0"/>
          <w:marRight w:val="0"/>
          <w:marTop w:val="0"/>
          <w:marBottom w:val="0"/>
          <w:divBdr>
            <w:top w:val="none" w:sz="0" w:space="0" w:color="auto"/>
            <w:left w:val="none" w:sz="0" w:space="0" w:color="auto"/>
            <w:bottom w:val="none" w:sz="0" w:space="0" w:color="auto"/>
            <w:right w:val="none" w:sz="0" w:space="0" w:color="auto"/>
          </w:divBdr>
        </w:div>
        <w:div w:id="1411266525">
          <w:marLeft w:val="0"/>
          <w:marRight w:val="0"/>
          <w:marTop w:val="0"/>
          <w:marBottom w:val="0"/>
          <w:divBdr>
            <w:top w:val="none" w:sz="0" w:space="0" w:color="auto"/>
            <w:left w:val="none" w:sz="0" w:space="0" w:color="auto"/>
            <w:bottom w:val="none" w:sz="0" w:space="0" w:color="auto"/>
            <w:right w:val="none" w:sz="0" w:space="0" w:color="auto"/>
          </w:divBdr>
        </w:div>
        <w:div w:id="1599363820">
          <w:marLeft w:val="0"/>
          <w:marRight w:val="0"/>
          <w:marTop w:val="0"/>
          <w:marBottom w:val="0"/>
          <w:divBdr>
            <w:top w:val="none" w:sz="0" w:space="0" w:color="auto"/>
            <w:left w:val="none" w:sz="0" w:space="0" w:color="auto"/>
            <w:bottom w:val="none" w:sz="0" w:space="0" w:color="auto"/>
            <w:right w:val="none" w:sz="0" w:space="0" w:color="auto"/>
          </w:divBdr>
        </w:div>
        <w:div w:id="1716346923">
          <w:marLeft w:val="0"/>
          <w:marRight w:val="0"/>
          <w:marTop w:val="0"/>
          <w:marBottom w:val="0"/>
          <w:divBdr>
            <w:top w:val="none" w:sz="0" w:space="0" w:color="auto"/>
            <w:left w:val="none" w:sz="0" w:space="0" w:color="auto"/>
            <w:bottom w:val="none" w:sz="0" w:space="0" w:color="auto"/>
            <w:right w:val="none" w:sz="0" w:space="0" w:color="auto"/>
          </w:divBdr>
        </w:div>
        <w:div w:id="1893156495">
          <w:marLeft w:val="0"/>
          <w:marRight w:val="0"/>
          <w:marTop w:val="0"/>
          <w:marBottom w:val="0"/>
          <w:divBdr>
            <w:top w:val="none" w:sz="0" w:space="0" w:color="auto"/>
            <w:left w:val="none" w:sz="0" w:space="0" w:color="auto"/>
            <w:bottom w:val="none" w:sz="0" w:space="0" w:color="auto"/>
            <w:right w:val="none" w:sz="0" w:space="0" w:color="auto"/>
          </w:divBdr>
        </w:div>
        <w:div w:id="1936086421">
          <w:marLeft w:val="0"/>
          <w:marRight w:val="0"/>
          <w:marTop w:val="0"/>
          <w:marBottom w:val="0"/>
          <w:divBdr>
            <w:top w:val="none" w:sz="0" w:space="0" w:color="auto"/>
            <w:left w:val="none" w:sz="0" w:space="0" w:color="auto"/>
            <w:bottom w:val="none" w:sz="0" w:space="0" w:color="auto"/>
            <w:right w:val="none" w:sz="0" w:space="0" w:color="auto"/>
          </w:divBdr>
        </w:div>
        <w:div w:id="2006979404">
          <w:marLeft w:val="0"/>
          <w:marRight w:val="0"/>
          <w:marTop w:val="0"/>
          <w:marBottom w:val="0"/>
          <w:divBdr>
            <w:top w:val="none" w:sz="0" w:space="0" w:color="auto"/>
            <w:left w:val="none" w:sz="0" w:space="0" w:color="auto"/>
            <w:bottom w:val="none" w:sz="0" w:space="0" w:color="auto"/>
            <w:right w:val="none" w:sz="0" w:space="0" w:color="auto"/>
          </w:divBdr>
        </w:div>
        <w:div w:id="2046061251">
          <w:marLeft w:val="0"/>
          <w:marRight w:val="0"/>
          <w:marTop w:val="0"/>
          <w:marBottom w:val="0"/>
          <w:divBdr>
            <w:top w:val="none" w:sz="0" w:space="0" w:color="auto"/>
            <w:left w:val="none" w:sz="0" w:space="0" w:color="auto"/>
            <w:bottom w:val="none" w:sz="0" w:space="0" w:color="auto"/>
            <w:right w:val="none" w:sz="0" w:space="0" w:color="auto"/>
          </w:divBdr>
        </w:div>
      </w:divsChild>
    </w:div>
    <w:div w:id="242031123">
      <w:bodyDiv w:val="1"/>
      <w:marLeft w:val="0"/>
      <w:marRight w:val="0"/>
      <w:marTop w:val="0"/>
      <w:marBottom w:val="0"/>
      <w:divBdr>
        <w:top w:val="none" w:sz="0" w:space="0" w:color="auto"/>
        <w:left w:val="none" w:sz="0" w:space="0" w:color="auto"/>
        <w:bottom w:val="none" w:sz="0" w:space="0" w:color="auto"/>
        <w:right w:val="none" w:sz="0" w:space="0" w:color="auto"/>
      </w:divBdr>
    </w:div>
    <w:div w:id="265433385">
      <w:bodyDiv w:val="1"/>
      <w:marLeft w:val="0"/>
      <w:marRight w:val="0"/>
      <w:marTop w:val="0"/>
      <w:marBottom w:val="0"/>
      <w:divBdr>
        <w:top w:val="none" w:sz="0" w:space="0" w:color="auto"/>
        <w:left w:val="none" w:sz="0" w:space="0" w:color="auto"/>
        <w:bottom w:val="none" w:sz="0" w:space="0" w:color="auto"/>
        <w:right w:val="none" w:sz="0" w:space="0" w:color="auto"/>
      </w:divBdr>
    </w:div>
    <w:div w:id="287317563">
      <w:bodyDiv w:val="1"/>
      <w:marLeft w:val="0"/>
      <w:marRight w:val="0"/>
      <w:marTop w:val="0"/>
      <w:marBottom w:val="0"/>
      <w:divBdr>
        <w:top w:val="none" w:sz="0" w:space="0" w:color="auto"/>
        <w:left w:val="none" w:sz="0" w:space="0" w:color="auto"/>
        <w:bottom w:val="none" w:sz="0" w:space="0" w:color="auto"/>
        <w:right w:val="none" w:sz="0" w:space="0" w:color="auto"/>
      </w:divBdr>
    </w:div>
    <w:div w:id="317269165">
      <w:bodyDiv w:val="1"/>
      <w:marLeft w:val="0"/>
      <w:marRight w:val="0"/>
      <w:marTop w:val="0"/>
      <w:marBottom w:val="0"/>
      <w:divBdr>
        <w:top w:val="none" w:sz="0" w:space="0" w:color="auto"/>
        <w:left w:val="none" w:sz="0" w:space="0" w:color="auto"/>
        <w:bottom w:val="none" w:sz="0" w:space="0" w:color="auto"/>
        <w:right w:val="none" w:sz="0" w:space="0" w:color="auto"/>
      </w:divBdr>
    </w:div>
    <w:div w:id="356933870">
      <w:bodyDiv w:val="1"/>
      <w:marLeft w:val="0"/>
      <w:marRight w:val="0"/>
      <w:marTop w:val="0"/>
      <w:marBottom w:val="0"/>
      <w:divBdr>
        <w:top w:val="none" w:sz="0" w:space="0" w:color="auto"/>
        <w:left w:val="none" w:sz="0" w:space="0" w:color="auto"/>
        <w:bottom w:val="none" w:sz="0" w:space="0" w:color="auto"/>
        <w:right w:val="none" w:sz="0" w:space="0" w:color="auto"/>
      </w:divBdr>
    </w:div>
    <w:div w:id="451438064">
      <w:bodyDiv w:val="1"/>
      <w:marLeft w:val="0"/>
      <w:marRight w:val="0"/>
      <w:marTop w:val="0"/>
      <w:marBottom w:val="0"/>
      <w:divBdr>
        <w:top w:val="none" w:sz="0" w:space="0" w:color="auto"/>
        <w:left w:val="none" w:sz="0" w:space="0" w:color="auto"/>
        <w:bottom w:val="none" w:sz="0" w:space="0" w:color="auto"/>
        <w:right w:val="none" w:sz="0" w:space="0" w:color="auto"/>
      </w:divBdr>
    </w:div>
    <w:div w:id="461658150">
      <w:bodyDiv w:val="1"/>
      <w:marLeft w:val="0"/>
      <w:marRight w:val="0"/>
      <w:marTop w:val="0"/>
      <w:marBottom w:val="0"/>
      <w:divBdr>
        <w:top w:val="none" w:sz="0" w:space="0" w:color="auto"/>
        <w:left w:val="none" w:sz="0" w:space="0" w:color="auto"/>
        <w:bottom w:val="none" w:sz="0" w:space="0" w:color="auto"/>
        <w:right w:val="none" w:sz="0" w:space="0" w:color="auto"/>
      </w:divBdr>
    </w:div>
    <w:div w:id="472216276">
      <w:bodyDiv w:val="1"/>
      <w:marLeft w:val="0"/>
      <w:marRight w:val="0"/>
      <w:marTop w:val="0"/>
      <w:marBottom w:val="0"/>
      <w:divBdr>
        <w:top w:val="none" w:sz="0" w:space="0" w:color="auto"/>
        <w:left w:val="none" w:sz="0" w:space="0" w:color="auto"/>
        <w:bottom w:val="none" w:sz="0" w:space="0" w:color="auto"/>
        <w:right w:val="none" w:sz="0" w:space="0" w:color="auto"/>
      </w:divBdr>
    </w:div>
    <w:div w:id="482280651">
      <w:bodyDiv w:val="1"/>
      <w:marLeft w:val="0"/>
      <w:marRight w:val="0"/>
      <w:marTop w:val="0"/>
      <w:marBottom w:val="0"/>
      <w:divBdr>
        <w:top w:val="none" w:sz="0" w:space="0" w:color="auto"/>
        <w:left w:val="none" w:sz="0" w:space="0" w:color="auto"/>
        <w:bottom w:val="none" w:sz="0" w:space="0" w:color="auto"/>
        <w:right w:val="none" w:sz="0" w:space="0" w:color="auto"/>
      </w:divBdr>
    </w:div>
    <w:div w:id="541286868">
      <w:bodyDiv w:val="1"/>
      <w:marLeft w:val="0"/>
      <w:marRight w:val="0"/>
      <w:marTop w:val="0"/>
      <w:marBottom w:val="0"/>
      <w:divBdr>
        <w:top w:val="none" w:sz="0" w:space="0" w:color="auto"/>
        <w:left w:val="none" w:sz="0" w:space="0" w:color="auto"/>
        <w:bottom w:val="none" w:sz="0" w:space="0" w:color="auto"/>
        <w:right w:val="none" w:sz="0" w:space="0" w:color="auto"/>
      </w:divBdr>
    </w:div>
    <w:div w:id="546111679">
      <w:bodyDiv w:val="1"/>
      <w:marLeft w:val="0"/>
      <w:marRight w:val="0"/>
      <w:marTop w:val="0"/>
      <w:marBottom w:val="0"/>
      <w:divBdr>
        <w:top w:val="none" w:sz="0" w:space="0" w:color="auto"/>
        <w:left w:val="none" w:sz="0" w:space="0" w:color="auto"/>
        <w:bottom w:val="none" w:sz="0" w:space="0" w:color="auto"/>
        <w:right w:val="none" w:sz="0" w:space="0" w:color="auto"/>
      </w:divBdr>
    </w:div>
    <w:div w:id="547651035">
      <w:bodyDiv w:val="1"/>
      <w:marLeft w:val="0"/>
      <w:marRight w:val="0"/>
      <w:marTop w:val="0"/>
      <w:marBottom w:val="0"/>
      <w:divBdr>
        <w:top w:val="none" w:sz="0" w:space="0" w:color="auto"/>
        <w:left w:val="none" w:sz="0" w:space="0" w:color="auto"/>
        <w:bottom w:val="none" w:sz="0" w:space="0" w:color="auto"/>
        <w:right w:val="none" w:sz="0" w:space="0" w:color="auto"/>
      </w:divBdr>
    </w:div>
    <w:div w:id="585455568">
      <w:bodyDiv w:val="1"/>
      <w:marLeft w:val="0"/>
      <w:marRight w:val="0"/>
      <w:marTop w:val="0"/>
      <w:marBottom w:val="0"/>
      <w:divBdr>
        <w:top w:val="none" w:sz="0" w:space="0" w:color="auto"/>
        <w:left w:val="none" w:sz="0" w:space="0" w:color="auto"/>
        <w:bottom w:val="none" w:sz="0" w:space="0" w:color="auto"/>
        <w:right w:val="none" w:sz="0" w:space="0" w:color="auto"/>
      </w:divBdr>
    </w:div>
    <w:div w:id="589854860">
      <w:bodyDiv w:val="1"/>
      <w:marLeft w:val="0"/>
      <w:marRight w:val="0"/>
      <w:marTop w:val="0"/>
      <w:marBottom w:val="0"/>
      <w:divBdr>
        <w:top w:val="none" w:sz="0" w:space="0" w:color="auto"/>
        <w:left w:val="none" w:sz="0" w:space="0" w:color="auto"/>
        <w:bottom w:val="none" w:sz="0" w:space="0" w:color="auto"/>
        <w:right w:val="none" w:sz="0" w:space="0" w:color="auto"/>
      </w:divBdr>
    </w:div>
    <w:div w:id="628171024">
      <w:bodyDiv w:val="1"/>
      <w:marLeft w:val="0"/>
      <w:marRight w:val="0"/>
      <w:marTop w:val="0"/>
      <w:marBottom w:val="0"/>
      <w:divBdr>
        <w:top w:val="none" w:sz="0" w:space="0" w:color="auto"/>
        <w:left w:val="none" w:sz="0" w:space="0" w:color="auto"/>
        <w:bottom w:val="none" w:sz="0" w:space="0" w:color="auto"/>
        <w:right w:val="none" w:sz="0" w:space="0" w:color="auto"/>
      </w:divBdr>
    </w:div>
    <w:div w:id="634721785">
      <w:bodyDiv w:val="1"/>
      <w:marLeft w:val="0"/>
      <w:marRight w:val="0"/>
      <w:marTop w:val="0"/>
      <w:marBottom w:val="0"/>
      <w:divBdr>
        <w:top w:val="none" w:sz="0" w:space="0" w:color="auto"/>
        <w:left w:val="none" w:sz="0" w:space="0" w:color="auto"/>
        <w:bottom w:val="none" w:sz="0" w:space="0" w:color="auto"/>
        <w:right w:val="none" w:sz="0" w:space="0" w:color="auto"/>
      </w:divBdr>
    </w:div>
    <w:div w:id="658920511">
      <w:bodyDiv w:val="1"/>
      <w:marLeft w:val="0"/>
      <w:marRight w:val="0"/>
      <w:marTop w:val="0"/>
      <w:marBottom w:val="0"/>
      <w:divBdr>
        <w:top w:val="none" w:sz="0" w:space="0" w:color="auto"/>
        <w:left w:val="none" w:sz="0" w:space="0" w:color="auto"/>
        <w:bottom w:val="none" w:sz="0" w:space="0" w:color="auto"/>
        <w:right w:val="none" w:sz="0" w:space="0" w:color="auto"/>
      </w:divBdr>
    </w:div>
    <w:div w:id="663750935">
      <w:bodyDiv w:val="1"/>
      <w:marLeft w:val="0"/>
      <w:marRight w:val="0"/>
      <w:marTop w:val="0"/>
      <w:marBottom w:val="0"/>
      <w:divBdr>
        <w:top w:val="none" w:sz="0" w:space="0" w:color="auto"/>
        <w:left w:val="none" w:sz="0" w:space="0" w:color="auto"/>
        <w:bottom w:val="none" w:sz="0" w:space="0" w:color="auto"/>
        <w:right w:val="none" w:sz="0" w:space="0" w:color="auto"/>
      </w:divBdr>
    </w:div>
    <w:div w:id="668098395">
      <w:bodyDiv w:val="1"/>
      <w:marLeft w:val="0"/>
      <w:marRight w:val="0"/>
      <w:marTop w:val="0"/>
      <w:marBottom w:val="0"/>
      <w:divBdr>
        <w:top w:val="none" w:sz="0" w:space="0" w:color="auto"/>
        <w:left w:val="none" w:sz="0" w:space="0" w:color="auto"/>
        <w:bottom w:val="none" w:sz="0" w:space="0" w:color="auto"/>
        <w:right w:val="none" w:sz="0" w:space="0" w:color="auto"/>
      </w:divBdr>
    </w:div>
    <w:div w:id="696779925">
      <w:bodyDiv w:val="1"/>
      <w:marLeft w:val="0"/>
      <w:marRight w:val="0"/>
      <w:marTop w:val="0"/>
      <w:marBottom w:val="0"/>
      <w:divBdr>
        <w:top w:val="none" w:sz="0" w:space="0" w:color="auto"/>
        <w:left w:val="none" w:sz="0" w:space="0" w:color="auto"/>
        <w:bottom w:val="none" w:sz="0" w:space="0" w:color="auto"/>
        <w:right w:val="none" w:sz="0" w:space="0" w:color="auto"/>
      </w:divBdr>
    </w:div>
    <w:div w:id="724183742">
      <w:bodyDiv w:val="1"/>
      <w:marLeft w:val="0"/>
      <w:marRight w:val="0"/>
      <w:marTop w:val="0"/>
      <w:marBottom w:val="0"/>
      <w:divBdr>
        <w:top w:val="none" w:sz="0" w:space="0" w:color="auto"/>
        <w:left w:val="none" w:sz="0" w:space="0" w:color="auto"/>
        <w:bottom w:val="none" w:sz="0" w:space="0" w:color="auto"/>
        <w:right w:val="none" w:sz="0" w:space="0" w:color="auto"/>
      </w:divBdr>
    </w:div>
    <w:div w:id="726414521">
      <w:bodyDiv w:val="1"/>
      <w:marLeft w:val="0"/>
      <w:marRight w:val="0"/>
      <w:marTop w:val="0"/>
      <w:marBottom w:val="0"/>
      <w:divBdr>
        <w:top w:val="none" w:sz="0" w:space="0" w:color="auto"/>
        <w:left w:val="none" w:sz="0" w:space="0" w:color="auto"/>
        <w:bottom w:val="none" w:sz="0" w:space="0" w:color="auto"/>
        <w:right w:val="none" w:sz="0" w:space="0" w:color="auto"/>
      </w:divBdr>
    </w:div>
    <w:div w:id="726685881">
      <w:bodyDiv w:val="1"/>
      <w:marLeft w:val="0"/>
      <w:marRight w:val="0"/>
      <w:marTop w:val="0"/>
      <w:marBottom w:val="0"/>
      <w:divBdr>
        <w:top w:val="none" w:sz="0" w:space="0" w:color="auto"/>
        <w:left w:val="none" w:sz="0" w:space="0" w:color="auto"/>
        <w:bottom w:val="none" w:sz="0" w:space="0" w:color="auto"/>
        <w:right w:val="none" w:sz="0" w:space="0" w:color="auto"/>
      </w:divBdr>
    </w:div>
    <w:div w:id="751967760">
      <w:bodyDiv w:val="1"/>
      <w:marLeft w:val="0"/>
      <w:marRight w:val="0"/>
      <w:marTop w:val="0"/>
      <w:marBottom w:val="0"/>
      <w:divBdr>
        <w:top w:val="none" w:sz="0" w:space="0" w:color="auto"/>
        <w:left w:val="none" w:sz="0" w:space="0" w:color="auto"/>
        <w:bottom w:val="none" w:sz="0" w:space="0" w:color="auto"/>
        <w:right w:val="none" w:sz="0" w:space="0" w:color="auto"/>
      </w:divBdr>
    </w:div>
    <w:div w:id="755053208">
      <w:bodyDiv w:val="1"/>
      <w:marLeft w:val="0"/>
      <w:marRight w:val="0"/>
      <w:marTop w:val="0"/>
      <w:marBottom w:val="0"/>
      <w:divBdr>
        <w:top w:val="none" w:sz="0" w:space="0" w:color="auto"/>
        <w:left w:val="none" w:sz="0" w:space="0" w:color="auto"/>
        <w:bottom w:val="none" w:sz="0" w:space="0" w:color="auto"/>
        <w:right w:val="none" w:sz="0" w:space="0" w:color="auto"/>
      </w:divBdr>
    </w:div>
    <w:div w:id="781728758">
      <w:bodyDiv w:val="1"/>
      <w:marLeft w:val="0"/>
      <w:marRight w:val="0"/>
      <w:marTop w:val="0"/>
      <w:marBottom w:val="0"/>
      <w:divBdr>
        <w:top w:val="none" w:sz="0" w:space="0" w:color="auto"/>
        <w:left w:val="none" w:sz="0" w:space="0" w:color="auto"/>
        <w:bottom w:val="none" w:sz="0" w:space="0" w:color="auto"/>
        <w:right w:val="none" w:sz="0" w:space="0" w:color="auto"/>
      </w:divBdr>
    </w:div>
    <w:div w:id="822046808">
      <w:bodyDiv w:val="1"/>
      <w:marLeft w:val="0"/>
      <w:marRight w:val="0"/>
      <w:marTop w:val="0"/>
      <w:marBottom w:val="0"/>
      <w:divBdr>
        <w:top w:val="none" w:sz="0" w:space="0" w:color="auto"/>
        <w:left w:val="none" w:sz="0" w:space="0" w:color="auto"/>
        <w:bottom w:val="none" w:sz="0" w:space="0" w:color="auto"/>
        <w:right w:val="none" w:sz="0" w:space="0" w:color="auto"/>
      </w:divBdr>
    </w:div>
    <w:div w:id="822744116">
      <w:bodyDiv w:val="1"/>
      <w:marLeft w:val="0"/>
      <w:marRight w:val="0"/>
      <w:marTop w:val="0"/>
      <w:marBottom w:val="0"/>
      <w:divBdr>
        <w:top w:val="none" w:sz="0" w:space="0" w:color="auto"/>
        <w:left w:val="none" w:sz="0" w:space="0" w:color="auto"/>
        <w:bottom w:val="none" w:sz="0" w:space="0" w:color="auto"/>
        <w:right w:val="none" w:sz="0" w:space="0" w:color="auto"/>
      </w:divBdr>
    </w:div>
    <w:div w:id="854348686">
      <w:bodyDiv w:val="1"/>
      <w:marLeft w:val="0"/>
      <w:marRight w:val="0"/>
      <w:marTop w:val="0"/>
      <w:marBottom w:val="0"/>
      <w:divBdr>
        <w:top w:val="none" w:sz="0" w:space="0" w:color="auto"/>
        <w:left w:val="none" w:sz="0" w:space="0" w:color="auto"/>
        <w:bottom w:val="none" w:sz="0" w:space="0" w:color="auto"/>
        <w:right w:val="none" w:sz="0" w:space="0" w:color="auto"/>
      </w:divBdr>
    </w:div>
    <w:div w:id="875582687">
      <w:bodyDiv w:val="1"/>
      <w:marLeft w:val="0"/>
      <w:marRight w:val="0"/>
      <w:marTop w:val="0"/>
      <w:marBottom w:val="0"/>
      <w:divBdr>
        <w:top w:val="none" w:sz="0" w:space="0" w:color="auto"/>
        <w:left w:val="none" w:sz="0" w:space="0" w:color="auto"/>
        <w:bottom w:val="none" w:sz="0" w:space="0" w:color="auto"/>
        <w:right w:val="none" w:sz="0" w:space="0" w:color="auto"/>
      </w:divBdr>
      <w:divsChild>
        <w:div w:id="98842977">
          <w:marLeft w:val="0"/>
          <w:marRight w:val="0"/>
          <w:marTop w:val="0"/>
          <w:marBottom w:val="0"/>
          <w:divBdr>
            <w:top w:val="none" w:sz="0" w:space="0" w:color="auto"/>
            <w:left w:val="none" w:sz="0" w:space="0" w:color="auto"/>
            <w:bottom w:val="none" w:sz="0" w:space="0" w:color="auto"/>
            <w:right w:val="none" w:sz="0" w:space="0" w:color="auto"/>
          </w:divBdr>
        </w:div>
        <w:div w:id="99687690">
          <w:marLeft w:val="0"/>
          <w:marRight w:val="0"/>
          <w:marTop w:val="0"/>
          <w:marBottom w:val="0"/>
          <w:divBdr>
            <w:top w:val="none" w:sz="0" w:space="0" w:color="auto"/>
            <w:left w:val="none" w:sz="0" w:space="0" w:color="auto"/>
            <w:bottom w:val="none" w:sz="0" w:space="0" w:color="auto"/>
            <w:right w:val="none" w:sz="0" w:space="0" w:color="auto"/>
          </w:divBdr>
        </w:div>
        <w:div w:id="144318682">
          <w:marLeft w:val="0"/>
          <w:marRight w:val="0"/>
          <w:marTop w:val="0"/>
          <w:marBottom w:val="0"/>
          <w:divBdr>
            <w:top w:val="none" w:sz="0" w:space="0" w:color="auto"/>
            <w:left w:val="none" w:sz="0" w:space="0" w:color="auto"/>
            <w:bottom w:val="none" w:sz="0" w:space="0" w:color="auto"/>
            <w:right w:val="none" w:sz="0" w:space="0" w:color="auto"/>
          </w:divBdr>
        </w:div>
        <w:div w:id="481194049">
          <w:marLeft w:val="0"/>
          <w:marRight w:val="0"/>
          <w:marTop w:val="0"/>
          <w:marBottom w:val="0"/>
          <w:divBdr>
            <w:top w:val="none" w:sz="0" w:space="0" w:color="auto"/>
            <w:left w:val="none" w:sz="0" w:space="0" w:color="auto"/>
            <w:bottom w:val="none" w:sz="0" w:space="0" w:color="auto"/>
            <w:right w:val="none" w:sz="0" w:space="0" w:color="auto"/>
          </w:divBdr>
        </w:div>
        <w:div w:id="515005255">
          <w:marLeft w:val="0"/>
          <w:marRight w:val="0"/>
          <w:marTop w:val="0"/>
          <w:marBottom w:val="0"/>
          <w:divBdr>
            <w:top w:val="none" w:sz="0" w:space="0" w:color="auto"/>
            <w:left w:val="none" w:sz="0" w:space="0" w:color="auto"/>
            <w:bottom w:val="none" w:sz="0" w:space="0" w:color="auto"/>
            <w:right w:val="none" w:sz="0" w:space="0" w:color="auto"/>
          </w:divBdr>
        </w:div>
        <w:div w:id="572130209">
          <w:marLeft w:val="0"/>
          <w:marRight w:val="0"/>
          <w:marTop w:val="0"/>
          <w:marBottom w:val="0"/>
          <w:divBdr>
            <w:top w:val="none" w:sz="0" w:space="0" w:color="auto"/>
            <w:left w:val="none" w:sz="0" w:space="0" w:color="auto"/>
            <w:bottom w:val="none" w:sz="0" w:space="0" w:color="auto"/>
            <w:right w:val="none" w:sz="0" w:space="0" w:color="auto"/>
          </w:divBdr>
        </w:div>
        <w:div w:id="603419743">
          <w:marLeft w:val="0"/>
          <w:marRight w:val="0"/>
          <w:marTop w:val="0"/>
          <w:marBottom w:val="0"/>
          <w:divBdr>
            <w:top w:val="none" w:sz="0" w:space="0" w:color="auto"/>
            <w:left w:val="none" w:sz="0" w:space="0" w:color="auto"/>
            <w:bottom w:val="none" w:sz="0" w:space="0" w:color="auto"/>
            <w:right w:val="none" w:sz="0" w:space="0" w:color="auto"/>
          </w:divBdr>
        </w:div>
        <w:div w:id="791167151">
          <w:marLeft w:val="0"/>
          <w:marRight w:val="0"/>
          <w:marTop w:val="0"/>
          <w:marBottom w:val="0"/>
          <w:divBdr>
            <w:top w:val="none" w:sz="0" w:space="0" w:color="auto"/>
            <w:left w:val="none" w:sz="0" w:space="0" w:color="auto"/>
            <w:bottom w:val="none" w:sz="0" w:space="0" w:color="auto"/>
            <w:right w:val="none" w:sz="0" w:space="0" w:color="auto"/>
          </w:divBdr>
        </w:div>
        <w:div w:id="862937871">
          <w:marLeft w:val="0"/>
          <w:marRight w:val="0"/>
          <w:marTop w:val="0"/>
          <w:marBottom w:val="0"/>
          <w:divBdr>
            <w:top w:val="none" w:sz="0" w:space="0" w:color="auto"/>
            <w:left w:val="none" w:sz="0" w:space="0" w:color="auto"/>
            <w:bottom w:val="none" w:sz="0" w:space="0" w:color="auto"/>
            <w:right w:val="none" w:sz="0" w:space="0" w:color="auto"/>
          </w:divBdr>
        </w:div>
        <w:div w:id="1022240439">
          <w:marLeft w:val="0"/>
          <w:marRight w:val="0"/>
          <w:marTop w:val="0"/>
          <w:marBottom w:val="0"/>
          <w:divBdr>
            <w:top w:val="none" w:sz="0" w:space="0" w:color="auto"/>
            <w:left w:val="none" w:sz="0" w:space="0" w:color="auto"/>
            <w:bottom w:val="none" w:sz="0" w:space="0" w:color="auto"/>
            <w:right w:val="none" w:sz="0" w:space="0" w:color="auto"/>
          </w:divBdr>
        </w:div>
        <w:div w:id="1050760650">
          <w:marLeft w:val="0"/>
          <w:marRight w:val="0"/>
          <w:marTop w:val="0"/>
          <w:marBottom w:val="0"/>
          <w:divBdr>
            <w:top w:val="none" w:sz="0" w:space="0" w:color="auto"/>
            <w:left w:val="none" w:sz="0" w:space="0" w:color="auto"/>
            <w:bottom w:val="none" w:sz="0" w:space="0" w:color="auto"/>
            <w:right w:val="none" w:sz="0" w:space="0" w:color="auto"/>
          </w:divBdr>
        </w:div>
        <w:div w:id="1103189836">
          <w:marLeft w:val="0"/>
          <w:marRight w:val="0"/>
          <w:marTop w:val="0"/>
          <w:marBottom w:val="0"/>
          <w:divBdr>
            <w:top w:val="none" w:sz="0" w:space="0" w:color="auto"/>
            <w:left w:val="none" w:sz="0" w:space="0" w:color="auto"/>
            <w:bottom w:val="none" w:sz="0" w:space="0" w:color="auto"/>
            <w:right w:val="none" w:sz="0" w:space="0" w:color="auto"/>
          </w:divBdr>
        </w:div>
        <w:div w:id="1310018426">
          <w:marLeft w:val="0"/>
          <w:marRight w:val="0"/>
          <w:marTop w:val="0"/>
          <w:marBottom w:val="0"/>
          <w:divBdr>
            <w:top w:val="none" w:sz="0" w:space="0" w:color="auto"/>
            <w:left w:val="none" w:sz="0" w:space="0" w:color="auto"/>
            <w:bottom w:val="none" w:sz="0" w:space="0" w:color="auto"/>
            <w:right w:val="none" w:sz="0" w:space="0" w:color="auto"/>
          </w:divBdr>
        </w:div>
        <w:div w:id="1403403903">
          <w:marLeft w:val="0"/>
          <w:marRight w:val="0"/>
          <w:marTop w:val="0"/>
          <w:marBottom w:val="0"/>
          <w:divBdr>
            <w:top w:val="none" w:sz="0" w:space="0" w:color="auto"/>
            <w:left w:val="none" w:sz="0" w:space="0" w:color="auto"/>
            <w:bottom w:val="none" w:sz="0" w:space="0" w:color="auto"/>
            <w:right w:val="none" w:sz="0" w:space="0" w:color="auto"/>
          </w:divBdr>
        </w:div>
        <w:div w:id="1467698656">
          <w:marLeft w:val="0"/>
          <w:marRight w:val="0"/>
          <w:marTop w:val="0"/>
          <w:marBottom w:val="0"/>
          <w:divBdr>
            <w:top w:val="none" w:sz="0" w:space="0" w:color="auto"/>
            <w:left w:val="none" w:sz="0" w:space="0" w:color="auto"/>
            <w:bottom w:val="none" w:sz="0" w:space="0" w:color="auto"/>
            <w:right w:val="none" w:sz="0" w:space="0" w:color="auto"/>
          </w:divBdr>
        </w:div>
        <w:div w:id="1649281135">
          <w:marLeft w:val="0"/>
          <w:marRight w:val="0"/>
          <w:marTop w:val="0"/>
          <w:marBottom w:val="0"/>
          <w:divBdr>
            <w:top w:val="none" w:sz="0" w:space="0" w:color="auto"/>
            <w:left w:val="none" w:sz="0" w:space="0" w:color="auto"/>
            <w:bottom w:val="none" w:sz="0" w:space="0" w:color="auto"/>
            <w:right w:val="none" w:sz="0" w:space="0" w:color="auto"/>
          </w:divBdr>
        </w:div>
        <w:div w:id="1665621635">
          <w:marLeft w:val="0"/>
          <w:marRight w:val="0"/>
          <w:marTop w:val="0"/>
          <w:marBottom w:val="0"/>
          <w:divBdr>
            <w:top w:val="none" w:sz="0" w:space="0" w:color="auto"/>
            <w:left w:val="none" w:sz="0" w:space="0" w:color="auto"/>
            <w:bottom w:val="none" w:sz="0" w:space="0" w:color="auto"/>
            <w:right w:val="none" w:sz="0" w:space="0" w:color="auto"/>
          </w:divBdr>
        </w:div>
        <w:div w:id="1674067743">
          <w:marLeft w:val="0"/>
          <w:marRight w:val="0"/>
          <w:marTop w:val="0"/>
          <w:marBottom w:val="0"/>
          <w:divBdr>
            <w:top w:val="none" w:sz="0" w:space="0" w:color="auto"/>
            <w:left w:val="none" w:sz="0" w:space="0" w:color="auto"/>
            <w:bottom w:val="none" w:sz="0" w:space="0" w:color="auto"/>
            <w:right w:val="none" w:sz="0" w:space="0" w:color="auto"/>
          </w:divBdr>
        </w:div>
        <w:div w:id="1760759844">
          <w:marLeft w:val="0"/>
          <w:marRight w:val="0"/>
          <w:marTop w:val="0"/>
          <w:marBottom w:val="0"/>
          <w:divBdr>
            <w:top w:val="none" w:sz="0" w:space="0" w:color="auto"/>
            <w:left w:val="none" w:sz="0" w:space="0" w:color="auto"/>
            <w:bottom w:val="none" w:sz="0" w:space="0" w:color="auto"/>
            <w:right w:val="none" w:sz="0" w:space="0" w:color="auto"/>
          </w:divBdr>
        </w:div>
      </w:divsChild>
    </w:div>
    <w:div w:id="931664418">
      <w:bodyDiv w:val="1"/>
      <w:marLeft w:val="0"/>
      <w:marRight w:val="0"/>
      <w:marTop w:val="0"/>
      <w:marBottom w:val="0"/>
      <w:divBdr>
        <w:top w:val="none" w:sz="0" w:space="0" w:color="auto"/>
        <w:left w:val="none" w:sz="0" w:space="0" w:color="auto"/>
        <w:bottom w:val="none" w:sz="0" w:space="0" w:color="auto"/>
        <w:right w:val="none" w:sz="0" w:space="0" w:color="auto"/>
      </w:divBdr>
    </w:div>
    <w:div w:id="972253475">
      <w:bodyDiv w:val="1"/>
      <w:marLeft w:val="0"/>
      <w:marRight w:val="0"/>
      <w:marTop w:val="0"/>
      <w:marBottom w:val="0"/>
      <w:divBdr>
        <w:top w:val="none" w:sz="0" w:space="0" w:color="auto"/>
        <w:left w:val="none" w:sz="0" w:space="0" w:color="auto"/>
        <w:bottom w:val="none" w:sz="0" w:space="0" w:color="auto"/>
        <w:right w:val="none" w:sz="0" w:space="0" w:color="auto"/>
      </w:divBdr>
    </w:div>
    <w:div w:id="977682727">
      <w:bodyDiv w:val="1"/>
      <w:marLeft w:val="0"/>
      <w:marRight w:val="0"/>
      <w:marTop w:val="0"/>
      <w:marBottom w:val="0"/>
      <w:divBdr>
        <w:top w:val="none" w:sz="0" w:space="0" w:color="auto"/>
        <w:left w:val="none" w:sz="0" w:space="0" w:color="auto"/>
        <w:bottom w:val="none" w:sz="0" w:space="0" w:color="auto"/>
        <w:right w:val="none" w:sz="0" w:space="0" w:color="auto"/>
      </w:divBdr>
    </w:div>
    <w:div w:id="992181857">
      <w:bodyDiv w:val="1"/>
      <w:marLeft w:val="0"/>
      <w:marRight w:val="0"/>
      <w:marTop w:val="0"/>
      <w:marBottom w:val="0"/>
      <w:divBdr>
        <w:top w:val="none" w:sz="0" w:space="0" w:color="auto"/>
        <w:left w:val="none" w:sz="0" w:space="0" w:color="auto"/>
        <w:bottom w:val="none" w:sz="0" w:space="0" w:color="auto"/>
        <w:right w:val="none" w:sz="0" w:space="0" w:color="auto"/>
      </w:divBdr>
    </w:div>
    <w:div w:id="1012537234">
      <w:bodyDiv w:val="1"/>
      <w:marLeft w:val="0"/>
      <w:marRight w:val="0"/>
      <w:marTop w:val="0"/>
      <w:marBottom w:val="0"/>
      <w:divBdr>
        <w:top w:val="none" w:sz="0" w:space="0" w:color="auto"/>
        <w:left w:val="none" w:sz="0" w:space="0" w:color="auto"/>
        <w:bottom w:val="none" w:sz="0" w:space="0" w:color="auto"/>
        <w:right w:val="none" w:sz="0" w:space="0" w:color="auto"/>
      </w:divBdr>
    </w:div>
    <w:div w:id="1013068879">
      <w:bodyDiv w:val="1"/>
      <w:marLeft w:val="0"/>
      <w:marRight w:val="0"/>
      <w:marTop w:val="0"/>
      <w:marBottom w:val="0"/>
      <w:divBdr>
        <w:top w:val="none" w:sz="0" w:space="0" w:color="auto"/>
        <w:left w:val="none" w:sz="0" w:space="0" w:color="auto"/>
        <w:bottom w:val="none" w:sz="0" w:space="0" w:color="auto"/>
        <w:right w:val="none" w:sz="0" w:space="0" w:color="auto"/>
      </w:divBdr>
    </w:div>
    <w:div w:id="1031301453">
      <w:bodyDiv w:val="1"/>
      <w:marLeft w:val="0"/>
      <w:marRight w:val="0"/>
      <w:marTop w:val="0"/>
      <w:marBottom w:val="0"/>
      <w:divBdr>
        <w:top w:val="none" w:sz="0" w:space="0" w:color="auto"/>
        <w:left w:val="none" w:sz="0" w:space="0" w:color="auto"/>
        <w:bottom w:val="none" w:sz="0" w:space="0" w:color="auto"/>
        <w:right w:val="none" w:sz="0" w:space="0" w:color="auto"/>
      </w:divBdr>
    </w:div>
    <w:div w:id="1054088055">
      <w:bodyDiv w:val="1"/>
      <w:marLeft w:val="0"/>
      <w:marRight w:val="0"/>
      <w:marTop w:val="0"/>
      <w:marBottom w:val="0"/>
      <w:divBdr>
        <w:top w:val="none" w:sz="0" w:space="0" w:color="auto"/>
        <w:left w:val="none" w:sz="0" w:space="0" w:color="auto"/>
        <w:bottom w:val="none" w:sz="0" w:space="0" w:color="auto"/>
        <w:right w:val="none" w:sz="0" w:space="0" w:color="auto"/>
      </w:divBdr>
    </w:div>
    <w:div w:id="1098528374">
      <w:bodyDiv w:val="1"/>
      <w:marLeft w:val="0"/>
      <w:marRight w:val="0"/>
      <w:marTop w:val="0"/>
      <w:marBottom w:val="0"/>
      <w:divBdr>
        <w:top w:val="none" w:sz="0" w:space="0" w:color="auto"/>
        <w:left w:val="none" w:sz="0" w:space="0" w:color="auto"/>
        <w:bottom w:val="none" w:sz="0" w:space="0" w:color="auto"/>
        <w:right w:val="none" w:sz="0" w:space="0" w:color="auto"/>
      </w:divBdr>
    </w:div>
    <w:div w:id="1191456712">
      <w:bodyDiv w:val="1"/>
      <w:marLeft w:val="0"/>
      <w:marRight w:val="0"/>
      <w:marTop w:val="0"/>
      <w:marBottom w:val="0"/>
      <w:divBdr>
        <w:top w:val="none" w:sz="0" w:space="0" w:color="auto"/>
        <w:left w:val="none" w:sz="0" w:space="0" w:color="auto"/>
        <w:bottom w:val="none" w:sz="0" w:space="0" w:color="auto"/>
        <w:right w:val="none" w:sz="0" w:space="0" w:color="auto"/>
      </w:divBdr>
    </w:div>
    <w:div w:id="1229802224">
      <w:bodyDiv w:val="1"/>
      <w:marLeft w:val="0"/>
      <w:marRight w:val="0"/>
      <w:marTop w:val="0"/>
      <w:marBottom w:val="0"/>
      <w:divBdr>
        <w:top w:val="none" w:sz="0" w:space="0" w:color="auto"/>
        <w:left w:val="none" w:sz="0" w:space="0" w:color="auto"/>
        <w:bottom w:val="none" w:sz="0" w:space="0" w:color="auto"/>
        <w:right w:val="none" w:sz="0" w:space="0" w:color="auto"/>
      </w:divBdr>
    </w:div>
    <w:div w:id="1269311448">
      <w:bodyDiv w:val="1"/>
      <w:marLeft w:val="0"/>
      <w:marRight w:val="0"/>
      <w:marTop w:val="0"/>
      <w:marBottom w:val="0"/>
      <w:divBdr>
        <w:top w:val="none" w:sz="0" w:space="0" w:color="auto"/>
        <w:left w:val="none" w:sz="0" w:space="0" w:color="auto"/>
        <w:bottom w:val="none" w:sz="0" w:space="0" w:color="auto"/>
        <w:right w:val="none" w:sz="0" w:space="0" w:color="auto"/>
      </w:divBdr>
    </w:div>
    <w:div w:id="1307859381">
      <w:bodyDiv w:val="1"/>
      <w:marLeft w:val="0"/>
      <w:marRight w:val="0"/>
      <w:marTop w:val="0"/>
      <w:marBottom w:val="0"/>
      <w:divBdr>
        <w:top w:val="none" w:sz="0" w:space="0" w:color="auto"/>
        <w:left w:val="none" w:sz="0" w:space="0" w:color="auto"/>
        <w:bottom w:val="none" w:sz="0" w:space="0" w:color="auto"/>
        <w:right w:val="none" w:sz="0" w:space="0" w:color="auto"/>
      </w:divBdr>
    </w:div>
    <w:div w:id="1322462525">
      <w:bodyDiv w:val="1"/>
      <w:marLeft w:val="0"/>
      <w:marRight w:val="0"/>
      <w:marTop w:val="0"/>
      <w:marBottom w:val="0"/>
      <w:divBdr>
        <w:top w:val="none" w:sz="0" w:space="0" w:color="auto"/>
        <w:left w:val="none" w:sz="0" w:space="0" w:color="auto"/>
        <w:bottom w:val="none" w:sz="0" w:space="0" w:color="auto"/>
        <w:right w:val="none" w:sz="0" w:space="0" w:color="auto"/>
      </w:divBdr>
    </w:div>
    <w:div w:id="1324352807">
      <w:bodyDiv w:val="1"/>
      <w:marLeft w:val="0"/>
      <w:marRight w:val="0"/>
      <w:marTop w:val="0"/>
      <w:marBottom w:val="0"/>
      <w:divBdr>
        <w:top w:val="none" w:sz="0" w:space="0" w:color="auto"/>
        <w:left w:val="none" w:sz="0" w:space="0" w:color="auto"/>
        <w:bottom w:val="none" w:sz="0" w:space="0" w:color="auto"/>
        <w:right w:val="none" w:sz="0" w:space="0" w:color="auto"/>
      </w:divBdr>
    </w:div>
    <w:div w:id="1326594209">
      <w:bodyDiv w:val="1"/>
      <w:marLeft w:val="0"/>
      <w:marRight w:val="0"/>
      <w:marTop w:val="0"/>
      <w:marBottom w:val="0"/>
      <w:divBdr>
        <w:top w:val="none" w:sz="0" w:space="0" w:color="auto"/>
        <w:left w:val="none" w:sz="0" w:space="0" w:color="auto"/>
        <w:bottom w:val="none" w:sz="0" w:space="0" w:color="auto"/>
        <w:right w:val="none" w:sz="0" w:space="0" w:color="auto"/>
      </w:divBdr>
    </w:div>
    <w:div w:id="1365985194">
      <w:bodyDiv w:val="1"/>
      <w:marLeft w:val="0"/>
      <w:marRight w:val="0"/>
      <w:marTop w:val="0"/>
      <w:marBottom w:val="0"/>
      <w:divBdr>
        <w:top w:val="none" w:sz="0" w:space="0" w:color="auto"/>
        <w:left w:val="none" w:sz="0" w:space="0" w:color="auto"/>
        <w:bottom w:val="none" w:sz="0" w:space="0" w:color="auto"/>
        <w:right w:val="none" w:sz="0" w:space="0" w:color="auto"/>
      </w:divBdr>
    </w:div>
    <w:div w:id="1382291699">
      <w:bodyDiv w:val="1"/>
      <w:marLeft w:val="0"/>
      <w:marRight w:val="0"/>
      <w:marTop w:val="0"/>
      <w:marBottom w:val="0"/>
      <w:divBdr>
        <w:top w:val="none" w:sz="0" w:space="0" w:color="auto"/>
        <w:left w:val="none" w:sz="0" w:space="0" w:color="auto"/>
        <w:bottom w:val="none" w:sz="0" w:space="0" w:color="auto"/>
        <w:right w:val="none" w:sz="0" w:space="0" w:color="auto"/>
      </w:divBdr>
    </w:div>
    <w:div w:id="1453786457">
      <w:bodyDiv w:val="1"/>
      <w:marLeft w:val="0"/>
      <w:marRight w:val="0"/>
      <w:marTop w:val="0"/>
      <w:marBottom w:val="0"/>
      <w:divBdr>
        <w:top w:val="none" w:sz="0" w:space="0" w:color="auto"/>
        <w:left w:val="none" w:sz="0" w:space="0" w:color="auto"/>
        <w:bottom w:val="none" w:sz="0" w:space="0" w:color="auto"/>
        <w:right w:val="none" w:sz="0" w:space="0" w:color="auto"/>
      </w:divBdr>
    </w:div>
    <w:div w:id="1486896366">
      <w:bodyDiv w:val="1"/>
      <w:marLeft w:val="0"/>
      <w:marRight w:val="0"/>
      <w:marTop w:val="0"/>
      <w:marBottom w:val="0"/>
      <w:divBdr>
        <w:top w:val="none" w:sz="0" w:space="0" w:color="auto"/>
        <w:left w:val="none" w:sz="0" w:space="0" w:color="auto"/>
        <w:bottom w:val="none" w:sz="0" w:space="0" w:color="auto"/>
        <w:right w:val="none" w:sz="0" w:space="0" w:color="auto"/>
      </w:divBdr>
    </w:div>
    <w:div w:id="1498694348">
      <w:bodyDiv w:val="1"/>
      <w:marLeft w:val="0"/>
      <w:marRight w:val="0"/>
      <w:marTop w:val="0"/>
      <w:marBottom w:val="0"/>
      <w:divBdr>
        <w:top w:val="none" w:sz="0" w:space="0" w:color="auto"/>
        <w:left w:val="none" w:sz="0" w:space="0" w:color="auto"/>
        <w:bottom w:val="none" w:sz="0" w:space="0" w:color="auto"/>
        <w:right w:val="none" w:sz="0" w:space="0" w:color="auto"/>
      </w:divBdr>
    </w:div>
    <w:div w:id="1516387524">
      <w:bodyDiv w:val="1"/>
      <w:marLeft w:val="0"/>
      <w:marRight w:val="0"/>
      <w:marTop w:val="0"/>
      <w:marBottom w:val="0"/>
      <w:divBdr>
        <w:top w:val="none" w:sz="0" w:space="0" w:color="auto"/>
        <w:left w:val="none" w:sz="0" w:space="0" w:color="auto"/>
        <w:bottom w:val="none" w:sz="0" w:space="0" w:color="auto"/>
        <w:right w:val="none" w:sz="0" w:space="0" w:color="auto"/>
      </w:divBdr>
    </w:div>
    <w:div w:id="1517502352">
      <w:bodyDiv w:val="1"/>
      <w:marLeft w:val="0"/>
      <w:marRight w:val="0"/>
      <w:marTop w:val="0"/>
      <w:marBottom w:val="0"/>
      <w:divBdr>
        <w:top w:val="none" w:sz="0" w:space="0" w:color="auto"/>
        <w:left w:val="none" w:sz="0" w:space="0" w:color="auto"/>
        <w:bottom w:val="none" w:sz="0" w:space="0" w:color="auto"/>
        <w:right w:val="none" w:sz="0" w:space="0" w:color="auto"/>
      </w:divBdr>
    </w:div>
    <w:div w:id="1535004049">
      <w:bodyDiv w:val="1"/>
      <w:marLeft w:val="0"/>
      <w:marRight w:val="0"/>
      <w:marTop w:val="0"/>
      <w:marBottom w:val="0"/>
      <w:divBdr>
        <w:top w:val="none" w:sz="0" w:space="0" w:color="auto"/>
        <w:left w:val="none" w:sz="0" w:space="0" w:color="auto"/>
        <w:bottom w:val="none" w:sz="0" w:space="0" w:color="auto"/>
        <w:right w:val="none" w:sz="0" w:space="0" w:color="auto"/>
      </w:divBdr>
    </w:div>
    <w:div w:id="1595086931">
      <w:bodyDiv w:val="1"/>
      <w:marLeft w:val="0"/>
      <w:marRight w:val="0"/>
      <w:marTop w:val="0"/>
      <w:marBottom w:val="0"/>
      <w:divBdr>
        <w:top w:val="none" w:sz="0" w:space="0" w:color="auto"/>
        <w:left w:val="none" w:sz="0" w:space="0" w:color="auto"/>
        <w:bottom w:val="none" w:sz="0" w:space="0" w:color="auto"/>
        <w:right w:val="none" w:sz="0" w:space="0" w:color="auto"/>
      </w:divBdr>
    </w:div>
    <w:div w:id="1621373316">
      <w:bodyDiv w:val="1"/>
      <w:marLeft w:val="0"/>
      <w:marRight w:val="0"/>
      <w:marTop w:val="0"/>
      <w:marBottom w:val="0"/>
      <w:divBdr>
        <w:top w:val="none" w:sz="0" w:space="0" w:color="auto"/>
        <w:left w:val="none" w:sz="0" w:space="0" w:color="auto"/>
        <w:bottom w:val="none" w:sz="0" w:space="0" w:color="auto"/>
        <w:right w:val="none" w:sz="0" w:space="0" w:color="auto"/>
      </w:divBdr>
    </w:div>
    <w:div w:id="1659456947">
      <w:bodyDiv w:val="1"/>
      <w:marLeft w:val="0"/>
      <w:marRight w:val="0"/>
      <w:marTop w:val="0"/>
      <w:marBottom w:val="0"/>
      <w:divBdr>
        <w:top w:val="none" w:sz="0" w:space="0" w:color="auto"/>
        <w:left w:val="none" w:sz="0" w:space="0" w:color="auto"/>
        <w:bottom w:val="none" w:sz="0" w:space="0" w:color="auto"/>
        <w:right w:val="none" w:sz="0" w:space="0" w:color="auto"/>
      </w:divBdr>
    </w:div>
    <w:div w:id="1670671220">
      <w:bodyDiv w:val="1"/>
      <w:marLeft w:val="0"/>
      <w:marRight w:val="0"/>
      <w:marTop w:val="0"/>
      <w:marBottom w:val="0"/>
      <w:divBdr>
        <w:top w:val="none" w:sz="0" w:space="0" w:color="auto"/>
        <w:left w:val="none" w:sz="0" w:space="0" w:color="auto"/>
        <w:bottom w:val="none" w:sz="0" w:space="0" w:color="auto"/>
        <w:right w:val="none" w:sz="0" w:space="0" w:color="auto"/>
      </w:divBdr>
    </w:div>
    <w:div w:id="1698502819">
      <w:bodyDiv w:val="1"/>
      <w:marLeft w:val="0"/>
      <w:marRight w:val="0"/>
      <w:marTop w:val="0"/>
      <w:marBottom w:val="0"/>
      <w:divBdr>
        <w:top w:val="none" w:sz="0" w:space="0" w:color="auto"/>
        <w:left w:val="none" w:sz="0" w:space="0" w:color="auto"/>
        <w:bottom w:val="none" w:sz="0" w:space="0" w:color="auto"/>
        <w:right w:val="none" w:sz="0" w:space="0" w:color="auto"/>
      </w:divBdr>
      <w:divsChild>
        <w:div w:id="128937023">
          <w:marLeft w:val="0"/>
          <w:marRight w:val="0"/>
          <w:marTop w:val="0"/>
          <w:marBottom w:val="0"/>
          <w:divBdr>
            <w:top w:val="none" w:sz="0" w:space="0" w:color="auto"/>
            <w:left w:val="none" w:sz="0" w:space="0" w:color="auto"/>
            <w:bottom w:val="none" w:sz="0" w:space="0" w:color="auto"/>
            <w:right w:val="none" w:sz="0" w:space="0" w:color="auto"/>
          </w:divBdr>
        </w:div>
        <w:div w:id="139159134">
          <w:marLeft w:val="0"/>
          <w:marRight w:val="0"/>
          <w:marTop w:val="0"/>
          <w:marBottom w:val="0"/>
          <w:divBdr>
            <w:top w:val="none" w:sz="0" w:space="0" w:color="auto"/>
            <w:left w:val="none" w:sz="0" w:space="0" w:color="auto"/>
            <w:bottom w:val="none" w:sz="0" w:space="0" w:color="auto"/>
            <w:right w:val="none" w:sz="0" w:space="0" w:color="auto"/>
          </w:divBdr>
        </w:div>
        <w:div w:id="259684687">
          <w:marLeft w:val="0"/>
          <w:marRight w:val="0"/>
          <w:marTop w:val="0"/>
          <w:marBottom w:val="0"/>
          <w:divBdr>
            <w:top w:val="none" w:sz="0" w:space="0" w:color="auto"/>
            <w:left w:val="none" w:sz="0" w:space="0" w:color="auto"/>
            <w:bottom w:val="none" w:sz="0" w:space="0" w:color="auto"/>
            <w:right w:val="none" w:sz="0" w:space="0" w:color="auto"/>
          </w:divBdr>
        </w:div>
        <w:div w:id="344131867">
          <w:marLeft w:val="0"/>
          <w:marRight w:val="0"/>
          <w:marTop w:val="0"/>
          <w:marBottom w:val="0"/>
          <w:divBdr>
            <w:top w:val="none" w:sz="0" w:space="0" w:color="auto"/>
            <w:left w:val="none" w:sz="0" w:space="0" w:color="auto"/>
            <w:bottom w:val="none" w:sz="0" w:space="0" w:color="auto"/>
            <w:right w:val="none" w:sz="0" w:space="0" w:color="auto"/>
          </w:divBdr>
        </w:div>
        <w:div w:id="488710896">
          <w:marLeft w:val="0"/>
          <w:marRight w:val="0"/>
          <w:marTop w:val="0"/>
          <w:marBottom w:val="0"/>
          <w:divBdr>
            <w:top w:val="none" w:sz="0" w:space="0" w:color="auto"/>
            <w:left w:val="none" w:sz="0" w:space="0" w:color="auto"/>
            <w:bottom w:val="none" w:sz="0" w:space="0" w:color="auto"/>
            <w:right w:val="none" w:sz="0" w:space="0" w:color="auto"/>
          </w:divBdr>
        </w:div>
        <w:div w:id="855457805">
          <w:marLeft w:val="0"/>
          <w:marRight w:val="0"/>
          <w:marTop w:val="0"/>
          <w:marBottom w:val="0"/>
          <w:divBdr>
            <w:top w:val="none" w:sz="0" w:space="0" w:color="auto"/>
            <w:left w:val="none" w:sz="0" w:space="0" w:color="auto"/>
            <w:bottom w:val="none" w:sz="0" w:space="0" w:color="auto"/>
            <w:right w:val="none" w:sz="0" w:space="0" w:color="auto"/>
          </w:divBdr>
        </w:div>
        <w:div w:id="872614094">
          <w:marLeft w:val="0"/>
          <w:marRight w:val="0"/>
          <w:marTop w:val="0"/>
          <w:marBottom w:val="0"/>
          <w:divBdr>
            <w:top w:val="none" w:sz="0" w:space="0" w:color="auto"/>
            <w:left w:val="none" w:sz="0" w:space="0" w:color="auto"/>
            <w:bottom w:val="none" w:sz="0" w:space="0" w:color="auto"/>
            <w:right w:val="none" w:sz="0" w:space="0" w:color="auto"/>
          </w:divBdr>
        </w:div>
        <w:div w:id="1065690303">
          <w:marLeft w:val="0"/>
          <w:marRight w:val="0"/>
          <w:marTop w:val="0"/>
          <w:marBottom w:val="0"/>
          <w:divBdr>
            <w:top w:val="none" w:sz="0" w:space="0" w:color="auto"/>
            <w:left w:val="none" w:sz="0" w:space="0" w:color="auto"/>
            <w:bottom w:val="none" w:sz="0" w:space="0" w:color="auto"/>
            <w:right w:val="none" w:sz="0" w:space="0" w:color="auto"/>
          </w:divBdr>
        </w:div>
        <w:div w:id="1111897352">
          <w:marLeft w:val="0"/>
          <w:marRight w:val="0"/>
          <w:marTop w:val="0"/>
          <w:marBottom w:val="0"/>
          <w:divBdr>
            <w:top w:val="none" w:sz="0" w:space="0" w:color="auto"/>
            <w:left w:val="none" w:sz="0" w:space="0" w:color="auto"/>
            <w:bottom w:val="none" w:sz="0" w:space="0" w:color="auto"/>
            <w:right w:val="none" w:sz="0" w:space="0" w:color="auto"/>
          </w:divBdr>
        </w:div>
        <w:div w:id="1144082046">
          <w:marLeft w:val="0"/>
          <w:marRight w:val="0"/>
          <w:marTop w:val="0"/>
          <w:marBottom w:val="0"/>
          <w:divBdr>
            <w:top w:val="none" w:sz="0" w:space="0" w:color="auto"/>
            <w:left w:val="none" w:sz="0" w:space="0" w:color="auto"/>
            <w:bottom w:val="none" w:sz="0" w:space="0" w:color="auto"/>
            <w:right w:val="none" w:sz="0" w:space="0" w:color="auto"/>
          </w:divBdr>
        </w:div>
        <w:div w:id="1383138117">
          <w:marLeft w:val="0"/>
          <w:marRight w:val="0"/>
          <w:marTop w:val="0"/>
          <w:marBottom w:val="0"/>
          <w:divBdr>
            <w:top w:val="none" w:sz="0" w:space="0" w:color="auto"/>
            <w:left w:val="none" w:sz="0" w:space="0" w:color="auto"/>
            <w:bottom w:val="none" w:sz="0" w:space="0" w:color="auto"/>
            <w:right w:val="none" w:sz="0" w:space="0" w:color="auto"/>
          </w:divBdr>
        </w:div>
        <w:div w:id="1402561851">
          <w:marLeft w:val="0"/>
          <w:marRight w:val="0"/>
          <w:marTop w:val="0"/>
          <w:marBottom w:val="0"/>
          <w:divBdr>
            <w:top w:val="none" w:sz="0" w:space="0" w:color="auto"/>
            <w:left w:val="none" w:sz="0" w:space="0" w:color="auto"/>
            <w:bottom w:val="none" w:sz="0" w:space="0" w:color="auto"/>
            <w:right w:val="none" w:sz="0" w:space="0" w:color="auto"/>
          </w:divBdr>
        </w:div>
        <w:div w:id="1423643590">
          <w:marLeft w:val="0"/>
          <w:marRight w:val="0"/>
          <w:marTop w:val="0"/>
          <w:marBottom w:val="0"/>
          <w:divBdr>
            <w:top w:val="none" w:sz="0" w:space="0" w:color="auto"/>
            <w:left w:val="none" w:sz="0" w:space="0" w:color="auto"/>
            <w:bottom w:val="none" w:sz="0" w:space="0" w:color="auto"/>
            <w:right w:val="none" w:sz="0" w:space="0" w:color="auto"/>
          </w:divBdr>
        </w:div>
        <w:div w:id="1462573603">
          <w:marLeft w:val="0"/>
          <w:marRight w:val="0"/>
          <w:marTop w:val="0"/>
          <w:marBottom w:val="0"/>
          <w:divBdr>
            <w:top w:val="none" w:sz="0" w:space="0" w:color="auto"/>
            <w:left w:val="none" w:sz="0" w:space="0" w:color="auto"/>
            <w:bottom w:val="none" w:sz="0" w:space="0" w:color="auto"/>
            <w:right w:val="none" w:sz="0" w:space="0" w:color="auto"/>
          </w:divBdr>
        </w:div>
        <w:div w:id="1478572017">
          <w:marLeft w:val="0"/>
          <w:marRight w:val="0"/>
          <w:marTop w:val="0"/>
          <w:marBottom w:val="0"/>
          <w:divBdr>
            <w:top w:val="none" w:sz="0" w:space="0" w:color="auto"/>
            <w:left w:val="none" w:sz="0" w:space="0" w:color="auto"/>
            <w:bottom w:val="none" w:sz="0" w:space="0" w:color="auto"/>
            <w:right w:val="none" w:sz="0" w:space="0" w:color="auto"/>
          </w:divBdr>
        </w:div>
        <w:div w:id="1478916801">
          <w:marLeft w:val="0"/>
          <w:marRight w:val="0"/>
          <w:marTop w:val="0"/>
          <w:marBottom w:val="0"/>
          <w:divBdr>
            <w:top w:val="none" w:sz="0" w:space="0" w:color="auto"/>
            <w:left w:val="none" w:sz="0" w:space="0" w:color="auto"/>
            <w:bottom w:val="none" w:sz="0" w:space="0" w:color="auto"/>
            <w:right w:val="none" w:sz="0" w:space="0" w:color="auto"/>
          </w:divBdr>
        </w:div>
        <w:div w:id="1508783613">
          <w:marLeft w:val="0"/>
          <w:marRight w:val="0"/>
          <w:marTop w:val="0"/>
          <w:marBottom w:val="0"/>
          <w:divBdr>
            <w:top w:val="none" w:sz="0" w:space="0" w:color="auto"/>
            <w:left w:val="none" w:sz="0" w:space="0" w:color="auto"/>
            <w:bottom w:val="none" w:sz="0" w:space="0" w:color="auto"/>
            <w:right w:val="none" w:sz="0" w:space="0" w:color="auto"/>
          </w:divBdr>
        </w:div>
        <w:div w:id="1645112575">
          <w:marLeft w:val="0"/>
          <w:marRight w:val="0"/>
          <w:marTop w:val="0"/>
          <w:marBottom w:val="0"/>
          <w:divBdr>
            <w:top w:val="none" w:sz="0" w:space="0" w:color="auto"/>
            <w:left w:val="none" w:sz="0" w:space="0" w:color="auto"/>
            <w:bottom w:val="none" w:sz="0" w:space="0" w:color="auto"/>
            <w:right w:val="none" w:sz="0" w:space="0" w:color="auto"/>
          </w:divBdr>
        </w:div>
        <w:div w:id="1826314293">
          <w:marLeft w:val="0"/>
          <w:marRight w:val="0"/>
          <w:marTop w:val="0"/>
          <w:marBottom w:val="0"/>
          <w:divBdr>
            <w:top w:val="none" w:sz="0" w:space="0" w:color="auto"/>
            <w:left w:val="none" w:sz="0" w:space="0" w:color="auto"/>
            <w:bottom w:val="none" w:sz="0" w:space="0" w:color="auto"/>
            <w:right w:val="none" w:sz="0" w:space="0" w:color="auto"/>
          </w:divBdr>
        </w:div>
      </w:divsChild>
    </w:div>
    <w:div w:id="1727685494">
      <w:bodyDiv w:val="1"/>
      <w:marLeft w:val="0"/>
      <w:marRight w:val="0"/>
      <w:marTop w:val="0"/>
      <w:marBottom w:val="0"/>
      <w:divBdr>
        <w:top w:val="none" w:sz="0" w:space="0" w:color="auto"/>
        <w:left w:val="none" w:sz="0" w:space="0" w:color="auto"/>
        <w:bottom w:val="none" w:sz="0" w:space="0" w:color="auto"/>
        <w:right w:val="none" w:sz="0" w:space="0" w:color="auto"/>
      </w:divBdr>
    </w:div>
    <w:div w:id="1733112070">
      <w:bodyDiv w:val="1"/>
      <w:marLeft w:val="0"/>
      <w:marRight w:val="0"/>
      <w:marTop w:val="0"/>
      <w:marBottom w:val="0"/>
      <w:divBdr>
        <w:top w:val="none" w:sz="0" w:space="0" w:color="auto"/>
        <w:left w:val="none" w:sz="0" w:space="0" w:color="auto"/>
        <w:bottom w:val="none" w:sz="0" w:space="0" w:color="auto"/>
        <w:right w:val="none" w:sz="0" w:space="0" w:color="auto"/>
      </w:divBdr>
    </w:div>
    <w:div w:id="1754425450">
      <w:bodyDiv w:val="1"/>
      <w:marLeft w:val="0"/>
      <w:marRight w:val="0"/>
      <w:marTop w:val="0"/>
      <w:marBottom w:val="0"/>
      <w:divBdr>
        <w:top w:val="none" w:sz="0" w:space="0" w:color="auto"/>
        <w:left w:val="none" w:sz="0" w:space="0" w:color="auto"/>
        <w:bottom w:val="none" w:sz="0" w:space="0" w:color="auto"/>
        <w:right w:val="none" w:sz="0" w:space="0" w:color="auto"/>
      </w:divBdr>
    </w:div>
    <w:div w:id="1806002500">
      <w:bodyDiv w:val="1"/>
      <w:marLeft w:val="0"/>
      <w:marRight w:val="0"/>
      <w:marTop w:val="0"/>
      <w:marBottom w:val="0"/>
      <w:divBdr>
        <w:top w:val="none" w:sz="0" w:space="0" w:color="auto"/>
        <w:left w:val="none" w:sz="0" w:space="0" w:color="auto"/>
        <w:bottom w:val="none" w:sz="0" w:space="0" w:color="auto"/>
        <w:right w:val="none" w:sz="0" w:space="0" w:color="auto"/>
      </w:divBdr>
    </w:div>
    <w:div w:id="1829708665">
      <w:bodyDiv w:val="1"/>
      <w:marLeft w:val="0"/>
      <w:marRight w:val="0"/>
      <w:marTop w:val="0"/>
      <w:marBottom w:val="0"/>
      <w:divBdr>
        <w:top w:val="none" w:sz="0" w:space="0" w:color="auto"/>
        <w:left w:val="none" w:sz="0" w:space="0" w:color="auto"/>
        <w:bottom w:val="none" w:sz="0" w:space="0" w:color="auto"/>
        <w:right w:val="none" w:sz="0" w:space="0" w:color="auto"/>
      </w:divBdr>
    </w:div>
    <w:div w:id="1841306728">
      <w:bodyDiv w:val="1"/>
      <w:marLeft w:val="0"/>
      <w:marRight w:val="0"/>
      <w:marTop w:val="0"/>
      <w:marBottom w:val="0"/>
      <w:divBdr>
        <w:top w:val="none" w:sz="0" w:space="0" w:color="auto"/>
        <w:left w:val="none" w:sz="0" w:space="0" w:color="auto"/>
        <w:bottom w:val="none" w:sz="0" w:space="0" w:color="auto"/>
        <w:right w:val="none" w:sz="0" w:space="0" w:color="auto"/>
      </w:divBdr>
    </w:div>
    <w:div w:id="1854150016">
      <w:bodyDiv w:val="1"/>
      <w:marLeft w:val="0"/>
      <w:marRight w:val="0"/>
      <w:marTop w:val="0"/>
      <w:marBottom w:val="0"/>
      <w:divBdr>
        <w:top w:val="none" w:sz="0" w:space="0" w:color="auto"/>
        <w:left w:val="none" w:sz="0" w:space="0" w:color="auto"/>
        <w:bottom w:val="none" w:sz="0" w:space="0" w:color="auto"/>
        <w:right w:val="none" w:sz="0" w:space="0" w:color="auto"/>
      </w:divBdr>
    </w:div>
    <w:div w:id="1855073788">
      <w:bodyDiv w:val="1"/>
      <w:marLeft w:val="0"/>
      <w:marRight w:val="0"/>
      <w:marTop w:val="0"/>
      <w:marBottom w:val="0"/>
      <w:divBdr>
        <w:top w:val="none" w:sz="0" w:space="0" w:color="auto"/>
        <w:left w:val="none" w:sz="0" w:space="0" w:color="auto"/>
        <w:bottom w:val="none" w:sz="0" w:space="0" w:color="auto"/>
        <w:right w:val="none" w:sz="0" w:space="0" w:color="auto"/>
      </w:divBdr>
    </w:div>
    <w:div w:id="1857957450">
      <w:bodyDiv w:val="1"/>
      <w:marLeft w:val="0"/>
      <w:marRight w:val="0"/>
      <w:marTop w:val="0"/>
      <w:marBottom w:val="0"/>
      <w:divBdr>
        <w:top w:val="none" w:sz="0" w:space="0" w:color="auto"/>
        <w:left w:val="none" w:sz="0" w:space="0" w:color="auto"/>
        <w:bottom w:val="none" w:sz="0" w:space="0" w:color="auto"/>
        <w:right w:val="none" w:sz="0" w:space="0" w:color="auto"/>
      </w:divBdr>
    </w:div>
    <w:div w:id="1898204777">
      <w:bodyDiv w:val="1"/>
      <w:marLeft w:val="0"/>
      <w:marRight w:val="0"/>
      <w:marTop w:val="0"/>
      <w:marBottom w:val="0"/>
      <w:divBdr>
        <w:top w:val="none" w:sz="0" w:space="0" w:color="auto"/>
        <w:left w:val="none" w:sz="0" w:space="0" w:color="auto"/>
        <w:bottom w:val="none" w:sz="0" w:space="0" w:color="auto"/>
        <w:right w:val="none" w:sz="0" w:space="0" w:color="auto"/>
      </w:divBdr>
    </w:div>
    <w:div w:id="1905097719">
      <w:bodyDiv w:val="1"/>
      <w:marLeft w:val="0"/>
      <w:marRight w:val="0"/>
      <w:marTop w:val="0"/>
      <w:marBottom w:val="0"/>
      <w:divBdr>
        <w:top w:val="none" w:sz="0" w:space="0" w:color="auto"/>
        <w:left w:val="none" w:sz="0" w:space="0" w:color="auto"/>
        <w:bottom w:val="none" w:sz="0" w:space="0" w:color="auto"/>
        <w:right w:val="none" w:sz="0" w:space="0" w:color="auto"/>
      </w:divBdr>
    </w:div>
    <w:div w:id="1906800016">
      <w:bodyDiv w:val="1"/>
      <w:marLeft w:val="0"/>
      <w:marRight w:val="0"/>
      <w:marTop w:val="0"/>
      <w:marBottom w:val="0"/>
      <w:divBdr>
        <w:top w:val="none" w:sz="0" w:space="0" w:color="auto"/>
        <w:left w:val="none" w:sz="0" w:space="0" w:color="auto"/>
        <w:bottom w:val="none" w:sz="0" w:space="0" w:color="auto"/>
        <w:right w:val="none" w:sz="0" w:space="0" w:color="auto"/>
      </w:divBdr>
    </w:div>
    <w:div w:id="1936286053">
      <w:bodyDiv w:val="1"/>
      <w:marLeft w:val="0"/>
      <w:marRight w:val="0"/>
      <w:marTop w:val="0"/>
      <w:marBottom w:val="0"/>
      <w:divBdr>
        <w:top w:val="none" w:sz="0" w:space="0" w:color="auto"/>
        <w:left w:val="none" w:sz="0" w:space="0" w:color="auto"/>
        <w:bottom w:val="none" w:sz="0" w:space="0" w:color="auto"/>
        <w:right w:val="none" w:sz="0" w:space="0" w:color="auto"/>
      </w:divBdr>
    </w:div>
    <w:div w:id="1940406529">
      <w:bodyDiv w:val="1"/>
      <w:marLeft w:val="0"/>
      <w:marRight w:val="0"/>
      <w:marTop w:val="0"/>
      <w:marBottom w:val="0"/>
      <w:divBdr>
        <w:top w:val="none" w:sz="0" w:space="0" w:color="auto"/>
        <w:left w:val="none" w:sz="0" w:space="0" w:color="auto"/>
        <w:bottom w:val="none" w:sz="0" w:space="0" w:color="auto"/>
        <w:right w:val="none" w:sz="0" w:space="0" w:color="auto"/>
      </w:divBdr>
    </w:div>
    <w:div w:id="1956015616">
      <w:bodyDiv w:val="1"/>
      <w:marLeft w:val="0"/>
      <w:marRight w:val="0"/>
      <w:marTop w:val="0"/>
      <w:marBottom w:val="0"/>
      <w:divBdr>
        <w:top w:val="none" w:sz="0" w:space="0" w:color="auto"/>
        <w:left w:val="none" w:sz="0" w:space="0" w:color="auto"/>
        <w:bottom w:val="none" w:sz="0" w:space="0" w:color="auto"/>
        <w:right w:val="none" w:sz="0" w:space="0" w:color="auto"/>
      </w:divBdr>
    </w:div>
    <w:div w:id="1978993222">
      <w:bodyDiv w:val="1"/>
      <w:marLeft w:val="0"/>
      <w:marRight w:val="0"/>
      <w:marTop w:val="0"/>
      <w:marBottom w:val="0"/>
      <w:divBdr>
        <w:top w:val="none" w:sz="0" w:space="0" w:color="auto"/>
        <w:left w:val="none" w:sz="0" w:space="0" w:color="auto"/>
        <w:bottom w:val="none" w:sz="0" w:space="0" w:color="auto"/>
        <w:right w:val="none" w:sz="0" w:space="0" w:color="auto"/>
      </w:divBdr>
    </w:div>
    <w:div w:id="2012371659">
      <w:bodyDiv w:val="1"/>
      <w:marLeft w:val="0"/>
      <w:marRight w:val="0"/>
      <w:marTop w:val="0"/>
      <w:marBottom w:val="0"/>
      <w:divBdr>
        <w:top w:val="none" w:sz="0" w:space="0" w:color="auto"/>
        <w:left w:val="none" w:sz="0" w:space="0" w:color="auto"/>
        <w:bottom w:val="none" w:sz="0" w:space="0" w:color="auto"/>
        <w:right w:val="none" w:sz="0" w:space="0" w:color="auto"/>
      </w:divBdr>
    </w:div>
    <w:div w:id="2030716886">
      <w:bodyDiv w:val="1"/>
      <w:marLeft w:val="0"/>
      <w:marRight w:val="0"/>
      <w:marTop w:val="0"/>
      <w:marBottom w:val="0"/>
      <w:divBdr>
        <w:top w:val="none" w:sz="0" w:space="0" w:color="auto"/>
        <w:left w:val="none" w:sz="0" w:space="0" w:color="auto"/>
        <w:bottom w:val="none" w:sz="0" w:space="0" w:color="auto"/>
        <w:right w:val="none" w:sz="0" w:space="0" w:color="auto"/>
      </w:divBdr>
    </w:div>
    <w:div w:id="2036342375">
      <w:bodyDiv w:val="1"/>
      <w:marLeft w:val="0"/>
      <w:marRight w:val="0"/>
      <w:marTop w:val="0"/>
      <w:marBottom w:val="0"/>
      <w:divBdr>
        <w:top w:val="none" w:sz="0" w:space="0" w:color="auto"/>
        <w:left w:val="none" w:sz="0" w:space="0" w:color="auto"/>
        <w:bottom w:val="none" w:sz="0" w:space="0" w:color="auto"/>
        <w:right w:val="none" w:sz="0" w:space="0" w:color="auto"/>
      </w:divBdr>
    </w:div>
    <w:div w:id="2051294813">
      <w:bodyDiv w:val="1"/>
      <w:marLeft w:val="0"/>
      <w:marRight w:val="0"/>
      <w:marTop w:val="0"/>
      <w:marBottom w:val="0"/>
      <w:divBdr>
        <w:top w:val="none" w:sz="0" w:space="0" w:color="auto"/>
        <w:left w:val="none" w:sz="0" w:space="0" w:color="auto"/>
        <w:bottom w:val="none" w:sz="0" w:space="0" w:color="auto"/>
        <w:right w:val="none" w:sz="0" w:space="0" w:color="auto"/>
      </w:divBdr>
    </w:div>
    <w:div w:id="2054379712">
      <w:bodyDiv w:val="1"/>
      <w:marLeft w:val="0"/>
      <w:marRight w:val="0"/>
      <w:marTop w:val="0"/>
      <w:marBottom w:val="0"/>
      <w:divBdr>
        <w:top w:val="none" w:sz="0" w:space="0" w:color="auto"/>
        <w:left w:val="none" w:sz="0" w:space="0" w:color="auto"/>
        <w:bottom w:val="none" w:sz="0" w:space="0" w:color="auto"/>
        <w:right w:val="none" w:sz="0" w:space="0" w:color="auto"/>
      </w:divBdr>
    </w:div>
    <w:div w:id="2081974218">
      <w:bodyDiv w:val="1"/>
      <w:marLeft w:val="0"/>
      <w:marRight w:val="0"/>
      <w:marTop w:val="0"/>
      <w:marBottom w:val="0"/>
      <w:divBdr>
        <w:top w:val="none" w:sz="0" w:space="0" w:color="auto"/>
        <w:left w:val="none" w:sz="0" w:space="0" w:color="auto"/>
        <w:bottom w:val="none" w:sz="0" w:space="0" w:color="auto"/>
        <w:right w:val="none" w:sz="0" w:space="0" w:color="auto"/>
      </w:divBdr>
    </w:div>
    <w:div w:id="2090106243">
      <w:bodyDiv w:val="1"/>
      <w:marLeft w:val="0"/>
      <w:marRight w:val="0"/>
      <w:marTop w:val="0"/>
      <w:marBottom w:val="0"/>
      <w:divBdr>
        <w:top w:val="none" w:sz="0" w:space="0" w:color="auto"/>
        <w:left w:val="none" w:sz="0" w:space="0" w:color="auto"/>
        <w:bottom w:val="none" w:sz="0" w:space="0" w:color="auto"/>
        <w:right w:val="none" w:sz="0" w:space="0" w:color="auto"/>
      </w:divBdr>
    </w:div>
    <w:div w:id="2121293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ificacionjudicial@idpc.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D:\CristianVelasquez\riesgos\riesgos%202019\consolidado%20Riesgos%202019\informe%20s\agosto%2019%20informe\soporte%20infor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bar"/>
        <c:grouping val="clustered"/>
        <c:varyColors val="0"/>
        <c:ser>
          <c:idx val="0"/>
          <c:order val="0"/>
          <c:tx>
            <c:strRef>
              <c:f>Hoja1!$B$1</c:f>
              <c:strCache>
                <c:ptCount val="1"/>
                <c:pt idx="0">
                  <c:v>Total riesgos de corrupción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Hoja1!$A$2:$A$16</c:f>
              <c:strCache>
                <c:ptCount val="15"/>
                <c:pt idx="0">
                  <c:v>Direccionamiento Estratégico</c:v>
                </c:pt>
                <c:pt idx="1">
                  <c:v>Fortalecimiento del SIG</c:v>
                </c:pt>
                <c:pt idx="2">
                  <c:v>Comunicación Estratégica</c:v>
                </c:pt>
                <c:pt idx="3">
                  <c:v>Atención a la Ciudadanía</c:v>
                </c:pt>
                <c:pt idx="4">
                  <c:v>Protección e intervención del Patrimonio </c:v>
                </c:pt>
                <c:pt idx="5">
                  <c:v>Divulgacion y Apropiacion Social del Patrimonio </c:v>
                </c:pt>
                <c:pt idx="6">
                  <c:v>Gestión Talento Humano</c:v>
                </c:pt>
                <c:pt idx="7">
                  <c:v>Gestión Jurídica</c:v>
                </c:pt>
                <c:pt idx="8">
                  <c:v>Gestión Contractual</c:v>
                </c:pt>
                <c:pt idx="9">
                  <c:v>Gestión Documental</c:v>
                </c:pt>
                <c:pt idx="10">
                  <c:v>Administración de Bienes e Infraestructura</c:v>
                </c:pt>
                <c:pt idx="11">
                  <c:v>Gestión de Sistemas de Información y Tecnología</c:v>
                </c:pt>
                <c:pt idx="12">
                  <c:v>Control Interno Disciplinario</c:v>
                </c:pt>
                <c:pt idx="13">
                  <c:v>Gestión Financiera</c:v>
                </c:pt>
                <c:pt idx="14">
                  <c:v>Seguimiento y Evaluación</c:v>
                </c:pt>
              </c:strCache>
            </c:strRef>
          </c:cat>
          <c:val>
            <c:numRef>
              <c:f>Hoja1!$B$2:$B$16</c:f>
              <c:numCache>
                <c:formatCode>General</c:formatCode>
                <c:ptCount val="15"/>
                <c:pt idx="2">
                  <c:v>1</c:v>
                </c:pt>
                <c:pt idx="4">
                  <c:v>1</c:v>
                </c:pt>
                <c:pt idx="5">
                  <c:v>1</c:v>
                </c:pt>
                <c:pt idx="6">
                  <c:v>1</c:v>
                </c:pt>
                <c:pt idx="8">
                  <c:v>2</c:v>
                </c:pt>
                <c:pt idx="9">
                  <c:v>1</c:v>
                </c:pt>
                <c:pt idx="10">
                  <c:v>1</c:v>
                </c:pt>
                <c:pt idx="14">
                  <c:v>1</c:v>
                </c:pt>
              </c:numCache>
            </c:numRef>
          </c:val>
        </c:ser>
        <c:ser>
          <c:idx val="1"/>
          <c:order val="1"/>
          <c:tx>
            <c:strRef>
              <c:f>Hoja1!$C$1</c:f>
              <c:strCache>
                <c:ptCount val="1"/>
                <c:pt idx="0">
                  <c:v>Total riesgos de Gestion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Hoja1!$A$2:$A$16</c:f>
              <c:strCache>
                <c:ptCount val="15"/>
                <c:pt idx="0">
                  <c:v>Direccionamiento Estratégico</c:v>
                </c:pt>
                <c:pt idx="1">
                  <c:v>Fortalecimiento del SIG</c:v>
                </c:pt>
                <c:pt idx="2">
                  <c:v>Comunicación Estratégica</c:v>
                </c:pt>
                <c:pt idx="3">
                  <c:v>Atención a la Ciudadanía</c:v>
                </c:pt>
                <c:pt idx="4">
                  <c:v>Protección e intervención del Patrimonio </c:v>
                </c:pt>
                <c:pt idx="5">
                  <c:v>Divulgacion y Apropiacion Social del Patrimonio </c:v>
                </c:pt>
                <c:pt idx="6">
                  <c:v>Gestión Talento Humano</c:v>
                </c:pt>
                <c:pt idx="7">
                  <c:v>Gestión Jurídica</c:v>
                </c:pt>
                <c:pt idx="8">
                  <c:v>Gestión Contractual</c:v>
                </c:pt>
                <c:pt idx="9">
                  <c:v>Gestión Documental</c:v>
                </c:pt>
                <c:pt idx="10">
                  <c:v>Administración de Bienes e Infraestructura</c:v>
                </c:pt>
                <c:pt idx="11">
                  <c:v>Gestión de Sistemas de Información y Tecnología</c:v>
                </c:pt>
                <c:pt idx="12">
                  <c:v>Control Interno Disciplinario</c:v>
                </c:pt>
                <c:pt idx="13">
                  <c:v>Gestión Financiera</c:v>
                </c:pt>
                <c:pt idx="14">
                  <c:v>Seguimiento y Evaluación</c:v>
                </c:pt>
              </c:strCache>
            </c:strRef>
          </c:cat>
          <c:val>
            <c:numRef>
              <c:f>Hoja1!$C$2:$C$16</c:f>
              <c:numCache>
                <c:formatCode>General</c:formatCode>
                <c:ptCount val="15"/>
                <c:pt idx="0">
                  <c:v>1</c:v>
                </c:pt>
                <c:pt idx="1">
                  <c:v>1</c:v>
                </c:pt>
                <c:pt idx="2">
                  <c:v>1</c:v>
                </c:pt>
                <c:pt idx="3">
                  <c:v>1</c:v>
                </c:pt>
                <c:pt idx="4">
                  <c:v>4</c:v>
                </c:pt>
                <c:pt idx="5">
                  <c:v>7</c:v>
                </c:pt>
                <c:pt idx="6">
                  <c:v>3</c:v>
                </c:pt>
                <c:pt idx="7">
                  <c:v>1</c:v>
                </c:pt>
                <c:pt idx="8">
                  <c:v>3</c:v>
                </c:pt>
                <c:pt idx="9">
                  <c:v>2</c:v>
                </c:pt>
                <c:pt idx="10">
                  <c:v>3</c:v>
                </c:pt>
                <c:pt idx="11">
                  <c:v>2</c:v>
                </c:pt>
                <c:pt idx="12">
                  <c:v>2</c:v>
                </c:pt>
                <c:pt idx="13">
                  <c:v>4</c:v>
                </c:pt>
                <c:pt idx="14">
                  <c:v>2</c:v>
                </c:pt>
              </c:numCache>
            </c:numRef>
          </c:val>
        </c:ser>
        <c:dLbls>
          <c:showLegendKey val="0"/>
          <c:showVal val="1"/>
          <c:showCatName val="0"/>
          <c:showSerName val="0"/>
          <c:showPercent val="0"/>
          <c:showBubbleSize val="0"/>
        </c:dLbls>
        <c:gapWidth val="75"/>
        <c:axId val="724135952"/>
        <c:axId val="724136496"/>
      </c:barChart>
      <c:catAx>
        <c:axId val="724135952"/>
        <c:scaling>
          <c:orientation val="minMax"/>
        </c:scaling>
        <c:delete val="0"/>
        <c:axPos val="l"/>
        <c:numFmt formatCode="General" sourceLinked="0"/>
        <c:majorTickMark val="none"/>
        <c:minorTickMark val="none"/>
        <c:tickLblPos val="nextTo"/>
        <c:crossAx val="724136496"/>
        <c:crosses val="autoZero"/>
        <c:auto val="1"/>
        <c:lblAlgn val="ctr"/>
        <c:lblOffset val="100"/>
        <c:noMultiLvlLbl val="0"/>
      </c:catAx>
      <c:valAx>
        <c:axId val="724136496"/>
        <c:scaling>
          <c:orientation val="minMax"/>
        </c:scaling>
        <c:delete val="0"/>
        <c:axPos val="b"/>
        <c:numFmt formatCode="General" sourceLinked="1"/>
        <c:majorTickMark val="none"/>
        <c:minorTickMark val="none"/>
        <c:tickLblPos val="nextTo"/>
        <c:crossAx val="724135952"/>
        <c:crosses val="autoZero"/>
        <c:crossBetween val="between"/>
      </c:valAx>
    </c:plotArea>
    <c:legend>
      <c:legendPos val="b"/>
      <c:overlay val="0"/>
    </c:legend>
    <c:plotVisOnly val="1"/>
    <c:dispBlanksAs val="gap"/>
    <c:showDLblsOverMax val="0"/>
  </c:chart>
  <c:spPr>
    <a:ln>
      <a:solidFill>
        <a:schemeClr val="tx1"/>
      </a:solid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138B-32F1-4BA4-94EB-F2953969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11</Pages>
  <Words>3928</Words>
  <Characters>21606</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Jose Francisco Rodriguez Tellez</cp:lastModifiedBy>
  <cp:revision>99</cp:revision>
  <cp:lastPrinted>2019-10-24T17:00:00Z</cp:lastPrinted>
  <dcterms:created xsi:type="dcterms:W3CDTF">2019-11-20T14:46:00Z</dcterms:created>
  <dcterms:modified xsi:type="dcterms:W3CDTF">2020-03-03T21:56:00Z</dcterms:modified>
  <dc:language>es-CO</dc:language>
</cp:coreProperties>
</file>