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BD0875" w14:textId="77777777" w:rsidR="00425456" w:rsidRPr="00DA79EC" w:rsidRDefault="00425456" w:rsidP="005B4190">
      <w:pPr>
        <w:tabs>
          <w:tab w:val="left" w:pos="1095"/>
        </w:tabs>
        <w:spacing w:line="240" w:lineRule="auto"/>
        <w:rPr>
          <w:rFonts w:ascii="Arial" w:hAnsi="Arial" w:cs="Arial"/>
          <w:sz w:val="20"/>
          <w:szCs w:val="20"/>
        </w:rPr>
      </w:pPr>
    </w:p>
    <w:p w14:paraId="2BFA5057" w14:textId="77777777" w:rsidR="00425456" w:rsidRPr="00730430" w:rsidRDefault="00425456" w:rsidP="005B4190">
      <w:pPr>
        <w:tabs>
          <w:tab w:val="left" w:pos="1095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6E56C1D4" w14:textId="77777777" w:rsidR="00930B4A" w:rsidRPr="00730430" w:rsidRDefault="00930B4A" w:rsidP="005B4190">
      <w:pPr>
        <w:tabs>
          <w:tab w:val="left" w:pos="1095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30D3F4F7" w14:textId="77777777" w:rsidR="00E1675C" w:rsidRPr="00730430" w:rsidRDefault="00E1675C" w:rsidP="005B4190">
      <w:pPr>
        <w:tabs>
          <w:tab w:val="left" w:pos="1095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667CBEA8" w14:textId="77777777" w:rsidR="00A92273" w:rsidRPr="00730430" w:rsidRDefault="00A92273" w:rsidP="005B4190">
      <w:pPr>
        <w:tabs>
          <w:tab w:val="left" w:pos="1095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33D1B7A8" w14:textId="77777777" w:rsidR="00930B4A" w:rsidRPr="00730430" w:rsidRDefault="00930B4A" w:rsidP="005B4190">
      <w:pPr>
        <w:tabs>
          <w:tab w:val="left" w:pos="1095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1156DB2E" w14:textId="77777777" w:rsidR="00930B4A" w:rsidRPr="00730430" w:rsidRDefault="00930B4A" w:rsidP="005B4190">
      <w:pPr>
        <w:tabs>
          <w:tab w:val="left" w:pos="1095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0A37FC0E" w14:textId="638D7864" w:rsidR="00782980" w:rsidRPr="00730430" w:rsidRDefault="00E1675C" w:rsidP="005B4190">
      <w:pPr>
        <w:tabs>
          <w:tab w:val="left" w:pos="1095"/>
        </w:tabs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730430">
        <w:rPr>
          <w:rFonts w:ascii="Arial" w:hAnsi="Arial" w:cs="Arial"/>
          <w:b/>
          <w:sz w:val="22"/>
          <w:szCs w:val="22"/>
        </w:rPr>
        <w:t>BALANCE DE LA GESTIÓN DE RIESG</w:t>
      </w:r>
      <w:r w:rsidR="00A92273" w:rsidRPr="00730430">
        <w:rPr>
          <w:rFonts w:ascii="Arial" w:hAnsi="Arial" w:cs="Arial"/>
          <w:b/>
          <w:sz w:val="22"/>
          <w:szCs w:val="22"/>
        </w:rPr>
        <w:t xml:space="preserve">OS DE CORRUPCIÓN Y DE GESTIÓN CORRESPONDIENTE AL </w:t>
      </w:r>
      <w:r w:rsidR="00C86CDA">
        <w:rPr>
          <w:rFonts w:ascii="Arial" w:hAnsi="Arial" w:cs="Arial"/>
          <w:b/>
          <w:sz w:val="22"/>
          <w:szCs w:val="22"/>
        </w:rPr>
        <w:t>SEGUNDO</w:t>
      </w:r>
      <w:r w:rsidR="00A92273" w:rsidRPr="00730430">
        <w:rPr>
          <w:rFonts w:ascii="Arial" w:hAnsi="Arial" w:cs="Arial"/>
          <w:b/>
          <w:sz w:val="22"/>
          <w:szCs w:val="22"/>
        </w:rPr>
        <w:t xml:space="preserve"> CUATRIMESTRE DE LA VIGENCIA 2019</w:t>
      </w:r>
    </w:p>
    <w:p w14:paraId="4C231C3F" w14:textId="1B640BAD" w:rsidR="00930B4A" w:rsidRPr="00341111" w:rsidRDefault="00C86CDA" w:rsidP="005B4190">
      <w:pPr>
        <w:tabs>
          <w:tab w:val="left" w:pos="1095"/>
        </w:tabs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(MAYO</w:t>
      </w:r>
      <w:r w:rsidR="00A92273" w:rsidRPr="00341111">
        <w:rPr>
          <w:rFonts w:ascii="Arial" w:hAnsi="Arial" w:cs="Arial"/>
          <w:b/>
          <w:sz w:val="22"/>
          <w:szCs w:val="22"/>
        </w:rPr>
        <w:t xml:space="preserve"> – A</w:t>
      </w:r>
      <w:r>
        <w:rPr>
          <w:rFonts w:ascii="Arial" w:hAnsi="Arial" w:cs="Arial"/>
          <w:b/>
          <w:sz w:val="22"/>
          <w:szCs w:val="22"/>
        </w:rPr>
        <w:t>GOSTO</w:t>
      </w:r>
      <w:r w:rsidR="00A92273" w:rsidRPr="00341111">
        <w:rPr>
          <w:rFonts w:ascii="Arial" w:hAnsi="Arial" w:cs="Arial"/>
          <w:b/>
          <w:sz w:val="22"/>
          <w:szCs w:val="22"/>
        </w:rPr>
        <w:t>)</w:t>
      </w:r>
    </w:p>
    <w:p w14:paraId="0F7F6481" w14:textId="77777777" w:rsidR="00930B4A" w:rsidRPr="00730430" w:rsidRDefault="00930B4A" w:rsidP="005B4190">
      <w:pPr>
        <w:tabs>
          <w:tab w:val="left" w:pos="1095"/>
        </w:tabs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14:paraId="79FF80FD" w14:textId="77777777" w:rsidR="00930B4A" w:rsidRPr="00730430" w:rsidRDefault="00930B4A" w:rsidP="005B4190">
      <w:pPr>
        <w:tabs>
          <w:tab w:val="left" w:pos="1095"/>
        </w:tabs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14:paraId="5A045D86" w14:textId="77777777" w:rsidR="00930B4A" w:rsidRPr="00730430" w:rsidRDefault="00930B4A" w:rsidP="005B4190">
      <w:pPr>
        <w:tabs>
          <w:tab w:val="left" w:pos="1095"/>
        </w:tabs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14:paraId="7484C201" w14:textId="77777777" w:rsidR="00930B4A" w:rsidRPr="00730430" w:rsidRDefault="00930B4A" w:rsidP="005B4190">
      <w:pPr>
        <w:tabs>
          <w:tab w:val="left" w:pos="1095"/>
        </w:tabs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14:paraId="7AFFBB55" w14:textId="77777777" w:rsidR="00930B4A" w:rsidRPr="00730430" w:rsidRDefault="00930B4A" w:rsidP="005B4190">
      <w:pPr>
        <w:tabs>
          <w:tab w:val="left" w:pos="1095"/>
        </w:tabs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14:paraId="3FC292D5" w14:textId="77777777" w:rsidR="00930B4A" w:rsidRPr="00730430" w:rsidRDefault="00930B4A" w:rsidP="005B4190">
      <w:pPr>
        <w:tabs>
          <w:tab w:val="left" w:pos="1095"/>
        </w:tabs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14:paraId="04D7B611" w14:textId="77777777" w:rsidR="00425456" w:rsidRPr="00730430" w:rsidRDefault="00425456" w:rsidP="005B4190">
      <w:pPr>
        <w:tabs>
          <w:tab w:val="left" w:pos="1095"/>
        </w:tabs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14:paraId="5AAB1A35" w14:textId="77777777" w:rsidR="00A92273" w:rsidRPr="00730430" w:rsidRDefault="00A92273" w:rsidP="005B4190">
      <w:pPr>
        <w:tabs>
          <w:tab w:val="left" w:pos="1095"/>
        </w:tabs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14:paraId="711941A9" w14:textId="77777777" w:rsidR="00A92273" w:rsidRPr="00730430" w:rsidRDefault="00A92273" w:rsidP="005B4190">
      <w:pPr>
        <w:tabs>
          <w:tab w:val="left" w:pos="1095"/>
        </w:tabs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14:paraId="7DE09265" w14:textId="77777777" w:rsidR="00E1675C" w:rsidRPr="00730430" w:rsidRDefault="00E1675C" w:rsidP="005B4190">
      <w:pPr>
        <w:tabs>
          <w:tab w:val="left" w:pos="1095"/>
        </w:tabs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14:paraId="2B5D1C1D" w14:textId="77777777" w:rsidR="00E1675C" w:rsidRPr="00730430" w:rsidRDefault="00E1675C" w:rsidP="005B4190">
      <w:pPr>
        <w:tabs>
          <w:tab w:val="left" w:pos="1095"/>
        </w:tabs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14:paraId="2E0C3BE9" w14:textId="77777777" w:rsidR="00E1675C" w:rsidRPr="00730430" w:rsidRDefault="00E1675C" w:rsidP="005B4190">
      <w:pPr>
        <w:tabs>
          <w:tab w:val="left" w:pos="1095"/>
        </w:tabs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14:paraId="2663160A" w14:textId="07C3E5B4" w:rsidR="00E1675C" w:rsidRPr="00730430" w:rsidRDefault="00A92273" w:rsidP="005B4190">
      <w:pPr>
        <w:tabs>
          <w:tab w:val="left" w:pos="1095"/>
        </w:tabs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730430">
        <w:rPr>
          <w:rFonts w:ascii="Arial" w:hAnsi="Arial" w:cs="Arial"/>
          <w:b/>
          <w:sz w:val="22"/>
          <w:szCs w:val="22"/>
        </w:rPr>
        <w:t xml:space="preserve">OFICINA ASESORA DE PLANEACIÓN </w:t>
      </w:r>
    </w:p>
    <w:p w14:paraId="627050FD" w14:textId="31C33617" w:rsidR="00425456" w:rsidRPr="00730430" w:rsidRDefault="00E1675C" w:rsidP="005B4190">
      <w:pPr>
        <w:tabs>
          <w:tab w:val="left" w:pos="1095"/>
        </w:tabs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730430">
        <w:rPr>
          <w:rFonts w:ascii="Arial" w:hAnsi="Arial" w:cs="Arial"/>
          <w:b/>
          <w:sz w:val="22"/>
          <w:szCs w:val="22"/>
        </w:rPr>
        <w:t>PROCESO DE FORTALECIMIENTO DEL SIG</w:t>
      </w:r>
    </w:p>
    <w:p w14:paraId="0B2DEE37" w14:textId="77777777" w:rsidR="00A92273" w:rsidRPr="00730430" w:rsidRDefault="00A92273" w:rsidP="005B4190">
      <w:pPr>
        <w:tabs>
          <w:tab w:val="left" w:pos="1095"/>
        </w:tabs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14:paraId="3F71F0A3" w14:textId="77777777" w:rsidR="00E1675C" w:rsidRPr="00730430" w:rsidRDefault="00E1675C" w:rsidP="005B4190">
      <w:pPr>
        <w:tabs>
          <w:tab w:val="left" w:pos="1095"/>
        </w:tabs>
        <w:spacing w:line="240" w:lineRule="auto"/>
        <w:rPr>
          <w:rFonts w:ascii="Arial" w:hAnsi="Arial" w:cs="Arial"/>
          <w:b/>
          <w:sz w:val="22"/>
          <w:szCs w:val="22"/>
        </w:rPr>
      </w:pPr>
    </w:p>
    <w:p w14:paraId="11297602" w14:textId="77777777" w:rsidR="00E1675C" w:rsidRPr="00730430" w:rsidRDefault="00E1675C" w:rsidP="005B4190">
      <w:pPr>
        <w:tabs>
          <w:tab w:val="left" w:pos="1095"/>
        </w:tabs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14:paraId="33C8731C" w14:textId="77777777" w:rsidR="00E1675C" w:rsidRPr="00730430" w:rsidRDefault="00E1675C" w:rsidP="005B4190">
      <w:pPr>
        <w:tabs>
          <w:tab w:val="left" w:pos="1095"/>
        </w:tabs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14:paraId="2BF4BF15" w14:textId="77777777" w:rsidR="00E1675C" w:rsidRPr="00730430" w:rsidRDefault="00E1675C" w:rsidP="005B4190">
      <w:pPr>
        <w:tabs>
          <w:tab w:val="left" w:pos="1095"/>
        </w:tabs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14:paraId="67534E29" w14:textId="77777777" w:rsidR="00E1675C" w:rsidRPr="00730430" w:rsidRDefault="00E1675C" w:rsidP="005B4190">
      <w:pPr>
        <w:tabs>
          <w:tab w:val="left" w:pos="1095"/>
        </w:tabs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14:paraId="01EA6A51" w14:textId="77777777" w:rsidR="00E1675C" w:rsidRPr="00730430" w:rsidRDefault="00E1675C" w:rsidP="005B4190">
      <w:pPr>
        <w:tabs>
          <w:tab w:val="left" w:pos="1095"/>
        </w:tabs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14:paraId="18FD5CBA" w14:textId="77777777" w:rsidR="00E1675C" w:rsidRPr="00730430" w:rsidRDefault="00E1675C" w:rsidP="005B4190">
      <w:pPr>
        <w:tabs>
          <w:tab w:val="left" w:pos="1095"/>
        </w:tabs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14:paraId="4ADB00FF" w14:textId="77777777" w:rsidR="00E1675C" w:rsidRPr="00730430" w:rsidRDefault="00E1675C" w:rsidP="005B4190">
      <w:pPr>
        <w:tabs>
          <w:tab w:val="left" w:pos="1095"/>
        </w:tabs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14:paraId="4EC214AC" w14:textId="77777777" w:rsidR="00E1675C" w:rsidRPr="00730430" w:rsidRDefault="00E1675C" w:rsidP="005B4190">
      <w:pPr>
        <w:tabs>
          <w:tab w:val="left" w:pos="1095"/>
        </w:tabs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14:paraId="069FE2C1" w14:textId="77777777" w:rsidR="00E1675C" w:rsidRPr="00730430" w:rsidRDefault="00E1675C" w:rsidP="005B4190">
      <w:pPr>
        <w:tabs>
          <w:tab w:val="left" w:pos="1095"/>
        </w:tabs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14:paraId="3ECAB88A" w14:textId="77777777" w:rsidR="00E1675C" w:rsidRPr="00730430" w:rsidRDefault="00E1675C" w:rsidP="005B4190">
      <w:pPr>
        <w:tabs>
          <w:tab w:val="left" w:pos="1095"/>
        </w:tabs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14:paraId="02166958" w14:textId="77777777" w:rsidR="00E1675C" w:rsidRPr="00730430" w:rsidRDefault="00E1675C" w:rsidP="005B4190">
      <w:pPr>
        <w:tabs>
          <w:tab w:val="left" w:pos="1095"/>
        </w:tabs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14:paraId="7EA0E791" w14:textId="77777777" w:rsidR="00E1675C" w:rsidRPr="00730430" w:rsidRDefault="00E1675C" w:rsidP="005B4190">
      <w:pPr>
        <w:tabs>
          <w:tab w:val="left" w:pos="1095"/>
        </w:tabs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14:paraId="014FD135" w14:textId="77777777" w:rsidR="00A92273" w:rsidRPr="00730430" w:rsidRDefault="00A92273" w:rsidP="005B4190">
      <w:pPr>
        <w:tabs>
          <w:tab w:val="left" w:pos="1095"/>
        </w:tabs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14:paraId="6E19952D" w14:textId="77777777" w:rsidR="00A92273" w:rsidRPr="00730430" w:rsidRDefault="00A92273" w:rsidP="005B4190">
      <w:pPr>
        <w:tabs>
          <w:tab w:val="left" w:pos="1095"/>
        </w:tabs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14:paraId="755E405D" w14:textId="77777777" w:rsidR="00730430" w:rsidRDefault="00E1675C" w:rsidP="005B4190">
      <w:pPr>
        <w:pStyle w:val="m7007535857312232601gmail-msolistparagraph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730430">
        <w:rPr>
          <w:rFonts w:ascii="Arial" w:hAnsi="Arial" w:cs="Arial"/>
          <w:b/>
          <w:sz w:val="22"/>
          <w:szCs w:val="22"/>
        </w:rPr>
        <w:t>BOGOTÁ D.C.</w:t>
      </w:r>
    </w:p>
    <w:p w14:paraId="6EB03A59" w14:textId="77777777" w:rsidR="00730430" w:rsidRDefault="00730430" w:rsidP="005B4190">
      <w:pPr>
        <w:widowControl/>
        <w:suppressAutoHyphens w:val="0"/>
        <w:spacing w:line="240" w:lineRule="auto"/>
        <w:rPr>
          <w:rFonts w:ascii="Arial" w:eastAsia="Times New Roman" w:hAnsi="Arial" w:cs="Arial"/>
          <w:b/>
          <w:color w:val="auto"/>
          <w:sz w:val="22"/>
          <w:szCs w:val="22"/>
          <w:lang w:eastAsia="es-ES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79BB5F77" w14:textId="77777777" w:rsidR="00730430" w:rsidRDefault="00730430" w:rsidP="005B4190">
      <w:pPr>
        <w:pStyle w:val="m7007535857312232601gmail-msolistparagraph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sz w:val="28"/>
          <w:szCs w:val="44"/>
        </w:rPr>
      </w:pPr>
    </w:p>
    <w:p w14:paraId="1BB32931" w14:textId="77777777" w:rsidR="004D14C7" w:rsidRDefault="004D14C7" w:rsidP="005B4190">
      <w:pPr>
        <w:pStyle w:val="m7007535857312232601gmail-msolistparagraph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</w:p>
    <w:p w14:paraId="4D47F2D2" w14:textId="3BD8292B" w:rsidR="000F5469" w:rsidRPr="004D14C7" w:rsidRDefault="00023B74" w:rsidP="005B4190">
      <w:pPr>
        <w:pStyle w:val="m7007535857312232601gmail-msolistparagraph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4D14C7">
        <w:rPr>
          <w:rFonts w:ascii="Arial" w:hAnsi="Arial" w:cs="Arial"/>
          <w:b/>
          <w:bCs/>
        </w:rPr>
        <w:t>Introducción</w:t>
      </w:r>
    </w:p>
    <w:p w14:paraId="56ED0C45" w14:textId="77777777" w:rsidR="00782980" w:rsidRDefault="00782980" w:rsidP="005B4190">
      <w:pPr>
        <w:tabs>
          <w:tab w:val="left" w:pos="1095"/>
        </w:tabs>
        <w:spacing w:line="240" w:lineRule="auto"/>
        <w:jc w:val="both"/>
        <w:rPr>
          <w:rFonts w:ascii="Arial" w:hAnsi="Arial" w:cs="Arial"/>
          <w:sz w:val="22"/>
          <w:szCs w:val="20"/>
        </w:rPr>
      </w:pPr>
    </w:p>
    <w:p w14:paraId="663A243B" w14:textId="77777777" w:rsidR="00975646" w:rsidRDefault="00975646" w:rsidP="005B4190">
      <w:pPr>
        <w:tabs>
          <w:tab w:val="left" w:pos="1095"/>
        </w:tabs>
        <w:spacing w:line="240" w:lineRule="auto"/>
        <w:jc w:val="both"/>
        <w:rPr>
          <w:rFonts w:ascii="Arial" w:hAnsi="Arial" w:cs="Arial"/>
          <w:sz w:val="22"/>
          <w:szCs w:val="20"/>
        </w:rPr>
      </w:pPr>
    </w:p>
    <w:p w14:paraId="433FEDCE" w14:textId="77777777" w:rsidR="004D14C7" w:rsidRDefault="004D14C7" w:rsidP="005B4190">
      <w:pPr>
        <w:tabs>
          <w:tab w:val="left" w:pos="1095"/>
        </w:tabs>
        <w:spacing w:line="240" w:lineRule="auto"/>
        <w:jc w:val="both"/>
        <w:rPr>
          <w:rFonts w:ascii="Arial" w:hAnsi="Arial" w:cs="Arial"/>
          <w:sz w:val="22"/>
          <w:szCs w:val="20"/>
        </w:rPr>
      </w:pPr>
    </w:p>
    <w:p w14:paraId="3385E404" w14:textId="08C187D9" w:rsidR="00C86CDA" w:rsidRDefault="00BE69A3" w:rsidP="005B4190">
      <w:pPr>
        <w:tabs>
          <w:tab w:val="left" w:pos="1095"/>
        </w:tabs>
        <w:spacing w:line="240" w:lineRule="auto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D</w:t>
      </w:r>
      <w:r w:rsidR="00975646" w:rsidRPr="00730430">
        <w:rPr>
          <w:rFonts w:ascii="Arial" w:hAnsi="Arial" w:cs="Arial"/>
          <w:sz w:val="22"/>
          <w:szCs w:val="20"/>
        </w:rPr>
        <w:t xml:space="preserve">urante </w:t>
      </w:r>
      <w:r>
        <w:rPr>
          <w:rFonts w:ascii="Arial" w:hAnsi="Arial" w:cs="Arial"/>
          <w:sz w:val="22"/>
          <w:szCs w:val="20"/>
        </w:rPr>
        <w:t xml:space="preserve">el mes de </w:t>
      </w:r>
      <w:r w:rsidR="00975646" w:rsidRPr="00730430">
        <w:rPr>
          <w:rFonts w:ascii="Arial" w:hAnsi="Arial" w:cs="Arial"/>
          <w:sz w:val="22"/>
          <w:szCs w:val="20"/>
        </w:rPr>
        <w:t>enero de 2019</w:t>
      </w:r>
      <w:r w:rsidR="00975646">
        <w:rPr>
          <w:rFonts w:ascii="Arial" w:hAnsi="Arial" w:cs="Arial"/>
          <w:sz w:val="22"/>
          <w:szCs w:val="20"/>
        </w:rPr>
        <w:t>,</w:t>
      </w:r>
      <w:r w:rsidR="00975646" w:rsidRPr="00730430">
        <w:rPr>
          <w:rFonts w:ascii="Arial" w:hAnsi="Arial" w:cs="Arial"/>
          <w:sz w:val="22"/>
          <w:szCs w:val="20"/>
        </w:rPr>
        <w:t xml:space="preserve"> se llevó a cabo</w:t>
      </w:r>
      <w:r w:rsidR="00975646">
        <w:rPr>
          <w:rFonts w:ascii="Arial" w:hAnsi="Arial" w:cs="Arial"/>
          <w:sz w:val="22"/>
          <w:szCs w:val="20"/>
        </w:rPr>
        <w:t xml:space="preserve"> el </w:t>
      </w:r>
      <w:r w:rsidR="00975646" w:rsidRPr="00730430">
        <w:rPr>
          <w:rFonts w:ascii="Arial" w:hAnsi="Arial" w:cs="Arial"/>
          <w:sz w:val="22"/>
          <w:szCs w:val="20"/>
        </w:rPr>
        <w:t>análisis del resultado de la gestión de los riesgos trabajados en la vigencia 2018</w:t>
      </w:r>
      <w:r w:rsidR="00975646">
        <w:rPr>
          <w:rFonts w:ascii="Arial" w:hAnsi="Arial" w:cs="Arial"/>
          <w:sz w:val="22"/>
          <w:szCs w:val="20"/>
        </w:rPr>
        <w:t xml:space="preserve"> </w:t>
      </w:r>
      <w:r w:rsidR="003B7864">
        <w:rPr>
          <w:rFonts w:ascii="Arial" w:hAnsi="Arial" w:cs="Arial"/>
          <w:sz w:val="22"/>
          <w:szCs w:val="20"/>
        </w:rPr>
        <w:t xml:space="preserve">dando </w:t>
      </w:r>
      <w:r w:rsidR="00B533FE">
        <w:rPr>
          <w:rFonts w:ascii="Arial" w:hAnsi="Arial" w:cs="Arial"/>
          <w:sz w:val="22"/>
          <w:szCs w:val="20"/>
        </w:rPr>
        <w:t>inici</w:t>
      </w:r>
      <w:r w:rsidR="003B7864">
        <w:rPr>
          <w:rFonts w:ascii="Arial" w:hAnsi="Arial" w:cs="Arial"/>
          <w:sz w:val="22"/>
          <w:szCs w:val="20"/>
        </w:rPr>
        <w:t>o</w:t>
      </w:r>
      <w:r w:rsidR="00B533FE">
        <w:rPr>
          <w:rFonts w:ascii="Arial" w:hAnsi="Arial" w:cs="Arial"/>
          <w:sz w:val="22"/>
          <w:szCs w:val="20"/>
        </w:rPr>
        <w:t xml:space="preserve"> </w:t>
      </w:r>
      <w:r w:rsidR="003B7864">
        <w:rPr>
          <w:rFonts w:ascii="Arial" w:hAnsi="Arial" w:cs="Arial"/>
          <w:sz w:val="22"/>
          <w:szCs w:val="20"/>
        </w:rPr>
        <w:t xml:space="preserve">a </w:t>
      </w:r>
      <w:r w:rsidR="00975646">
        <w:rPr>
          <w:rFonts w:ascii="Arial" w:hAnsi="Arial" w:cs="Arial"/>
          <w:sz w:val="22"/>
          <w:szCs w:val="20"/>
        </w:rPr>
        <w:t>la</w:t>
      </w:r>
      <w:r w:rsidR="00975646" w:rsidRPr="00730430">
        <w:rPr>
          <w:rFonts w:ascii="Arial" w:hAnsi="Arial" w:cs="Arial"/>
          <w:sz w:val="22"/>
          <w:szCs w:val="20"/>
        </w:rPr>
        <w:t xml:space="preserve"> identificación de </w:t>
      </w:r>
      <w:r w:rsidR="00B533FE">
        <w:rPr>
          <w:rFonts w:ascii="Arial" w:hAnsi="Arial" w:cs="Arial"/>
          <w:sz w:val="22"/>
          <w:szCs w:val="20"/>
        </w:rPr>
        <w:t>los</w:t>
      </w:r>
      <w:r w:rsidR="00975646" w:rsidRPr="00730430">
        <w:rPr>
          <w:rFonts w:ascii="Arial" w:hAnsi="Arial" w:cs="Arial"/>
          <w:sz w:val="22"/>
          <w:szCs w:val="20"/>
        </w:rPr>
        <w:t xml:space="preserve"> riesgos de corrupción</w:t>
      </w:r>
      <w:r w:rsidR="00B533FE">
        <w:rPr>
          <w:rFonts w:ascii="Arial" w:hAnsi="Arial" w:cs="Arial"/>
          <w:sz w:val="22"/>
          <w:szCs w:val="20"/>
        </w:rPr>
        <w:t xml:space="preserve"> y gestión</w:t>
      </w:r>
      <w:r w:rsidR="003B7864">
        <w:rPr>
          <w:rFonts w:ascii="Arial" w:hAnsi="Arial" w:cs="Arial"/>
          <w:sz w:val="22"/>
          <w:szCs w:val="20"/>
        </w:rPr>
        <w:t xml:space="preserve">; </w:t>
      </w:r>
      <w:r w:rsidR="006478A2">
        <w:rPr>
          <w:rFonts w:ascii="Arial" w:hAnsi="Arial" w:cs="Arial"/>
          <w:sz w:val="22"/>
          <w:szCs w:val="20"/>
        </w:rPr>
        <w:t>la actividad</w:t>
      </w:r>
      <w:r w:rsidR="003B7864">
        <w:rPr>
          <w:rFonts w:ascii="Arial" w:hAnsi="Arial" w:cs="Arial"/>
          <w:sz w:val="22"/>
          <w:szCs w:val="20"/>
        </w:rPr>
        <w:t xml:space="preserve"> se </w:t>
      </w:r>
      <w:r w:rsidR="006478A2">
        <w:rPr>
          <w:rFonts w:ascii="Arial" w:hAnsi="Arial" w:cs="Arial"/>
          <w:sz w:val="22"/>
          <w:szCs w:val="20"/>
        </w:rPr>
        <w:t>realizó mediante</w:t>
      </w:r>
      <w:r w:rsidR="00975646" w:rsidRPr="00730430">
        <w:rPr>
          <w:rFonts w:ascii="Arial" w:hAnsi="Arial" w:cs="Arial"/>
          <w:sz w:val="22"/>
          <w:szCs w:val="20"/>
        </w:rPr>
        <w:t xml:space="preserve"> reuniones con los equipos de trabajo</w:t>
      </w:r>
      <w:r w:rsidR="003B7864">
        <w:rPr>
          <w:rFonts w:ascii="Arial" w:hAnsi="Arial" w:cs="Arial"/>
          <w:sz w:val="22"/>
          <w:szCs w:val="20"/>
        </w:rPr>
        <w:t xml:space="preserve"> </w:t>
      </w:r>
      <w:r w:rsidR="00975646" w:rsidRPr="00730430">
        <w:rPr>
          <w:rFonts w:ascii="Arial" w:hAnsi="Arial" w:cs="Arial"/>
          <w:sz w:val="22"/>
          <w:szCs w:val="20"/>
        </w:rPr>
        <w:t>en la</w:t>
      </w:r>
      <w:r w:rsidR="00975646">
        <w:rPr>
          <w:rFonts w:ascii="Arial" w:hAnsi="Arial" w:cs="Arial"/>
          <w:sz w:val="22"/>
          <w:szCs w:val="20"/>
        </w:rPr>
        <w:t>s</w:t>
      </w:r>
      <w:r w:rsidR="00975646" w:rsidRPr="00730430">
        <w:rPr>
          <w:rFonts w:ascii="Arial" w:hAnsi="Arial" w:cs="Arial"/>
          <w:sz w:val="22"/>
          <w:szCs w:val="20"/>
        </w:rPr>
        <w:t xml:space="preserve"> que se </w:t>
      </w:r>
      <w:r w:rsidR="00975646">
        <w:rPr>
          <w:rFonts w:ascii="Arial" w:hAnsi="Arial" w:cs="Arial"/>
          <w:sz w:val="22"/>
          <w:szCs w:val="20"/>
        </w:rPr>
        <w:t xml:space="preserve">revisaron </w:t>
      </w:r>
      <w:r w:rsidR="00975646" w:rsidRPr="00730430">
        <w:rPr>
          <w:rFonts w:ascii="Arial" w:hAnsi="Arial" w:cs="Arial"/>
          <w:sz w:val="22"/>
          <w:szCs w:val="20"/>
        </w:rPr>
        <w:t>l</w:t>
      </w:r>
      <w:r w:rsidR="00975646">
        <w:rPr>
          <w:rFonts w:ascii="Arial" w:hAnsi="Arial" w:cs="Arial"/>
          <w:sz w:val="22"/>
          <w:szCs w:val="20"/>
        </w:rPr>
        <w:t xml:space="preserve">os </w:t>
      </w:r>
      <w:r w:rsidR="00975646" w:rsidRPr="00730430">
        <w:rPr>
          <w:rFonts w:ascii="Arial" w:hAnsi="Arial" w:cs="Arial"/>
          <w:sz w:val="22"/>
          <w:szCs w:val="20"/>
        </w:rPr>
        <w:t>proceso</w:t>
      </w:r>
      <w:r w:rsidR="00975646">
        <w:rPr>
          <w:rFonts w:ascii="Arial" w:hAnsi="Arial" w:cs="Arial"/>
          <w:sz w:val="22"/>
          <w:szCs w:val="20"/>
        </w:rPr>
        <w:t>s y</w:t>
      </w:r>
      <w:r w:rsidR="0015181E">
        <w:rPr>
          <w:rFonts w:ascii="Arial" w:hAnsi="Arial" w:cs="Arial"/>
          <w:sz w:val="22"/>
          <w:szCs w:val="20"/>
        </w:rPr>
        <w:t xml:space="preserve"> se </w:t>
      </w:r>
      <w:r w:rsidR="006478A2">
        <w:rPr>
          <w:rFonts w:ascii="Arial" w:hAnsi="Arial" w:cs="Arial"/>
          <w:sz w:val="22"/>
          <w:szCs w:val="20"/>
        </w:rPr>
        <w:t>documentaron</w:t>
      </w:r>
      <w:r w:rsidR="0015181E">
        <w:rPr>
          <w:rFonts w:ascii="Arial" w:hAnsi="Arial" w:cs="Arial"/>
          <w:sz w:val="22"/>
          <w:szCs w:val="20"/>
        </w:rPr>
        <w:t xml:space="preserve"> los riesgos de c</w:t>
      </w:r>
      <w:r w:rsidR="00975646" w:rsidRPr="00730430">
        <w:rPr>
          <w:rFonts w:ascii="Arial" w:hAnsi="Arial" w:cs="Arial"/>
          <w:sz w:val="22"/>
          <w:szCs w:val="20"/>
        </w:rPr>
        <w:t xml:space="preserve">orrupción </w:t>
      </w:r>
      <w:r w:rsidR="0015181E">
        <w:rPr>
          <w:rFonts w:ascii="Arial" w:hAnsi="Arial" w:cs="Arial"/>
          <w:sz w:val="22"/>
          <w:szCs w:val="20"/>
        </w:rPr>
        <w:t xml:space="preserve">y </w:t>
      </w:r>
      <w:r w:rsidR="006478A2">
        <w:rPr>
          <w:rFonts w:ascii="Arial" w:hAnsi="Arial" w:cs="Arial"/>
          <w:sz w:val="22"/>
          <w:szCs w:val="20"/>
        </w:rPr>
        <w:t xml:space="preserve">de </w:t>
      </w:r>
      <w:r w:rsidR="0015181E">
        <w:rPr>
          <w:rFonts w:ascii="Arial" w:hAnsi="Arial" w:cs="Arial"/>
          <w:sz w:val="22"/>
          <w:szCs w:val="20"/>
        </w:rPr>
        <w:t xml:space="preserve">gestión </w:t>
      </w:r>
      <w:r w:rsidR="00975646" w:rsidRPr="00730430">
        <w:rPr>
          <w:rFonts w:ascii="Arial" w:hAnsi="Arial" w:cs="Arial"/>
          <w:sz w:val="22"/>
          <w:szCs w:val="20"/>
        </w:rPr>
        <w:t>del Instituto Distrital de Patrimonio Cultural</w:t>
      </w:r>
      <w:r w:rsidR="0015181E">
        <w:rPr>
          <w:rFonts w:ascii="Arial" w:hAnsi="Arial" w:cs="Arial"/>
          <w:sz w:val="22"/>
          <w:szCs w:val="20"/>
        </w:rPr>
        <w:t xml:space="preserve"> </w:t>
      </w:r>
      <w:r w:rsidR="006478A2">
        <w:rPr>
          <w:rFonts w:ascii="Arial" w:hAnsi="Arial" w:cs="Arial"/>
          <w:sz w:val="22"/>
          <w:szCs w:val="20"/>
        </w:rPr>
        <w:t xml:space="preserve">correspondientes a </w:t>
      </w:r>
      <w:r w:rsidR="0015181E">
        <w:rPr>
          <w:rFonts w:ascii="Arial" w:hAnsi="Arial" w:cs="Arial"/>
          <w:sz w:val="22"/>
          <w:szCs w:val="20"/>
        </w:rPr>
        <w:t xml:space="preserve">la </w:t>
      </w:r>
      <w:r w:rsidR="00975646" w:rsidRPr="00730430">
        <w:rPr>
          <w:rFonts w:ascii="Arial" w:hAnsi="Arial" w:cs="Arial"/>
          <w:sz w:val="22"/>
          <w:szCs w:val="20"/>
        </w:rPr>
        <w:t>vigencia 2019</w:t>
      </w:r>
      <w:r w:rsidR="00975646">
        <w:rPr>
          <w:rFonts w:ascii="Arial" w:hAnsi="Arial" w:cs="Arial"/>
          <w:sz w:val="22"/>
          <w:szCs w:val="20"/>
        </w:rPr>
        <w:t>.</w:t>
      </w:r>
    </w:p>
    <w:p w14:paraId="32894F29" w14:textId="77777777" w:rsidR="00C86CDA" w:rsidRDefault="00C86CDA" w:rsidP="005B4190">
      <w:pPr>
        <w:tabs>
          <w:tab w:val="left" w:pos="1095"/>
        </w:tabs>
        <w:spacing w:line="240" w:lineRule="auto"/>
        <w:jc w:val="both"/>
        <w:rPr>
          <w:rFonts w:ascii="Arial" w:hAnsi="Arial" w:cs="Arial"/>
          <w:sz w:val="22"/>
          <w:szCs w:val="20"/>
        </w:rPr>
      </w:pPr>
    </w:p>
    <w:p w14:paraId="142351F0" w14:textId="5868B714" w:rsidR="005549E6" w:rsidRDefault="006478A2" w:rsidP="005549E6">
      <w:pPr>
        <w:tabs>
          <w:tab w:val="left" w:pos="1095"/>
        </w:tabs>
        <w:spacing w:line="240" w:lineRule="auto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Como resultado</w:t>
      </w:r>
      <w:r w:rsidR="003B7864">
        <w:rPr>
          <w:rFonts w:ascii="Arial" w:hAnsi="Arial" w:cs="Arial"/>
          <w:sz w:val="22"/>
          <w:szCs w:val="20"/>
        </w:rPr>
        <w:t xml:space="preserve"> de este ejercicio,</w:t>
      </w:r>
      <w:r w:rsidR="0015181E">
        <w:rPr>
          <w:rFonts w:ascii="Arial" w:hAnsi="Arial" w:cs="Arial"/>
          <w:sz w:val="22"/>
          <w:szCs w:val="20"/>
        </w:rPr>
        <w:t xml:space="preserve"> el</w:t>
      </w:r>
      <w:r w:rsidR="00AC5312">
        <w:rPr>
          <w:rFonts w:ascii="Arial" w:hAnsi="Arial" w:cs="Arial"/>
          <w:sz w:val="22"/>
          <w:szCs w:val="20"/>
        </w:rPr>
        <w:t xml:space="preserve"> </w:t>
      </w:r>
      <w:r>
        <w:rPr>
          <w:rFonts w:ascii="Arial" w:hAnsi="Arial" w:cs="Arial"/>
          <w:sz w:val="22"/>
          <w:szCs w:val="20"/>
        </w:rPr>
        <w:t xml:space="preserve">Instituto </w:t>
      </w:r>
      <w:r w:rsidR="003B7864">
        <w:rPr>
          <w:rFonts w:ascii="Arial" w:hAnsi="Arial" w:cs="Arial"/>
          <w:sz w:val="22"/>
          <w:szCs w:val="20"/>
        </w:rPr>
        <w:t>definió nueve (</w:t>
      </w:r>
      <w:r w:rsidR="00C86CDA" w:rsidRPr="00C86CDA">
        <w:rPr>
          <w:rFonts w:ascii="Arial" w:hAnsi="Arial" w:cs="Arial"/>
          <w:sz w:val="22"/>
          <w:szCs w:val="20"/>
        </w:rPr>
        <w:t>9</w:t>
      </w:r>
      <w:r w:rsidR="003B7864">
        <w:rPr>
          <w:rFonts w:ascii="Arial" w:hAnsi="Arial" w:cs="Arial"/>
          <w:sz w:val="22"/>
          <w:szCs w:val="20"/>
        </w:rPr>
        <w:t>)</w:t>
      </w:r>
      <w:r w:rsidR="00C86CDA" w:rsidRPr="00C86CDA">
        <w:rPr>
          <w:rFonts w:ascii="Arial" w:hAnsi="Arial" w:cs="Arial"/>
          <w:sz w:val="22"/>
          <w:szCs w:val="20"/>
        </w:rPr>
        <w:t xml:space="preserve"> riesgos de corrupción y </w:t>
      </w:r>
      <w:r w:rsidR="003B7864">
        <w:rPr>
          <w:rFonts w:ascii="Arial" w:hAnsi="Arial" w:cs="Arial"/>
          <w:sz w:val="22"/>
          <w:szCs w:val="20"/>
        </w:rPr>
        <w:t>treinta y s</w:t>
      </w:r>
      <w:r w:rsidR="008E62F3">
        <w:rPr>
          <w:rFonts w:ascii="Arial" w:hAnsi="Arial" w:cs="Arial"/>
          <w:sz w:val="22"/>
          <w:szCs w:val="20"/>
        </w:rPr>
        <w:t>ie</w:t>
      </w:r>
      <w:r w:rsidR="003B7864">
        <w:rPr>
          <w:rFonts w:ascii="Arial" w:hAnsi="Arial" w:cs="Arial"/>
          <w:sz w:val="22"/>
          <w:szCs w:val="20"/>
        </w:rPr>
        <w:t>te (</w:t>
      </w:r>
      <w:r w:rsidR="00C86CDA" w:rsidRPr="00C86CDA">
        <w:rPr>
          <w:rFonts w:ascii="Arial" w:hAnsi="Arial" w:cs="Arial"/>
          <w:sz w:val="22"/>
          <w:szCs w:val="20"/>
        </w:rPr>
        <w:t>37</w:t>
      </w:r>
      <w:r w:rsidR="003B7864">
        <w:rPr>
          <w:rFonts w:ascii="Arial" w:hAnsi="Arial" w:cs="Arial"/>
          <w:sz w:val="22"/>
          <w:szCs w:val="20"/>
        </w:rPr>
        <w:t>)</w:t>
      </w:r>
      <w:r w:rsidR="00C86CDA" w:rsidRPr="00C86CDA">
        <w:rPr>
          <w:rFonts w:ascii="Arial" w:hAnsi="Arial" w:cs="Arial"/>
          <w:sz w:val="22"/>
          <w:szCs w:val="20"/>
        </w:rPr>
        <w:t xml:space="preserve"> riesgos de gestión para un tot</w:t>
      </w:r>
      <w:r w:rsidR="0015181E">
        <w:rPr>
          <w:rFonts w:ascii="Arial" w:hAnsi="Arial" w:cs="Arial"/>
          <w:sz w:val="22"/>
          <w:szCs w:val="20"/>
        </w:rPr>
        <w:t xml:space="preserve">al de </w:t>
      </w:r>
      <w:r w:rsidR="003B7864">
        <w:rPr>
          <w:rFonts w:ascii="Arial" w:hAnsi="Arial" w:cs="Arial"/>
          <w:sz w:val="22"/>
          <w:szCs w:val="20"/>
        </w:rPr>
        <w:t>cuarenta y seis (</w:t>
      </w:r>
      <w:r w:rsidR="0015181E">
        <w:rPr>
          <w:rFonts w:ascii="Arial" w:hAnsi="Arial" w:cs="Arial"/>
          <w:sz w:val="22"/>
          <w:szCs w:val="20"/>
        </w:rPr>
        <w:t>46</w:t>
      </w:r>
      <w:r w:rsidR="003B7864">
        <w:rPr>
          <w:rFonts w:ascii="Arial" w:hAnsi="Arial" w:cs="Arial"/>
          <w:sz w:val="22"/>
          <w:szCs w:val="20"/>
        </w:rPr>
        <w:t>)</w:t>
      </w:r>
      <w:r w:rsidR="0015181E">
        <w:rPr>
          <w:rFonts w:ascii="Arial" w:hAnsi="Arial" w:cs="Arial"/>
          <w:sz w:val="22"/>
          <w:szCs w:val="20"/>
        </w:rPr>
        <w:t xml:space="preserve"> riesgos, los cuales </w:t>
      </w:r>
      <w:r w:rsidR="003B7864">
        <w:rPr>
          <w:rFonts w:ascii="Arial" w:hAnsi="Arial" w:cs="Arial"/>
          <w:sz w:val="22"/>
          <w:szCs w:val="20"/>
        </w:rPr>
        <w:t xml:space="preserve">se </w:t>
      </w:r>
      <w:r w:rsidR="0015181E">
        <w:rPr>
          <w:rFonts w:ascii="Arial" w:hAnsi="Arial" w:cs="Arial"/>
          <w:sz w:val="22"/>
          <w:szCs w:val="20"/>
        </w:rPr>
        <w:t>analiza</w:t>
      </w:r>
      <w:r>
        <w:rPr>
          <w:rFonts w:ascii="Arial" w:hAnsi="Arial" w:cs="Arial"/>
          <w:sz w:val="22"/>
          <w:szCs w:val="20"/>
        </w:rPr>
        <w:t>rá</w:t>
      </w:r>
      <w:r w:rsidR="003B7864">
        <w:rPr>
          <w:rFonts w:ascii="Arial" w:hAnsi="Arial" w:cs="Arial"/>
          <w:sz w:val="22"/>
          <w:szCs w:val="20"/>
        </w:rPr>
        <w:t>n</w:t>
      </w:r>
      <w:r w:rsidR="0015181E">
        <w:rPr>
          <w:rFonts w:ascii="Arial" w:hAnsi="Arial" w:cs="Arial"/>
          <w:sz w:val="22"/>
          <w:szCs w:val="20"/>
        </w:rPr>
        <w:t xml:space="preserve"> en </w:t>
      </w:r>
      <w:r w:rsidR="003B7864">
        <w:rPr>
          <w:rFonts w:ascii="Arial" w:hAnsi="Arial" w:cs="Arial"/>
          <w:sz w:val="22"/>
          <w:szCs w:val="20"/>
        </w:rPr>
        <w:t>los informes de balance que realiza el equipo del Sistema Integrado de Gestión a cargo de la Oficina Asesora de Planeación</w:t>
      </w:r>
      <w:r w:rsidR="005549E6">
        <w:rPr>
          <w:rFonts w:ascii="Arial" w:hAnsi="Arial" w:cs="Arial"/>
          <w:sz w:val="22"/>
          <w:szCs w:val="20"/>
        </w:rPr>
        <w:t xml:space="preserve"> ejerciendo así su rol de segunda línea de defensa de acuerdo </w:t>
      </w:r>
      <w:r>
        <w:rPr>
          <w:rFonts w:ascii="Arial" w:hAnsi="Arial" w:cs="Arial"/>
          <w:sz w:val="22"/>
          <w:szCs w:val="20"/>
        </w:rPr>
        <w:t xml:space="preserve">con el </w:t>
      </w:r>
      <w:r w:rsidR="005549E6">
        <w:rPr>
          <w:rFonts w:ascii="Arial" w:hAnsi="Arial" w:cs="Arial"/>
          <w:sz w:val="22"/>
          <w:szCs w:val="20"/>
        </w:rPr>
        <w:t>Modelo Integrado de Planeación y Gestión</w:t>
      </w:r>
      <w:r>
        <w:rPr>
          <w:rFonts w:ascii="Arial" w:hAnsi="Arial" w:cs="Arial"/>
          <w:sz w:val="22"/>
          <w:szCs w:val="20"/>
        </w:rPr>
        <w:t>,</w:t>
      </w:r>
      <w:r w:rsidR="005549E6">
        <w:rPr>
          <w:rFonts w:ascii="Arial" w:hAnsi="Arial" w:cs="Arial"/>
          <w:sz w:val="22"/>
          <w:szCs w:val="20"/>
        </w:rPr>
        <w:t xml:space="preserve"> MIPG.</w:t>
      </w:r>
    </w:p>
    <w:p w14:paraId="6DAB2DCE" w14:textId="1E71F07B" w:rsidR="00C86CDA" w:rsidRDefault="00C86CDA" w:rsidP="005B4190">
      <w:pPr>
        <w:tabs>
          <w:tab w:val="left" w:pos="1095"/>
        </w:tabs>
        <w:spacing w:line="240" w:lineRule="auto"/>
        <w:jc w:val="both"/>
        <w:rPr>
          <w:rFonts w:ascii="Arial" w:hAnsi="Arial" w:cs="Arial"/>
          <w:sz w:val="22"/>
          <w:szCs w:val="20"/>
        </w:rPr>
      </w:pPr>
    </w:p>
    <w:p w14:paraId="090AD73A" w14:textId="3F30F0E3" w:rsidR="003B7864" w:rsidRDefault="003B7864" w:rsidP="005B4190">
      <w:pPr>
        <w:tabs>
          <w:tab w:val="left" w:pos="1095"/>
        </w:tabs>
        <w:spacing w:line="240" w:lineRule="auto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En el seguimiento realizado al primer cuatrimestre de la vigencia 2019, se elaboró el primer balance </w:t>
      </w:r>
      <w:r w:rsidRPr="003B7864">
        <w:rPr>
          <w:rFonts w:ascii="Arial" w:hAnsi="Arial" w:cs="Arial"/>
          <w:sz w:val="22"/>
          <w:szCs w:val="20"/>
        </w:rPr>
        <w:t>de la gestión de riesgos de corrupción y de gestión</w:t>
      </w:r>
      <w:r>
        <w:rPr>
          <w:rFonts w:ascii="Arial" w:hAnsi="Arial" w:cs="Arial"/>
          <w:sz w:val="22"/>
          <w:szCs w:val="20"/>
        </w:rPr>
        <w:t>, que incluye el estado, resultado y c</w:t>
      </w:r>
      <w:r w:rsidRPr="003B7864">
        <w:rPr>
          <w:rFonts w:ascii="Arial" w:hAnsi="Arial" w:cs="Arial"/>
          <w:sz w:val="22"/>
          <w:szCs w:val="20"/>
        </w:rPr>
        <w:t>onclusiones</w:t>
      </w:r>
      <w:r>
        <w:rPr>
          <w:rFonts w:ascii="Arial" w:hAnsi="Arial" w:cs="Arial"/>
          <w:sz w:val="22"/>
          <w:szCs w:val="20"/>
        </w:rPr>
        <w:t xml:space="preserve"> de la gestión de riesgos.</w:t>
      </w:r>
    </w:p>
    <w:p w14:paraId="2275AA1A" w14:textId="77777777" w:rsidR="003B7864" w:rsidRDefault="003B7864" w:rsidP="005B4190">
      <w:pPr>
        <w:tabs>
          <w:tab w:val="left" w:pos="1095"/>
        </w:tabs>
        <w:spacing w:line="240" w:lineRule="auto"/>
        <w:jc w:val="both"/>
        <w:rPr>
          <w:rFonts w:ascii="Arial" w:hAnsi="Arial" w:cs="Arial"/>
          <w:sz w:val="22"/>
          <w:szCs w:val="20"/>
        </w:rPr>
      </w:pPr>
    </w:p>
    <w:p w14:paraId="2B394FDD" w14:textId="483F85B5" w:rsidR="003B7864" w:rsidRPr="00730430" w:rsidRDefault="00932139" w:rsidP="005B4190">
      <w:pPr>
        <w:tabs>
          <w:tab w:val="left" w:pos="1095"/>
        </w:tabs>
        <w:spacing w:line="240" w:lineRule="auto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El</w:t>
      </w:r>
      <w:r w:rsidR="003B7864">
        <w:rPr>
          <w:rFonts w:ascii="Arial" w:hAnsi="Arial" w:cs="Arial"/>
          <w:sz w:val="22"/>
          <w:szCs w:val="20"/>
        </w:rPr>
        <w:t xml:space="preserve"> link de consulta del informe es: </w:t>
      </w:r>
      <w:hyperlink r:id="rId8" w:history="1">
        <w:r w:rsidR="003B7864" w:rsidRPr="002016B3">
          <w:rPr>
            <w:rStyle w:val="Hipervnculo"/>
            <w:rFonts w:ascii="Arial" w:hAnsi="Arial" w:cs="Arial"/>
            <w:sz w:val="22"/>
            <w:szCs w:val="20"/>
          </w:rPr>
          <w:t>https://idpc.gov.co/transparencia-y-acceso-a-la-informacion-publica/ley_transparencia_idpc/seguimiento-mapa-riesgos-procesos/</w:t>
        </w:r>
      </w:hyperlink>
      <w:r w:rsidR="003B7864">
        <w:rPr>
          <w:rFonts w:ascii="Arial" w:hAnsi="Arial" w:cs="Arial"/>
          <w:sz w:val="22"/>
          <w:szCs w:val="20"/>
        </w:rPr>
        <w:t xml:space="preserve"> - </w:t>
      </w:r>
    </w:p>
    <w:p w14:paraId="0C58893B" w14:textId="77777777" w:rsidR="006E4313" w:rsidRPr="00730430" w:rsidRDefault="006E4313" w:rsidP="005B4190">
      <w:pPr>
        <w:tabs>
          <w:tab w:val="left" w:pos="1095"/>
        </w:tabs>
        <w:spacing w:line="240" w:lineRule="auto"/>
        <w:jc w:val="both"/>
        <w:rPr>
          <w:rFonts w:ascii="Arial" w:hAnsi="Arial" w:cs="Arial"/>
          <w:sz w:val="22"/>
          <w:szCs w:val="20"/>
        </w:rPr>
      </w:pPr>
    </w:p>
    <w:p w14:paraId="002E50B5" w14:textId="77777777" w:rsidR="00D04FCD" w:rsidRDefault="00D04FCD" w:rsidP="005B4190">
      <w:pPr>
        <w:widowControl/>
        <w:suppressAutoHyphens w:val="0"/>
        <w:spacing w:line="240" w:lineRule="auto"/>
        <w:rPr>
          <w:rFonts w:ascii="Arial" w:hAnsi="Arial" w:cs="Arial"/>
          <w:sz w:val="20"/>
          <w:szCs w:val="20"/>
        </w:rPr>
      </w:pPr>
    </w:p>
    <w:p w14:paraId="45841544" w14:textId="42D77DBC" w:rsidR="00782980" w:rsidRDefault="00782980" w:rsidP="005B4190">
      <w:pPr>
        <w:widowControl/>
        <w:suppressAutoHyphens w:val="0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0A62A803" w14:textId="454E5A1D" w:rsidR="006E4313" w:rsidRPr="004D14C7" w:rsidRDefault="000F5469" w:rsidP="005B4190">
      <w:pPr>
        <w:pStyle w:val="m7007535857312232601gmail-msolistparagraph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426"/>
        <w:jc w:val="both"/>
        <w:rPr>
          <w:rFonts w:ascii="Arial" w:hAnsi="Arial" w:cs="Arial"/>
          <w:b/>
          <w:bCs/>
        </w:rPr>
      </w:pPr>
      <w:r w:rsidRPr="004D14C7">
        <w:rPr>
          <w:rFonts w:ascii="Arial" w:hAnsi="Arial" w:cs="Arial"/>
          <w:b/>
          <w:bCs/>
        </w:rPr>
        <w:lastRenderedPageBreak/>
        <w:t>Estado de los Riesgos  </w:t>
      </w:r>
    </w:p>
    <w:p w14:paraId="51457032" w14:textId="77777777" w:rsidR="00782980" w:rsidRPr="004D14C7" w:rsidRDefault="00782980" w:rsidP="005B4190">
      <w:pPr>
        <w:pStyle w:val="m7007535857312232601gmail-msolist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14:paraId="79DC5462" w14:textId="34CF2070" w:rsidR="00782980" w:rsidRPr="004D14C7" w:rsidRDefault="00782980" w:rsidP="005B4190">
      <w:pPr>
        <w:pStyle w:val="m7007535857312232601gmail-msolistparagraph"/>
        <w:numPr>
          <w:ilvl w:val="1"/>
          <w:numId w:val="14"/>
        </w:numPr>
        <w:shd w:val="clear" w:color="auto" w:fill="FFFFFF"/>
        <w:spacing w:before="0" w:beforeAutospacing="0" w:after="0" w:afterAutospacing="0"/>
        <w:ind w:left="851"/>
        <w:jc w:val="both"/>
        <w:rPr>
          <w:rFonts w:ascii="Arial" w:hAnsi="Arial" w:cs="Arial"/>
          <w:b/>
          <w:bCs/>
        </w:rPr>
      </w:pPr>
      <w:r w:rsidRPr="004D14C7">
        <w:rPr>
          <w:rFonts w:ascii="Arial" w:hAnsi="Arial" w:cs="Arial"/>
          <w:b/>
          <w:bCs/>
        </w:rPr>
        <w:t>Riesgos de corrupción</w:t>
      </w:r>
    </w:p>
    <w:p w14:paraId="72564341" w14:textId="77777777" w:rsidR="00F976E2" w:rsidRDefault="00F976E2" w:rsidP="005B4190">
      <w:pPr>
        <w:tabs>
          <w:tab w:val="left" w:pos="1095"/>
        </w:tabs>
        <w:spacing w:line="240" w:lineRule="auto"/>
        <w:jc w:val="both"/>
        <w:rPr>
          <w:rFonts w:ascii="Arial" w:hAnsi="Arial" w:cs="Arial"/>
          <w:sz w:val="22"/>
          <w:szCs w:val="20"/>
        </w:rPr>
      </w:pPr>
    </w:p>
    <w:p w14:paraId="65491B65" w14:textId="15E584E1" w:rsidR="00B16CA6" w:rsidRPr="00730430" w:rsidRDefault="005B4190" w:rsidP="005B4190">
      <w:pPr>
        <w:tabs>
          <w:tab w:val="left" w:pos="1095"/>
        </w:tabs>
        <w:spacing w:line="240" w:lineRule="auto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Para </w:t>
      </w:r>
      <w:r w:rsidR="0015270A">
        <w:rPr>
          <w:rFonts w:ascii="Arial" w:hAnsi="Arial" w:cs="Arial"/>
          <w:sz w:val="22"/>
          <w:szCs w:val="20"/>
        </w:rPr>
        <w:t>la vigencia 2019</w:t>
      </w:r>
      <w:r>
        <w:rPr>
          <w:rFonts w:ascii="Arial" w:hAnsi="Arial" w:cs="Arial"/>
          <w:sz w:val="22"/>
          <w:szCs w:val="20"/>
        </w:rPr>
        <w:t xml:space="preserve">, la entidad </w:t>
      </w:r>
      <w:r w:rsidR="0015270A">
        <w:rPr>
          <w:rFonts w:ascii="Arial" w:hAnsi="Arial" w:cs="Arial"/>
          <w:sz w:val="22"/>
          <w:szCs w:val="20"/>
        </w:rPr>
        <w:t>identific</w:t>
      </w:r>
      <w:r>
        <w:rPr>
          <w:rFonts w:ascii="Arial" w:hAnsi="Arial" w:cs="Arial"/>
          <w:sz w:val="22"/>
          <w:szCs w:val="20"/>
        </w:rPr>
        <w:t>ó</w:t>
      </w:r>
      <w:r w:rsidR="0015270A">
        <w:rPr>
          <w:rFonts w:ascii="Arial" w:hAnsi="Arial" w:cs="Arial"/>
          <w:sz w:val="22"/>
          <w:szCs w:val="20"/>
        </w:rPr>
        <w:t xml:space="preserve"> </w:t>
      </w:r>
      <w:r>
        <w:rPr>
          <w:rFonts w:ascii="Arial" w:hAnsi="Arial" w:cs="Arial"/>
          <w:sz w:val="22"/>
          <w:szCs w:val="20"/>
        </w:rPr>
        <w:t>nueve (</w:t>
      </w:r>
      <w:r w:rsidR="00034D7D">
        <w:rPr>
          <w:rFonts w:ascii="Arial" w:hAnsi="Arial" w:cs="Arial"/>
          <w:sz w:val="22"/>
          <w:szCs w:val="20"/>
        </w:rPr>
        <w:t>9</w:t>
      </w:r>
      <w:r>
        <w:rPr>
          <w:rFonts w:ascii="Arial" w:hAnsi="Arial" w:cs="Arial"/>
          <w:sz w:val="22"/>
          <w:szCs w:val="20"/>
        </w:rPr>
        <w:t>)</w:t>
      </w:r>
      <w:r w:rsidR="00034D7D" w:rsidRPr="00730430">
        <w:rPr>
          <w:rFonts w:ascii="Arial" w:hAnsi="Arial" w:cs="Arial"/>
          <w:sz w:val="22"/>
          <w:szCs w:val="20"/>
        </w:rPr>
        <w:t xml:space="preserve"> </w:t>
      </w:r>
      <w:r w:rsidR="00B16CA6" w:rsidRPr="00730430">
        <w:rPr>
          <w:rFonts w:ascii="Arial" w:hAnsi="Arial" w:cs="Arial"/>
          <w:sz w:val="22"/>
          <w:szCs w:val="20"/>
        </w:rPr>
        <w:t>riesgos de corrupción</w:t>
      </w:r>
      <w:r w:rsidR="0018595B">
        <w:rPr>
          <w:rFonts w:ascii="Arial" w:hAnsi="Arial" w:cs="Arial"/>
          <w:sz w:val="22"/>
          <w:szCs w:val="20"/>
        </w:rPr>
        <w:t>,</w:t>
      </w:r>
      <w:r w:rsidR="00B16CA6" w:rsidRPr="00730430">
        <w:rPr>
          <w:rFonts w:ascii="Arial" w:hAnsi="Arial" w:cs="Arial"/>
          <w:sz w:val="22"/>
          <w:szCs w:val="20"/>
        </w:rPr>
        <w:t xml:space="preserve"> a través de reuniones con los equipos de trabajo en la</w:t>
      </w:r>
      <w:r w:rsidR="00683674">
        <w:rPr>
          <w:rFonts w:ascii="Arial" w:hAnsi="Arial" w:cs="Arial"/>
          <w:sz w:val="22"/>
          <w:szCs w:val="20"/>
        </w:rPr>
        <w:t>s</w:t>
      </w:r>
      <w:r w:rsidR="00B16CA6" w:rsidRPr="00730430">
        <w:rPr>
          <w:rFonts w:ascii="Arial" w:hAnsi="Arial" w:cs="Arial"/>
          <w:sz w:val="22"/>
          <w:szCs w:val="20"/>
        </w:rPr>
        <w:t xml:space="preserve"> que se </w:t>
      </w:r>
      <w:r w:rsidR="00683674">
        <w:rPr>
          <w:rFonts w:ascii="Arial" w:hAnsi="Arial" w:cs="Arial"/>
          <w:sz w:val="22"/>
          <w:szCs w:val="20"/>
        </w:rPr>
        <w:t>revisaron</w:t>
      </w:r>
      <w:r w:rsidR="003A537E">
        <w:rPr>
          <w:rFonts w:ascii="Arial" w:hAnsi="Arial" w:cs="Arial"/>
          <w:sz w:val="22"/>
          <w:szCs w:val="20"/>
        </w:rPr>
        <w:t xml:space="preserve"> </w:t>
      </w:r>
      <w:r w:rsidR="00B16CA6" w:rsidRPr="00730430">
        <w:rPr>
          <w:rFonts w:ascii="Arial" w:hAnsi="Arial" w:cs="Arial"/>
          <w:sz w:val="22"/>
          <w:szCs w:val="20"/>
        </w:rPr>
        <w:t>l</w:t>
      </w:r>
      <w:r w:rsidR="003A537E">
        <w:rPr>
          <w:rFonts w:ascii="Arial" w:hAnsi="Arial" w:cs="Arial"/>
          <w:sz w:val="22"/>
          <w:szCs w:val="20"/>
        </w:rPr>
        <w:t xml:space="preserve">os </w:t>
      </w:r>
      <w:r w:rsidR="00B16CA6" w:rsidRPr="00730430">
        <w:rPr>
          <w:rFonts w:ascii="Arial" w:hAnsi="Arial" w:cs="Arial"/>
          <w:sz w:val="22"/>
          <w:szCs w:val="20"/>
        </w:rPr>
        <w:t>proceso</w:t>
      </w:r>
      <w:r w:rsidR="003A537E">
        <w:rPr>
          <w:rFonts w:ascii="Arial" w:hAnsi="Arial" w:cs="Arial"/>
          <w:sz w:val="22"/>
          <w:szCs w:val="20"/>
        </w:rPr>
        <w:t>s</w:t>
      </w:r>
      <w:r w:rsidR="003B7864">
        <w:rPr>
          <w:rFonts w:ascii="Arial" w:hAnsi="Arial" w:cs="Arial"/>
          <w:sz w:val="22"/>
          <w:szCs w:val="20"/>
        </w:rPr>
        <w:t xml:space="preserve"> </w:t>
      </w:r>
      <w:r w:rsidR="000A2D20">
        <w:rPr>
          <w:rFonts w:ascii="Arial" w:hAnsi="Arial" w:cs="Arial"/>
          <w:sz w:val="22"/>
          <w:szCs w:val="20"/>
        </w:rPr>
        <w:t>realiz</w:t>
      </w:r>
      <w:r w:rsidR="003B7864">
        <w:rPr>
          <w:rFonts w:ascii="Arial" w:hAnsi="Arial" w:cs="Arial"/>
          <w:sz w:val="22"/>
          <w:szCs w:val="20"/>
        </w:rPr>
        <w:t xml:space="preserve">ando </w:t>
      </w:r>
      <w:r w:rsidR="000A2D20">
        <w:rPr>
          <w:rFonts w:ascii="Arial" w:hAnsi="Arial" w:cs="Arial"/>
          <w:sz w:val="22"/>
          <w:szCs w:val="20"/>
        </w:rPr>
        <w:t>la documentación de los mismos</w:t>
      </w:r>
      <w:r w:rsidR="00034D7D">
        <w:rPr>
          <w:rFonts w:ascii="Arial" w:hAnsi="Arial" w:cs="Arial"/>
          <w:sz w:val="22"/>
          <w:szCs w:val="20"/>
        </w:rPr>
        <w:t>.</w:t>
      </w:r>
    </w:p>
    <w:p w14:paraId="78C46C11" w14:textId="36C01079" w:rsidR="00EB345A" w:rsidRPr="00730430" w:rsidRDefault="00EB345A" w:rsidP="005B4190">
      <w:pPr>
        <w:tabs>
          <w:tab w:val="left" w:pos="1095"/>
        </w:tabs>
        <w:spacing w:line="240" w:lineRule="auto"/>
        <w:jc w:val="both"/>
        <w:rPr>
          <w:rFonts w:ascii="Arial" w:hAnsi="Arial" w:cs="Arial"/>
          <w:sz w:val="22"/>
          <w:szCs w:val="20"/>
        </w:rPr>
      </w:pPr>
    </w:p>
    <w:p w14:paraId="6C917F00" w14:textId="7D689F10" w:rsidR="00653DA5" w:rsidRPr="00730430" w:rsidRDefault="00932139" w:rsidP="005B4190">
      <w:pPr>
        <w:tabs>
          <w:tab w:val="left" w:pos="1095"/>
        </w:tabs>
        <w:spacing w:line="240" w:lineRule="auto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En la siguiente tabla</w:t>
      </w:r>
      <w:r w:rsidR="00EB345A" w:rsidRPr="00730430">
        <w:rPr>
          <w:rFonts w:ascii="Arial" w:hAnsi="Arial" w:cs="Arial"/>
          <w:sz w:val="22"/>
          <w:szCs w:val="20"/>
        </w:rPr>
        <w:t xml:space="preserve"> se describen los riesgos y la zona del riesgo en que se encuentran</w:t>
      </w:r>
      <w:r w:rsidR="00D705E3">
        <w:rPr>
          <w:rFonts w:ascii="Arial" w:hAnsi="Arial" w:cs="Arial"/>
          <w:sz w:val="22"/>
          <w:szCs w:val="20"/>
        </w:rPr>
        <w:t>.</w:t>
      </w:r>
    </w:p>
    <w:p w14:paraId="24C20C34" w14:textId="77777777" w:rsidR="00653DA5" w:rsidRDefault="00653DA5" w:rsidP="005B4190">
      <w:pPr>
        <w:tabs>
          <w:tab w:val="left" w:pos="1095"/>
        </w:tabs>
        <w:spacing w:line="240" w:lineRule="auto"/>
        <w:jc w:val="both"/>
        <w:rPr>
          <w:rFonts w:asciiTheme="minorHAnsi" w:hAnsiTheme="minorHAnsi" w:cs="Arial"/>
          <w:sz w:val="22"/>
          <w:szCs w:val="22"/>
        </w:rPr>
      </w:pPr>
    </w:p>
    <w:p w14:paraId="428942B8" w14:textId="29EF102E" w:rsidR="00932139" w:rsidRPr="00511FBD" w:rsidRDefault="00932139" w:rsidP="008E62F3">
      <w:pPr>
        <w:tabs>
          <w:tab w:val="left" w:pos="1095"/>
        </w:tabs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511FBD">
        <w:rPr>
          <w:rFonts w:ascii="Arial" w:hAnsi="Arial" w:cs="Arial"/>
          <w:b/>
          <w:sz w:val="18"/>
          <w:szCs w:val="18"/>
        </w:rPr>
        <w:t>Tabla</w:t>
      </w:r>
      <w:r w:rsidR="00511FBD" w:rsidRPr="00511FBD">
        <w:rPr>
          <w:rFonts w:ascii="Arial" w:hAnsi="Arial" w:cs="Arial"/>
          <w:b/>
          <w:sz w:val="18"/>
          <w:szCs w:val="18"/>
        </w:rPr>
        <w:t xml:space="preserve"> 1</w:t>
      </w:r>
      <w:r w:rsidRPr="00511FBD">
        <w:rPr>
          <w:rFonts w:ascii="Arial" w:hAnsi="Arial" w:cs="Arial"/>
          <w:b/>
          <w:sz w:val="18"/>
          <w:szCs w:val="18"/>
        </w:rPr>
        <w:t>. Riesgos de corrupción por proceso y zona de riesgo residual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8"/>
        <w:gridCol w:w="2509"/>
        <w:gridCol w:w="1651"/>
      </w:tblGrid>
      <w:tr w:rsidR="00C85428" w:rsidRPr="004D14C7" w14:paraId="7F866A8D" w14:textId="77777777" w:rsidTr="00511FBD">
        <w:trPr>
          <w:trHeight w:val="354"/>
          <w:jc w:val="center"/>
        </w:trPr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95AA04C" w14:textId="552EFA2D" w:rsidR="00C85428" w:rsidRPr="004D14C7" w:rsidRDefault="00C85428" w:rsidP="005B4190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7"/>
                <w:szCs w:val="17"/>
                <w:lang w:eastAsia="es-ES"/>
              </w:rPr>
            </w:pPr>
            <w:r w:rsidRPr="004D14C7">
              <w:rPr>
                <w:rFonts w:ascii="Arial" w:eastAsia="Times New Roman" w:hAnsi="Arial" w:cs="Arial"/>
                <w:b/>
                <w:bCs/>
                <w:color w:val="auto"/>
                <w:sz w:val="17"/>
                <w:szCs w:val="17"/>
                <w:lang w:eastAsia="es-ES"/>
              </w:rPr>
              <w:t xml:space="preserve">Riesgo de Corrupción 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4C43A3B" w14:textId="77777777" w:rsidR="00C85428" w:rsidRPr="004D14C7" w:rsidRDefault="00C85428" w:rsidP="00131BA6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7"/>
                <w:szCs w:val="17"/>
                <w:lang w:eastAsia="es-ES"/>
              </w:rPr>
            </w:pPr>
            <w:r w:rsidRPr="004D14C7">
              <w:rPr>
                <w:rFonts w:ascii="Arial" w:eastAsia="Times New Roman" w:hAnsi="Arial" w:cs="Arial"/>
                <w:b/>
                <w:bCs/>
                <w:color w:val="auto"/>
                <w:sz w:val="17"/>
                <w:szCs w:val="17"/>
                <w:lang w:eastAsia="es-ES"/>
              </w:rPr>
              <w:t>Proceso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6FAD33C" w14:textId="77777777" w:rsidR="00C85428" w:rsidRPr="004D14C7" w:rsidRDefault="00C85428" w:rsidP="00B32204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7"/>
                <w:szCs w:val="17"/>
                <w:lang w:eastAsia="es-ES"/>
              </w:rPr>
            </w:pPr>
            <w:r w:rsidRPr="004D14C7">
              <w:rPr>
                <w:rFonts w:ascii="Arial" w:eastAsia="Times New Roman" w:hAnsi="Arial" w:cs="Arial"/>
                <w:b/>
                <w:bCs/>
                <w:color w:val="auto"/>
                <w:sz w:val="17"/>
                <w:szCs w:val="17"/>
                <w:lang w:eastAsia="es-ES"/>
              </w:rPr>
              <w:t>Zona de Riesgo Residual</w:t>
            </w:r>
          </w:p>
        </w:tc>
      </w:tr>
      <w:tr w:rsidR="00C85428" w:rsidRPr="004D14C7" w14:paraId="5793CFE1" w14:textId="77777777" w:rsidTr="00E9195A">
        <w:trPr>
          <w:trHeight w:val="510"/>
          <w:jc w:val="center"/>
        </w:trPr>
        <w:tc>
          <w:tcPr>
            <w:tcW w:w="2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2A78B" w14:textId="77777777" w:rsidR="00C85428" w:rsidRPr="004D14C7" w:rsidRDefault="00C85428" w:rsidP="005B4190">
            <w:pPr>
              <w:widowControl/>
              <w:suppressAutoHyphens w:val="0"/>
              <w:spacing w:line="240" w:lineRule="auto"/>
              <w:jc w:val="both"/>
              <w:rPr>
                <w:rFonts w:ascii="Arial" w:eastAsia="Times New Roman" w:hAnsi="Arial" w:cs="Arial"/>
                <w:color w:val="auto"/>
                <w:sz w:val="17"/>
                <w:szCs w:val="17"/>
                <w:lang w:eastAsia="es-ES"/>
              </w:rPr>
            </w:pPr>
            <w:r w:rsidRPr="004D14C7">
              <w:rPr>
                <w:rFonts w:ascii="Arial" w:eastAsia="Times New Roman" w:hAnsi="Arial" w:cs="Arial"/>
                <w:color w:val="auto"/>
                <w:sz w:val="17"/>
                <w:szCs w:val="17"/>
                <w:lang w:eastAsia="es-ES"/>
              </w:rPr>
              <w:t>Interés indebido en la celebración de</w:t>
            </w:r>
            <w:r w:rsidRPr="004D14C7">
              <w:rPr>
                <w:rFonts w:ascii="Arial" w:eastAsia="Times New Roman" w:hAnsi="Arial" w:cs="Arial"/>
                <w:color w:val="auto"/>
                <w:sz w:val="17"/>
                <w:szCs w:val="17"/>
                <w:lang w:eastAsia="es-ES"/>
              </w:rPr>
              <w:br/>
              <w:t>contratos.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27727" w14:textId="77777777" w:rsidR="00C85428" w:rsidRPr="004D14C7" w:rsidRDefault="00C85428" w:rsidP="00131BA6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 w:val="17"/>
                <w:szCs w:val="17"/>
                <w:lang w:eastAsia="es-ES"/>
              </w:rPr>
            </w:pPr>
            <w:r w:rsidRPr="004D14C7">
              <w:rPr>
                <w:rFonts w:ascii="Arial" w:eastAsia="Times New Roman" w:hAnsi="Arial" w:cs="Arial"/>
                <w:color w:val="auto"/>
                <w:sz w:val="17"/>
                <w:szCs w:val="17"/>
                <w:lang w:eastAsia="es-ES"/>
              </w:rPr>
              <w:t>Gestión Contractual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7321670" w14:textId="77777777" w:rsidR="00C85428" w:rsidRPr="004D14C7" w:rsidRDefault="00C85428" w:rsidP="00B32204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r w:rsidRPr="004D14C7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>EXTREMO</w:t>
            </w:r>
          </w:p>
        </w:tc>
      </w:tr>
      <w:tr w:rsidR="00C85428" w:rsidRPr="004D14C7" w14:paraId="6230AF52" w14:textId="77777777" w:rsidTr="00E9195A">
        <w:trPr>
          <w:trHeight w:val="70"/>
          <w:jc w:val="center"/>
        </w:trPr>
        <w:tc>
          <w:tcPr>
            <w:tcW w:w="2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ADB0E" w14:textId="77777777" w:rsidR="00C85428" w:rsidRPr="004D14C7" w:rsidRDefault="00C85428" w:rsidP="005B4190">
            <w:pPr>
              <w:widowControl/>
              <w:suppressAutoHyphens w:val="0"/>
              <w:spacing w:line="240" w:lineRule="auto"/>
              <w:jc w:val="both"/>
              <w:rPr>
                <w:rFonts w:ascii="Arial" w:eastAsia="Times New Roman" w:hAnsi="Arial" w:cs="Arial"/>
                <w:color w:val="auto"/>
                <w:sz w:val="17"/>
                <w:szCs w:val="17"/>
                <w:lang w:eastAsia="es-ES"/>
              </w:rPr>
            </w:pPr>
            <w:r w:rsidRPr="004D14C7">
              <w:rPr>
                <w:rFonts w:ascii="Arial" w:eastAsia="Times New Roman" w:hAnsi="Arial" w:cs="Arial"/>
                <w:color w:val="auto"/>
                <w:sz w:val="17"/>
                <w:szCs w:val="17"/>
                <w:lang w:eastAsia="es-ES"/>
              </w:rPr>
              <w:t>Ocultar o modificar información del desempeño de los procesos o de la Entidad en favorecimiento propio o de un servidor en particular.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28CA4" w14:textId="18EA817F" w:rsidR="00C85428" w:rsidRPr="004D14C7" w:rsidRDefault="00C85428" w:rsidP="00511FBD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 w:val="17"/>
                <w:szCs w:val="17"/>
                <w:lang w:eastAsia="es-ES"/>
              </w:rPr>
            </w:pPr>
            <w:r w:rsidRPr="004D14C7">
              <w:rPr>
                <w:rFonts w:ascii="Arial" w:eastAsia="Times New Roman" w:hAnsi="Arial" w:cs="Arial"/>
                <w:color w:val="auto"/>
                <w:sz w:val="17"/>
                <w:szCs w:val="17"/>
                <w:lang w:eastAsia="es-ES"/>
              </w:rPr>
              <w:t xml:space="preserve">Seguimiento y </w:t>
            </w:r>
            <w:r w:rsidR="00511FBD">
              <w:rPr>
                <w:rFonts w:ascii="Arial" w:eastAsia="Times New Roman" w:hAnsi="Arial" w:cs="Arial"/>
                <w:color w:val="auto"/>
                <w:sz w:val="17"/>
                <w:szCs w:val="17"/>
                <w:lang w:eastAsia="es-ES"/>
              </w:rPr>
              <w:t>E</w:t>
            </w:r>
            <w:r w:rsidRPr="004D14C7">
              <w:rPr>
                <w:rFonts w:ascii="Arial" w:eastAsia="Times New Roman" w:hAnsi="Arial" w:cs="Arial"/>
                <w:color w:val="auto"/>
                <w:sz w:val="17"/>
                <w:szCs w:val="17"/>
                <w:lang w:eastAsia="es-ES"/>
              </w:rPr>
              <w:t xml:space="preserve">valuación 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76A4047" w14:textId="77777777" w:rsidR="00C85428" w:rsidRPr="004D14C7" w:rsidRDefault="00C85428" w:rsidP="00B32204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r w:rsidRPr="004D14C7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>EXTREMO</w:t>
            </w:r>
          </w:p>
        </w:tc>
      </w:tr>
      <w:tr w:rsidR="00C85428" w:rsidRPr="004D14C7" w14:paraId="29AAA9F1" w14:textId="77777777" w:rsidTr="00E9195A">
        <w:trPr>
          <w:trHeight w:val="70"/>
          <w:jc w:val="center"/>
        </w:trPr>
        <w:tc>
          <w:tcPr>
            <w:tcW w:w="2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2BA3B" w14:textId="77777777" w:rsidR="00C85428" w:rsidRPr="004D14C7" w:rsidRDefault="00C85428" w:rsidP="005B4190">
            <w:pPr>
              <w:widowControl/>
              <w:suppressAutoHyphens w:val="0"/>
              <w:spacing w:line="240" w:lineRule="auto"/>
              <w:jc w:val="both"/>
              <w:rPr>
                <w:rFonts w:ascii="Arial" w:eastAsia="Times New Roman" w:hAnsi="Arial" w:cs="Arial"/>
                <w:color w:val="auto"/>
                <w:sz w:val="17"/>
                <w:szCs w:val="17"/>
                <w:lang w:eastAsia="es-ES"/>
              </w:rPr>
            </w:pPr>
            <w:r w:rsidRPr="004D14C7">
              <w:rPr>
                <w:rFonts w:ascii="Arial" w:eastAsia="Times New Roman" w:hAnsi="Arial" w:cs="Arial"/>
                <w:color w:val="auto"/>
                <w:sz w:val="17"/>
                <w:szCs w:val="17"/>
                <w:lang w:eastAsia="es-ES"/>
              </w:rPr>
              <w:t>Utilización indebida de información oficial</w:t>
            </w:r>
            <w:r w:rsidRPr="004D14C7">
              <w:rPr>
                <w:rFonts w:ascii="Arial" w:eastAsia="Times New Roman" w:hAnsi="Arial" w:cs="Arial"/>
                <w:color w:val="auto"/>
                <w:sz w:val="17"/>
                <w:szCs w:val="17"/>
                <w:lang w:eastAsia="es-ES"/>
              </w:rPr>
              <w:br/>
              <w:t>privilegiada.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F09F4" w14:textId="77777777" w:rsidR="00C85428" w:rsidRPr="004D14C7" w:rsidRDefault="00C85428" w:rsidP="00131BA6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 w:val="17"/>
                <w:szCs w:val="17"/>
                <w:lang w:eastAsia="es-ES"/>
              </w:rPr>
            </w:pPr>
            <w:r w:rsidRPr="004D14C7">
              <w:rPr>
                <w:rFonts w:ascii="Arial" w:eastAsia="Times New Roman" w:hAnsi="Arial" w:cs="Arial"/>
                <w:color w:val="auto"/>
                <w:sz w:val="17"/>
                <w:szCs w:val="17"/>
                <w:lang w:eastAsia="es-ES"/>
              </w:rPr>
              <w:t>Gestión Documental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43DDA909" w14:textId="77777777" w:rsidR="00C85428" w:rsidRPr="004D14C7" w:rsidRDefault="00C85428" w:rsidP="00B32204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r w:rsidRPr="004D14C7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>ALTO</w:t>
            </w:r>
          </w:p>
        </w:tc>
      </w:tr>
      <w:tr w:rsidR="00C85428" w:rsidRPr="004D14C7" w14:paraId="22D5FB61" w14:textId="77777777" w:rsidTr="00E9195A">
        <w:trPr>
          <w:trHeight w:val="510"/>
          <w:jc w:val="center"/>
        </w:trPr>
        <w:tc>
          <w:tcPr>
            <w:tcW w:w="2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65D11" w14:textId="77777777" w:rsidR="00C85428" w:rsidRPr="004D14C7" w:rsidRDefault="00C85428" w:rsidP="005B4190">
            <w:pPr>
              <w:widowControl/>
              <w:suppressAutoHyphens w:val="0"/>
              <w:spacing w:line="240" w:lineRule="auto"/>
              <w:jc w:val="both"/>
              <w:rPr>
                <w:rFonts w:ascii="Arial" w:eastAsia="Times New Roman" w:hAnsi="Arial" w:cs="Arial"/>
                <w:color w:val="auto"/>
                <w:sz w:val="17"/>
                <w:szCs w:val="17"/>
                <w:lang w:eastAsia="es-ES"/>
              </w:rPr>
            </w:pPr>
            <w:r w:rsidRPr="004D14C7">
              <w:rPr>
                <w:rFonts w:ascii="Arial" w:eastAsia="Times New Roman" w:hAnsi="Arial" w:cs="Arial"/>
                <w:color w:val="auto"/>
                <w:sz w:val="17"/>
                <w:szCs w:val="17"/>
                <w:lang w:eastAsia="es-ES"/>
              </w:rPr>
              <w:t>Debilidad en la supervisión e interventoría de contratos con  el fin de favorecer a un tercero.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D18D7" w14:textId="77777777" w:rsidR="00C85428" w:rsidRPr="004D14C7" w:rsidRDefault="00C85428" w:rsidP="00131BA6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 w:val="17"/>
                <w:szCs w:val="17"/>
                <w:lang w:eastAsia="es-ES"/>
              </w:rPr>
            </w:pPr>
            <w:r w:rsidRPr="004D14C7">
              <w:rPr>
                <w:rFonts w:ascii="Arial" w:eastAsia="Times New Roman" w:hAnsi="Arial" w:cs="Arial"/>
                <w:color w:val="auto"/>
                <w:sz w:val="17"/>
                <w:szCs w:val="17"/>
                <w:lang w:eastAsia="es-ES"/>
              </w:rPr>
              <w:t>Gestión Contractual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D5EA468" w14:textId="77777777" w:rsidR="00C85428" w:rsidRPr="004D14C7" w:rsidRDefault="00C85428" w:rsidP="00B32204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 w:val="17"/>
                <w:szCs w:val="17"/>
                <w:lang w:eastAsia="es-ES"/>
              </w:rPr>
            </w:pPr>
            <w:r w:rsidRPr="004D14C7">
              <w:rPr>
                <w:rFonts w:ascii="Arial" w:eastAsia="Times New Roman" w:hAnsi="Arial" w:cs="Arial"/>
                <w:color w:val="auto"/>
                <w:sz w:val="17"/>
                <w:szCs w:val="17"/>
                <w:lang w:eastAsia="es-ES"/>
              </w:rPr>
              <w:t>MODERADO</w:t>
            </w:r>
          </w:p>
        </w:tc>
      </w:tr>
      <w:tr w:rsidR="00C85428" w:rsidRPr="004D14C7" w14:paraId="7EC5B1EA" w14:textId="77777777" w:rsidTr="00E9195A">
        <w:trPr>
          <w:trHeight w:val="158"/>
          <w:jc w:val="center"/>
        </w:trPr>
        <w:tc>
          <w:tcPr>
            <w:tcW w:w="2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98AAA" w14:textId="77777777" w:rsidR="00C85428" w:rsidRPr="004D14C7" w:rsidRDefault="00C85428" w:rsidP="005B4190">
            <w:pPr>
              <w:widowControl/>
              <w:suppressAutoHyphens w:val="0"/>
              <w:spacing w:line="240" w:lineRule="auto"/>
              <w:jc w:val="both"/>
              <w:rPr>
                <w:rFonts w:ascii="Arial" w:eastAsia="Times New Roman" w:hAnsi="Arial" w:cs="Arial"/>
                <w:color w:val="auto"/>
                <w:sz w:val="17"/>
                <w:szCs w:val="17"/>
                <w:lang w:eastAsia="es-ES"/>
              </w:rPr>
            </w:pPr>
            <w:r w:rsidRPr="004D14C7">
              <w:rPr>
                <w:rFonts w:ascii="Arial" w:eastAsia="Times New Roman" w:hAnsi="Arial" w:cs="Arial"/>
                <w:color w:val="auto"/>
                <w:sz w:val="17"/>
                <w:szCs w:val="17"/>
                <w:lang w:eastAsia="es-ES"/>
              </w:rPr>
              <w:t xml:space="preserve">Irregularidades en las visitas de control urbano y/o manipulación de los conceptos técnicos a cambio de dádivas. 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947BE" w14:textId="77777777" w:rsidR="00C85428" w:rsidRPr="004D14C7" w:rsidRDefault="00C85428" w:rsidP="00131BA6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 w:val="17"/>
                <w:szCs w:val="17"/>
                <w:lang w:eastAsia="es-ES"/>
              </w:rPr>
            </w:pPr>
            <w:r w:rsidRPr="004D14C7">
              <w:rPr>
                <w:rFonts w:ascii="Arial" w:eastAsia="Times New Roman" w:hAnsi="Arial" w:cs="Arial"/>
                <w:color w:val="auto"/>
                <w:sz w:val="17"/>
                <w:szCs w:val="17"/>
                <w:lang w:eastAsia="es-ES"/>
              </w:rPr>
              <w:t>Protección e Intervención del Patrimonio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C720F67" w14:textId="77777777" w:rsidR="00C85428" w:rsidRPr="004D14C7" w:rsidRDefault="00C85428" w:rsidP="00B32204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 w:val="17"/>
                <w:szCs w:val="17"/>
                <w:lang w:eastAsia="es-ES"/>
              </w:rPr>
            </w:pPr>
            <w:r w:rsidRPr="004D14C7">
              <w:rPr>
                <w:rFonts w:ascii="Arial" w:eastAsia="Times New Roman" w:hAnsi="Arial" w:cs="Arial"/>
                <w:color w:val="auto"/>
                <w:sz w:val="17"/>
                <w:szCs w:val="17"/>
                <w:lang w:eastAsia="es-ES"/>
              </w:rPr>
              <w:t>MODERADO</w:t>
            </w:r>
          </w:p>
        </w:tc>
      </w:tr>
      <w:tr w:rsidR="00C85428" w:rsidRPr="004D14C7" w14:paraId="750D8128" w14:textId="77777777" w:rsidTr="00E9195A">
        <w:trPr>
          <w:trHeight w:val="239"/>
          <w:jc w:val="center"/>
        </w:trPr>
        <w:tc>
          <w:tcPr>
            <w:tcW w:w="2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75380" w14:textId="77777777" w:rsidR="00C85428" w:rsidRPr="004D14C7" w:rsidRDefault="00C85428" w:rsidP="005B4190">
            <w:pPr>
              <w:widowControl/>
              <w:suppressAutoHyphens w:val="0"/>
              <w:spacing w:line="240" w:lineRule="auto"/>
              <w:jc w:val="both"/>
              <w:rPr>
                <w:rFonts w:ascii="Arial" w:eastAsia="Times New Roman" w:hAnsi="Arial" w:cs="Arial"/>
                <w:color w:val="auto"/>
                <w:sz w:val="17"/>
                <w:szCs w:val="17"/>
                <w:lang w:eastAsia="es-ES"/>
              </w:rPr>
            </w:pPr>
            <w:r w:rsidRPr="004D14C7">
              <w:rPr>
                <w:rFonts w:ascii="Arial" w:eastAsia="Times New Roman" w:hAnsi="Arial" w:cs="Arial"/>
                <w:color w:val="auto"/>
                <w:sz w:val="17"/>
                <w:szCs w:val="17"/>
                <w:lang w:eastAsia="es-ES"/>
              </w:rPr>
              <w:t>Incorrecta verificación, asignación o administración de los  activos fijos y elementos de consumo.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B01C9" w14:textId="01A843FB" w:rsidR="00C85428" w:rsidRPr="004D14C7" w:rsidRDefault="00C85428" w:rsidP="00511FBD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 w:val="17"/>
                <w:szCs w:val="17"/>
                <w:lang w:eastAsia="es-ES"/>
              </w:rPr>
            </w:pPr>
            <w:r w:rsidRPr="004D14C7">
              <w:rPr>
                <w:rFonts w:ascii="Arial" w:eastAsia="Times New Roman" w:hAnsi="Arial" w:cs="Arial"/>
                <w:color w:val="auto"/>
                <w:sz w:val="17"/>
                <w:szCs w:val="17"/>
                <w:lang w:eastAsia="es-ES"/>
              </w:rPr>
              <w:t xml:space="preserve">Administración de </w:t>
            </w:r>
            <w:r w:rsidR="00511FBD">
              <w:rPr>
                <w:rFonts w:ascii="Arial" w:eastAsia="Times New Roman" w:hAnsi="Arial" w:cs="Arial"/>
                <w:color w:val="auto"/>
                <w:sz w:val="17"/>
                <w:szCs w:val="17"/>
                <w:lang w:eastAsia="es-ES"/>
              </w:rPr>
              <w:t>B</w:t>
            </w:r>
            <w:r w:rsidRPr="004D14C7">
              <w:rPr>
                <w:rFonts w:ascii="Arial" w:eastAsia="Times New Roman" w:hAnsi="Arial" w:cs="Arial"/>
                <w:color w:val="auto"/>
                <w:sz w:val="17"/>
                <w:szCs w:val="17"/>
                <w:lang w:eastAsia="es-ES"/>
              </w:rPr>
              <w:t>ienes</w:t>
            </w:r>
            <w:r w:rsidR="00511FBD">
              <w:rPr>
                <w:rFonts w:ascii="Arial" w:eastAsia="Times New Roman" w:hAnsi="Arial" w:cs="Arial"/>
                <w:color w:val="auto"/>
                <w:sz w:val="17"/>
                <w:szCs w:val="17"/>
                <w:lang w:eastAsia="es-ES"/>
              </w:rPr>
              <w:t xml:space="preserve"> e Infraestructura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6603CE9" w14:textId="77777777" w:rsidR="00C85428" w:rsidRPr="004D14C7" w:rsidRDefault="00C85428" w:rsidP="00B32204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 w:val="17"/>
                <w:szCs w:val="17"/>
                <w:lang w:eastAsia="es-ES"/>
              </w:rPr>
            </w:pPr>
            <w:r w:rsidRPr="004D14C7">
              <w:rPr>
                <w:rFonts w:ascii="Arial" w:eastAsia="Times New Roman" w:hAnsi="Arial" w:cs="Arial"/>
                <w:color w:val="auto"/>
                <w:sz w:val="17"/>
                <w:szCs w:val="17"/>
                <w:lang w:eastAsia="es-ES"/>
              </w:rPr>
              <w:t>MODERADO</w:t>
            </w:r>
          </w:p>
        </w:tc>
      </w:tr>
      <w:tr w:rsidR="00C85428" w:rsidRPr="004D14C7" w14:paraId="09334514" w14:textId="77777777" w:rsidTr="00E9195A">
        <w:trPr>
          <w:trHeight w:val="70"/>
          <w:jc w:val="center"/>
        </w:trPr>
        <w:tc>
          <w:tcPr>
            <w:tcW w:w="2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0E135" w14:textId="77777777" w:rsidR="00C85428" w:rsidRPr="004D14C7" w:rsidRDefault="00C85428" w:rsidP="005B4190">
            <w:pPr>
              <w:widowControl/>
              <w:suppressAutoHyphens w:val="0"/>
              <w:spacing w:line="240" w:lineRule="auto"/>
              <w:jc w:val="both"/>
              <w:rPr>
                <w:rFonts w:ascii="Arial" w:eastAsia="Times New Roman" w:hAnsi="Arial" w:cs="Arial"/>
                <w:color w:val="auto"/>
                <w:sz w:val="17"/>
                <w:szCs w:val="17"/>
                <w:lang w:eastAsia="es-ES"/>
              </w:rPr>
            </w:pPr>
            <w:r w:rsidRPr="004D14C7">
              <w:rPr>
                <w:rFonts w:ascii="Arial" w:eastAsia="Times New Roman" w:hAnsi="Arial" w:cs="Arial"/>
                <w:color w:val="auto"/>
                <w:sz w:val="17"/>
                <w:szCs w:val="17"/>
                <w:lang w:eastAsia="es-ES"/>
              </w:rPr>
              <w:t>Uso  indebido de la información que administra el  proceso de Gestión del talento humano para favorecer un interés particular.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C6387" w14:textId="77777777" w:rsidR="00C85428" w:rsidRPr="004D14C7" w:rsidRDefault="00C85428" w:rsidP="00131BA6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 w:val="17"/>
                <w:szCs w:val="17"/>
                <w:lang w:eastAsia="es-ES"/>
              </w:rPr>
            </w:pPr>
            <w:r w:rsidRPr="004D14C7">
              <w:rPr>
                <w:rFonts w:ascii="Arial" w:eastAsia="Times New Roman" w:hAnsi="Arial" w:cs="Arial"/>
                <w:color w:val="auto"/>
                <w:sz w:val="17"/>
                <w:szCs w:val="17"/>
                <w:lang w:eastAsia="es-ES"/>
              </w:rPr>
              <w:t>Gestión del Talento Humano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3331180" w14:textId="77777777" w:rsidR="00C85428" w:rsidRPr="004D14C7" w:rsidRDefault="00C85428" w:rsidP="00B32204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 w:val="17"/>
                <w:szCs w:val="17"/>
                <w:lang w:eastAsia="es-ES"/>
              </w:rPr>
            </w:pPr>
            <w:r w:rsidRPr="004D14C7">
              <w:rPr>
                <w:rFonts w:ascii="Arial" w:eastAsia="Times New Roman" w:hAnsi="Arial" w:cs="Arial"/>
                <w:color w:val="auto"/>
                <w:sz w:val="17"/>
                <w:szCs w:val="17"/>
                <w:lang w:eastAsia="es-ES"/>
              </w:rPr>
              <w:t>MODERADO</w:t>
            </w:r>
          </w:p>
        </w:tc>
      </w:tr>
      <w:tr w:rsidR="00C85428" w:rsidRPr="004D14C7" w14:paraId="2F35D76B" w14:textId="77777777" w:rsidTr="00E9195A">
        <w:trPr>
          <w:trHeight w:val="70"/>
          <w:jc w:val="center"/>
        </w:trPr>
        <w:tc>
          <w:tcPr>
            <w:tcW w:w="2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DC132" w14:textId="4CA11C8D" w:rsidR="00C85428" w:rsidRPr="004D14C7" w:rsidRDefault="00C85428" w:rsidP="005B4190">
            <w:pPr>
              <w:widowControl/>
              <w:suppressAutoHyphens w:val="0"/>
              <w:spacing w:line="240" w:lineRule="auto"/>
              <w:jc w:val="both"/>
              <w:rPr>
                <w:rFonts w:ascii="Arial" w:eastAsia="Times New Roman" w:hAnsi="Arial" w:cs="Arial"/>
                <w:color w:val="auto"/>
                <w:sz w:val="17"/>
                <w:szCs w:val="17"/>
                <w:lang w:eastAsia="es-ES"/>
              </w:rPr>
            </w:pPr>
            <w:r w:rsidRPr="004D14C7">
              <w:rPr>
                <w:rFonts w:ascii="Arial" w:eastAsia="Times New Roman" w:hAnsi="Arial" w:cs="Arial"/>
                <w:color w:val="auto"/>
                <w:sz w:val="17"/>
                <w:szCs w:val="17"/>
                <w:lang w:eastAsia="es-ES"/>
              </w:rPr>
              <w:t>Clientelismo y conflicto de interés</w:t>
            </w:r>
            <w:r w:rsidR="00511FBD">
              <w:rPr>
                <w:rFonts w:ascii="Arial" w:eastAsia="Times New Roman" w:hAnsi="Arial" w:cs="Arial"/>
                <w:color w:val="auto"/>
                <w:sz w:val="17"/>
                <w:szCs w:val="17"/>
                <w:lang w:eastAsia="es-ES"/>
              </w:rPr>
              <w:t>.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96617" w14:textId="58B043E2" w:rsidR="00C85428" w:rsidRPr="004D14C7" w:rsidRDefault="00C85428" w:rsidP="00131BA6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 w:val="17"/>
                <w:szCs w:val="17"/>
                <w:lang w:eastAsia="es-ES"/>
              </w:rPr>
            </w:pPr>
            <w:r w:rsidRPr="004D14C7">
              <w:rPr>
                <w:rFonts w:ascii="Arial" w:eastAsia="Times New Roman" w:hAnsi="Arial" w:cs="Arial"/>
                <w:color w:val="auto"/>
                <w:sz w:val="17"/>
                <w:szCs w:val="17"/>
                <w:lang w:eastAsia="es-ES"/>
              </w:rPr>
              <w:t>Divulgación y Apropiación  Social del Patrimonio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36E72C6" w14:textId="77777777" w:rsidR="00C85428" w:rsidRPr="004D14C7" w:rsidRDefault="00C85428" w:rsidP="00B32204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 w:val="17"/>
                <w:szCs w:val="17"/>
                <w:lang w:eastAsia="es-ES"/>
              </w:rPr>
            </w:pPr>
            <w:r w:rsidRPr="004D14C7">
              <w:rPr>
                <w:rFonts w:ascii="Arial" w:eastAsia="Times New Roman" w:hAnsi="Arial" w:cs="Arial"/>
                <w:color w:val="auto"/>
                <w:sz w:val="17"/>
                <w:szCs w:val="17"/>
                <w:lang w:eastAsia="es-ES"/>
              </w:rPr>
              <w:t>MODERADO</w:t>
            </w:r>
          </w:p>
        </w:tc>
      </w:tr>
      <w:tr w:rsidR="00C85428" w:rsidRPr="004D14C7" w14:paraId="47C3E6AE" w14:textId="77777777" w:rsidTr="00E9195A">
        <w:trPr>
          <w:trHeight w:val="180"/>
          <w:jc w:val="center"/>
        </w:trPr>
        <w:tc>
          <w:tcPr>
            <w:tcW w:w="2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5F445" w14:textId="5BD11B5F" w:rsidR="00C85428" w:rsidRPr="004D14C7" w:rsidRDefault="00C85428" w:rsidP="005B4190">
            <w:pPr>
              <w:widowControl/>
              <w:suppressAutoHyphens w:val="0"/>
              <w:spacing w:line="240" w:lineRule="auto"/>
              <w:jc w:val="both"/>
              <w:rPr>
                <w:rFonts w:ascii="Arial" w:eastAsia="Times New Roman" w:hAnsi="Arial" w:cs="Arial"/>
                <w:color w:val="auto"/>
                <w:sz w:val="17"/>
                <w:szCs w:val="17"/>
                <w:lang w:eastAsia="es-ES"/>
              </w:rPr>
            </w:pPr>
            <w:r w:rsidRPr="004D14C7">
              <w:rPr>
                <w:rFonts w:ascii="Arial" w:eastAsia="Times New Roman" w:hAnsi="Arial" w:cs="Arial"/>
                <w:color w:val="auto"/>
                <w:sz w:val="17"/>
                <w:szCs w:val="17"/>
                <w:lang w:eastAsia="es-ES"/>
              </w:rPr>
              <w:t>Ausencia o debilidad en los  canales de</w:t>
            </w:r>
            <w:r w:rsidRPr="004D14C7">
              <w:rPr>
                <w:rFonts w:ascii="Arial" w:eastAsia="Times New Roman" w:hAnsi="Arial" w:cs="Arial"/>
                <w:color w:val="auto"/>
                <w:sz w:val="17"/>
                <w:szCs w:val="17"/>
                <w:lang w:eastAsia="es-ES"/>
              </w:rPr>
              <w:br/>
              <w:t>comunicación</w:t>
            </w:r>
            <w:r w:rsidR="00511FBD">
              <w:rPr>
                <w:rFonts w:ascii="Arial" w:eastAsia="Times New Roman" w:hAnsi="Arial" w:cs="Arial"/>
                <w:color w:val="auto"/>
                <w:sz w:val="17"/>
                <w:szCs w:val="17"/>
                <w:lang w:eastAsia="es-ES"/>
              </w:rPr>
              <w:t>.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8D115" w14:textId="77777777" w:rsidR="00C85428" w:rsidRPr="004D14C7" w:rsidRDefault="00C85428" w:rsidP="00131BA6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 w:val="17"/>
                <w:szCs w:val="17"/>
                <w:lang w:eastAsia="es-ES"/>
              </w:rPr>
            </w:pPr>
            <w:r w:rsidRPr="004D14C7">
              <w:rPr>
                <w:rFonts w:ascii="Arial" w:eastAsia="Times New Roman" w:hAnsi="Arial" w:cs="Arial"/>
                <w:color w:val="auto"/>
                <w:sz w:val="17"/>
                <w:szCs w:val="17"/>
                <w:lang w:eastAsia="es-ES"/>
              </w:rPr>
              <w:t xml:space="preserve">Comunicación Estratégica 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10A008D" w14:textId="77777777" w:rsidR="00C85428" w:rsidRPr="004D14C7" w:rsidRDefault="00C85428" w:rsidP="00B32204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 w:val="17"/>
                <w:szCs w:val="17"/>
                <w:lang w:eastAsia="es-ES"/>
              </w:rPr>
            </w:pPr>
            <w:r w:rsidRPr="004D14C7">
              <w:rPr>
                <w:rFonts w:ascii="Arial" w:eastAsia="Times New Roman" w:hAnsi="Arial" w:cs="Arial"/>
                <w:color w:val="auto"/>
                <w:sz w:val="17"/>
                <w:szCs w:val="17"/>
                <w:lang w:eastAsia="es-ES"/>
              </w:rPr>
              <w:t>MODERADO</w:t>
            </w:r>
          </w:p>
        </w:tc>
      </w:tr>
    </w:tbl>
    <w:p w14:paraId="1B8A13D9" w14:textId="77777777" w:rsidR="00B16CA6" w:rsidRDefault="00B16CA6" w:rsidP="005B4190">
      <w:pPr>
        <w:spacing w:line="240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14:paraId="41B19F29" w14:textId="2F44AC62" w:rsidR="00034D7D" w:rsidRPr="005B4190" w:rsidRDefault="005B4190" w:rsidP="005B4190">
      <w:pPr>
        <w:spacing w:line="240" w:lineRule="auto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En seguimiento realizado con corte a</w:t>
      </w:r>
      <w:r w:rsidR="0015270A">
        <w:rPr>
          <w:rFonts w:ascii="Arial" w:hAnsi="Arial" w:cs="Arial"/>
          <w:sz w:val="22"/>
          <w:szCs w:val="20"/>
        </w:rPr>
        <w:t>l 3</w:t>
      </w:r>
      <w:r>
        <w:rPr>
          <w:rFonts w:ascii="Arial" w:hAnsi="Arial" w:cs="Arial"/>
          <w:sz w:val="22"/>
          <w:szCs w:val="20"/>
        </w:rPr>
        <w:t>1</w:t>
      </w:r>
      <w:r w:rsidR="0015270A">
        <w:rPr>
          <w:rFonts w:ascii="Arial" w:hAnsi="Arial" w:cs="Arial"/>
          <w:sz w:val="22"/>
          <w:szCs w:val="20"/>
        </w:rPr>
        <w:t xml:space="preserve"> de agosto</w:t>
      </w:r>
      <w:r>
        <w:rPr>
          <w:rFonts w:ascii="Arial" w:hAnsi="Arial" w:cs="Arial"/>
          <w:sz w:val="22"/>
          <w:szCs w:val="20"/>
        </w:rPr>
        <w:t>,</w:t>
      </w:r>
      <w:r w:rsidR="00A859CA">
        <w:rPr>
          <w:rFonts w:ascii="Arial" w:hAnsi="Arial" w:cs="Arial"/>
          <w:sz w:val="22"/>
          <w:szCs w:val="20"/>
        </w:rPr>
        <w:t xml:space="preserve"> </w:t>
      </w:r>
      <w:r w:rsidR="00034D7D">
        <w:rPr>
          <w:rFonts w:ascii="Arial" w:hAnsi="Arial" w:cs="Arial"/>
          <w:sz w:val="22"/>
          <w:szCs w:val="20"/>
        </w:rPr>
        <w:t xml:space="preserve">se </w:t>
      </w:r>
      <w:r>
        <w:rPr>
          <w:rFonts w:ascii="Arial" w:hAnsi="Arial" w:cs="Arial"/>
          <w:sz w:val="22"/>
          <w:szCs w:val="20"/>
        </w:rPr>
        <w:t xml:space="preserve">evidencia que no se </w:t>
      </w:r>
      <w:r w:rsidR="00034D7D" w:rsidRPr="00730430">
        <w:rPr>
          <w:rFonts w:ascii="Arial" w:hAnsi="Arial" w:cs="Arial"/>
          <w:sz w:val="22"/>
          <w:szCs w:val="20"/>
        </w:rPr>
        <w:t xml:space="preserve">ha presentado materialización de los riesgos </w:t>
      </w:r>
      <w:r w:rsidR="00A859CA">
        <w:rPr>
          <w:rFonts w:ascii="Arial" w:hAnsi="Arial" w:cs="Arial"/>
          <w:sz w:val="22"/>
          <w:szCs w:val="20"/>
        </w:rPr>
        <w:t>definidos</w:t>
      </w:r>
      <w:r w:rsidR="00034D7D" w:rsidRPr="00730430">
        <w:rPr>
          <w:rFonts w:ascii="Arial" w:hAnsi="Arial" w:cs="Arial"/>
          <w:sz w:val="22"/>
          <w:szCs w:val="20"/>
        </w:rPr>
        <w:t>.</w:t>
      </w:r>
    </w:p>
    <w:p w14:paraId="2AED19D0" w14:textId="77777777" w:rsidR="00FC2E3F" w:rsidRDefault="00FC2E3F" w:rsidP="005B4190">
      <w:pPr>
        <w:spacing w:line="240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14:paraId="01275567" w14:textId="77777777" w:rsidR="005B4190" w:rsidRDefault="005B4190" w:rsidP="005B4190">
      <w:pPr>
        <w:spacing w:line="240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14:paraId="7730AF6F" w14:textId="099B2859" w:rsidR="00782980" w:rsidRPr="004D14C7" w:rsidRDefault="00782980" w:rsidP="005B4190">
      <w:pPr>
        <w:pStyle w:val="m7007535857312232601gmail-msolistparagraph"/>
        <w:numPr>
          <w:ilvl w:val="1"/>
          <w:numId w:val="14"/>
        </w:numPr>
        <w:shd w:val="clear" w:color="auto" w:fill="FFFFFF"/>
        <w:spacing w:before="0" w:beforeAutospacing="0" w:after="0" w:afterAutospacing="0"/>
        <w:ind w:left="851"/>
        <w:jc w:val="both"/>
        <w:rPr>
          <w:rFonts w:ascii="Arial" w:hAnsi="Arial" w:cs="Arial"/>
          <w:b/>
          <w:bCs/>
        </w:rPr>
      </w:pPr>
      <w:r w:rsidRPr="004D14C7">
        <w:rPr>
          <w:rFonts w:ascii="Arial" w:hAnsi="Arial" w:cs="Arial"/>
          <w:b/>
          <w:bCs/>
        </w:rPr>
        <w:t>Riesgos de gestión</w:t>
      </w:r>
    </w:p>
    <w:p w14:paraId="21C73E72" w14:textId="77777777" w:rsidR="00782980" w:rsidRDefault="00782980" w:rsidP="005B4190">
      <w:pPr>
        <w:tabs>
          <w:tab w:val="left" w:pos="1095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4B7D0585" w14:textId="7895E7EB" w:rsidR="00C85428" w:rsidRDefault="00B16CA6" w:rsidP="004D14C7">
      <w:pPr>
        <w:tabs>
          <w:tab w:val="left" w:pos="1095"/>
        </w:tabs>
        <w:spacing w:line="240" w:lineRule="auto"/>
        <w:jc w:val="both"/>
        <w:rPr>
          <w:rFonts w:ascii="Arial" w:hAnsi="Arial" w:cs="Arial"/>
          <w:sz w:val="22"/>
          <w:szCs w:val="20"/>
        </w:rPr>
      </w:pPr>
      <w:r w:rsidRPr="00730430">
        <w:rPr>
          <w:rFonts w:ascii="Arial" w:hAnsi="Arial" w:cs="Arial"/>
          <w:sz w:val="22"/>
          <w:szCs w:val="20"/>
        </w:rPr>
        <w:t>Entre febrero y marzo de 2019</w:t>
      </w:r>
      <w:r w:rsidR="00341111">
        <w:rPr>
          <w:rFonts w:ascii="Arial" w:hAnsi="Arial" w:cs="Arial"/>
          <w:sz w:val="22"/>
          <w:szCs w:val="20"/>
        </w:rPr>
        <w:t>,</w:t>
      </w:r>
      <w:r w:rsidRPr="00730430">
        <w:rPr>
          <w:rFonts w:ascii="Arial" w:hAnsi="Arial" w:cs="Arial"/>
          <w:sz w:val="22"/>
          <w:szCs w:val="20"/>
        </w:rPr>
        <w:t xml:space="preserve"> los</w:t>
      </w:r>
      <w:r w:rsidR="0018595B">
        <w:rPr>
          <w:rFonts w:ascii="Arial" w:hAnsi="Arial" w:cs="Arial"/>
          <w:sz w:val="22"/>
          <w:szCs w:val="20"/>
        </w:rPr>
        <w:t xml:space="preserve"> responsables de los</w:t>
      </w:r>
      <w:r w:rsidRPr="00730430">
        <w:rPr>
          <w:rFonts w:ascii="Arial" w:hAnsi="Arial" w:cs="Arial"/>
          <w:sz w:val="22"/>
          <w:szCs w:val="20"/>
        </w:rPr>
        <w:t xml:space="preserve"> procesos realizaron </w:t>
      </w:r>
      <w:r w:rsidR="00BF25E3">
        <w:rPr>
          <w:rFonts w:ascii="Arial" w:hAnsi="Arial" w:cs="Arial"/>
          <w:sz w:val="22"/>
          <w:szCs w:val="20"/>
        </w:rPr>
        <w:t xml:space="preserve">el </w:t>
      </w:r>
      <w:r w:rsidRPr="00730430">
        <w:rPr>
          <w:rFonts w:ascii="Arial" w:hAnsi="Arial" w:cs="Arial"/>
          <w:sz w:val="22"/>
          <w:szCs w:val="20"/>
        </w:rPr>
        <w:t>cierre del mapa de riesgos trabajado en la vigencia 2018</w:t>
      </w:r>
      <w:r w:rsidR="00BF25E3">
        <w:rPr>
          <w:rFonts w:ascii="Arial" w:hAnsi="Arial" w:cs="Arial"/>
          <w:sz w:val="22"/>
          <w:szCs w:val="20"/>
        </w:rPr>
        <w:t>;</w:t>
      </w:r>
      <w:r w:rsidRPr="00730430">
        <w:rPr>
          <w:rFonts w:ascii="Arial" w:hAnsi="Arial" w:cs="Arial"/>
          <w:sz w:val="22"/>
          <w:szCs w:val="20"/>
        </w:rPr>
        <w:t xml:space="preserve"> </w:t>
      </w:r>
      <w:r w:rsidR="003A537E" w:rsidRPr="00D705E3">
        <w:rPr>
          <w:rFonts w:ascii="Arial" w:hAnsi="Arial" w:cs="Arial"/>
          <w:sz w:val="22"/>
          <w:szCs w:val="20"/>
        </w:rPr>
        <w:t xml:space="preserve">adicionalmente, realizaron la revisión y actualización del Mapa de Riesgos de Gestión para </w:t>
      </w:r>
      <w:r w:rsidR="004D14C7">
        <w:rPr>
          <w:rFonts w:ascii="Arial" w:hAnsi="Arial" w:cs="Arial"/>
          <w:sz w:val="22"/>
          <w:szCs w:val="20"/>
        </w:rPr>
        <w:t>el 2019</w:t>
      </w:r>
      <w:r w:rsidR="003A537E" w:rsidRPr="00D705E3">
        <w:rPr>
          <w:rFonts w:ascii="Arial" w:hAnsi="Arial" w:cs="Arial"/>
          <w:sz w:val="22"/>
          <w:szCs w:val="20"/>
        </w:rPr>
        <w:t xml:space="preserve">, a partir del análisis de los controles existentes y </w:t>
      </w:r>
      <w:r w:rsidR="00511FBD">
        <w:rPr>
          <w:rFonts w:ascii="Arial" w:hAnsi="Arial" w:cs="Arial"/>
          <w:sz w:val="22"/>
          <w:szCs w:val="20"/>
        </w:rPr>
        <w:t xml:space="preserve">de </w:t>
      </w:r>
      <w:r w:rsidR="003A537E" w:rsidRPr="00D705E3">
        <w:rPr>
          <w:rFonts w:ascii="Arial" w:hAnsi="Arial" w:cs="Arial"/>
          <w:sz w:val="22"/>
          <w:szCs w:val="20"/>
        </w:rPr>
        <w:t>los resultados de la ejecución de las actividades de mitigación, así como la probabilidad e impacto de los riesgos identificados</w:t>
      </w:r>
      <w:r w:rsidR="00280EE9">
        <w:rPr>
          <w:rFonts w:ascii="Arial" w:hAnsi="Arial" w:cs="Arial"/>
          <w:sz w:val="22"/>
          <w:szCs w:val="20"/>
        </w:rPr>
        <w:t>.</w:t>
      </w:r>
      <w:r w:rsidR="004D14C7">
        <w:rPr>
          <w:rFonts w:ascii="Arial" w:hAnsi="Arial" w:cs="Arial"/>
          <w:sz w:val="22"/>
          <w:szCs w:val="20"/>
        </w:rPr>
        <w:t xml:space="preserve"> </w:t>
      </w:r>
      <w:r w:rsidR="00131BA6">
        <w:rPr>
          <w:rFonts w:ascii="Arial" w:hAnsi="Arial" w:cs="Arial"/>
          <w:sz w:val="22"/>
          <w:szCs w:val="20"/>
        </w:rPr>
        <w:t>En la siguiente tabla</w:t>
      </w:r>
      <w:r w:rsidR="0018595B" w:rsidRPr="00730430">
        <w:rPr>
          <w:rFonts w:ascii="Arial" w:hAnsi="Arial" w:cs="Arial"/>
          <w:sz w:val="22"/>
          <w:szCs w:val="20"/>
        </w:rPr>
        <w:t xml:space="preserve"> se </w:t>
      </w:r>
      <w:r w:rsidR="0018595B">
        <w:rPr>
          <w:rFonts w:ascii="Arial" w:hAnsi="Arial" w:cs="Arial"/>
          <w:sz w:val="22"/>
          <w:szCs w:val="20"/>
        </w:rPr>
        <w:t>relaciona</w:t>
      </w:r>
      <w:r w:rsidR="005B4190">
        <w:rPr>
          <w:rFonts w:ascii="Arial" w:hAnsi="Arial" w:cs="Arial"/>
          <w:sz w:val="22"/>
          <w:szCs w:val="20"/>
        </w:rPr>
        <w:t>n</w:t>
      </w:r>
      <w:r w:rsidR="0018595B">
        <w:rPr>
          <w:rFonts w:ascii="Arial" w:hAnsi="Arial" w:cs="Arial"/>
          <w:sz w:val="22"/>
          <w:szCs w:val="20"/>
        </w:rPr>
        <w:t xml:space="preserve"> </w:t>
      </w:r>
      <w:r w:rsidR="0018595B" w:rsidRPr="00730430">
        <w:rPr>
          <w:rFonts w:ascii="Arial" w:hAnsi="Arial" w:cs="Arial"/>
          <w:sz w:val="22"/>
          <w:szCs w:val="20"/>
        </w:rPr>
        <w:t>los riesgos</w:t>
      </w:r>
      <w:r w:rsidR="00280EE9">
        <w:rPr>
          <w:rFonts w:ascii="Arial" w:hAnsi="Arial" w:cs="Arial"/>
          <w:sz w:val="22"/>
          <w:szCs w:val="20"/>
        </w:rPr>
        <w:t xml:space="preserve"> de gestión </w:t>
      </w:r>
      <w:r w:rsidR="0018595B" w:rsidRPr="00730430">
        <w:rPr>
          <w:rFonts w:ascii="Arial" w:hAnsi="Arial" w:cs="Arial"/>
          <w:sz w:val="22"/>
          <w:szCs w:val="20"/>
        </w:rPr>
        <w:t xml:space="preserve">y la zona del </w:t>
      </w:r>
      <w:r w:rsidR="00280EE9">
        <w:rPr>
          <w:rFonts w:ascii="Arial" w:hAnsi="Arial" w:cs="Arial"/>
          <w:sz w:val="22"/>
          <w:szCs w:val="20"/>
        </w:rPr>
        <w:t xml:space="preserve">riesgo en </w:t>
      </w:r>
      <w:r w:rsidR="005B4190">
        <w:rPr>
          <w:rFonts w:ascii="Arial" w:hAnsi="Arial" w:cs="Arial"/>
          <w:sz w:val="22"/>
          <w:szCs w:val="20"/>
        </w:rPr>
        <w:t xml:space="preserve">la </w:t>
      </w:r>
      <w:r w:rsidR="00280EE9">
        <w:rPr>
          <w:rFonts w:ascii="Arial" w:hAnsi="Arial" w:cs="Arial"/>
          <w:sz w:val="22"/>
          <w:szCs w:val="20"/>
        </w:rPr>
        <w:t>que se encuentran:</w:t>
      </w:r>
    </w:p>
    <w:p w14:paraId="6ECF81C4" w14:textId="77777777" w:rsidR="004D14C7" w:rsidRDefault="004D14C7" w:rsidP="004D14C7">
      <w:pPr>
        <w:tabs>
          <w:tab w:val="left" w:pos="1095"/>
        </w:tabs>
        <w:spacing w:line="240" w:lineRule="auto"/>
        <w:jc w:val="both"/>
        <w:rPr>
          <w:rFonts w:ascii="Arial" w:hAnsi="Arial" w:cs="Arial"/>
          <w:sz w:val="22"/>
          <w:szCs w:val="20"/>
        </w:rPr>
      </w:pPr>
    </w:p>
    <w:p w14:paraId="6D2801F7" w14:textId="77777777" w:rsidR="00511FBD" w:rsidRDefault="00511FBD" w:rsidP="004D14C7">
      <w:pPr>
        <w:tabs>
          <w:tab w:val="left" w:pos="1095"/>
        </w:tabs>
        <w:spacing w:line="240" w:lineRule="auto"/>
        <w:jc w:val="both"/>
        <w:rPr>
          <w:rFonts w:ascii="Arial" w:hAnsi="Arial" w:cs="Arial"/>
          <w:sz w:val="22"/>
          <w:szCs w:val="20"/>
        </w:rPr>
      </w:pPr>
    </w:p>
    <w:p w14:paraId="32E05AA4" w14:textId="77777777" w:rsidR="00511FBD" w:rsidRDefault="00511FBD" w:rsidP="004D14C7">
      <w:pPr>
        <w:tabs>
          <w:tab w:val="left" w:pos="1095"/>
        </w:tabs>
        <w:spacing w:line="240" w:lineRule="auto"/>
        <w:jc w:val="both"/>
        <w:rPr>
          <w:rFonts w:ascii="Arial" w:hAnsi="Arial" w:cs="Arial"/>
          <w:sz w:val="22"/>
          <w:szCs w:val="20"/>
        </w:rPr>
      </w:pPr>
    </w:p>
    <w:p w14:paraId="64020D6F" w14:textId="77777777" w:rsidR="00511FBD" w:rsidRDefault="00511FBD" w:rsidP="004D14C7">
      <w:pPr>
        <w:tabs>
          <w:tab w:val="left" w:pos="1095"/>
        </w:tabs>
        <w:spacing w:line="240" w:lineRule="auto"/>
        <w:jc w:val="both"/>
        <w:rPr>
          <w:rFonts w:ascii="Arial" w:hAnsi="Arial" w:cs="Arial"/>
          <w:sz w:val="22"/>
          <w:szCs w:val="20"/>
        </w:rPr>
      </w:pPr>
    </w:p>
    <w:p w14:paraId="3DCA3C95" w14:textId="77777777" w:rsidR="00511FBD" w:rsidRDefault="00511FBD" w:rsidP="004D14C7">
      <w:pPr>
        <w:tabs>
          <w:tab w:val="left" w:pos="1095"/>
        </w:tabs>
        <w:spacing w:line="240" w:lineRule="auto"/>
        <w:jc w:val="both"/>
        <w:rPr>
          <w:rFonts w:ascii="Arial" w:hAnsi="Arial" w:cs="Arial"/>
          <w:sz w:val="22"/>
          <w:szCs w:val="20"/>
        </w:rPr>
      </w:pPr>
    </w:p>
    <w:p w14:paraId="722F902B" w14:textId="2B790BA4" w:rsidR="00131BA6" w:rsidRPr="00511FBD" w:rsidRDefault="00131BA6" w:rsidP="004D14C7">
      <w:pPr>
        <w:tabs>
          <w:tab w:val="left" w:pos="1095"/>
        </w:tabs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511FBD">
        <w:rPr>
          <w:rFonts w:ascii="Arial" w:hAnsi="Arial" w:cs="Arial"/>
          <w:b/>
          <w:sz w:val="18"/>
          <w:szCs w:val="18"/>
        </w:rPr>
        <w:lastRenderedPageBreak/>
        <w:t>Tabla</w:t>
      </w:r>
      <w:r w:rsidR="00511FBD" w:rsidRPr="00511FBD">
        <w:rPr>
          <w:rFonts w:ascii="Arial" w:hAnsi="Arial" w:cs="Arial"/>
          <w:b/>
          <w:sz w:val="18"/>
          <w:szCs w:val="18"/>
        </w:rPr>
        <w:t xml:space="preserve"> 2</w:t>
      </w:r>
      <w:r w:rsidRPr="00511FBD">
        <w:rPr>
          <w:rFonts w:ascii="Arial" w:hAnsi="Arial" w:cs="Arial"/>
          <w:b/>
          <w:sz w:val="18"/>
          <w:szCs w:val="18"/>
        </w:rPr>
        <w:t xml:space="preserve">. Relación de riesgos de gestión por proceso y </w:t>
      </w:r>
      <w:r w:rsidR="00A859CA" w:rsidRPr="00511FBD">
        <w:rPr>
          <w:rFonts w:ascii="Arial" w:hAnsi="Arial" w:cs="Arial"/>
          <w:b/>
          <w:sz w:val="18"/>
          <w:szCs w:val="18"/>
        </w:rPr>
        <w:t>zona de</w:t>
      </w:r>
      <w:r w:rsidRPr="00511FBD">
        <w:rPr>
          <w:rFonts w:ascii="Arial" w:hAnsi="Arial" w:cs="Arial"/>
          <w:b/>
          <w:sz w:val="18"/>
          <w:szCs w:val="18"/>
        </w:rPr>
        <w:t xml:space="preserve"> riesgo</w:t>
      </w:r>
      <w:r w:rsidR="00A859CA" w:rsidRPr="00511FBD">
        <w:rPr>
          <w:rFonts w:ascii="Arial" w:hAnsi="Arial" w:cs="Arial"/>
          <w:b/>
          <w:sz w:val="18"/>
          <w:szCs w:val="18"/>
        </w:rPr>
        <w:t xml:space="preserve"> residual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7"/>
        <w:gridCol w:w="2625"/>
        <w:gridCol w:w="1536"/>
      </w:tblGrid>
      <w:tr w:rsidR="008E62F3" w:rsidRPr="004D14C7" w14:paraId="7F8CEE98" w14:textId="77777777" w:rsidTr="00511FBD">
        <w:trPr>
          <w:trHeight w:val="70"/>
          <w:tblHeader/>
        </w:trPr>
        <w:tc>
          <w:tcPr>
            <w:tcW w:w="2643" w:type="pct"/>
            <w:shd w:val="clear" w:color="auto" w:fill="F2F2F2" w:themeFill="background1" w:themeFillShade="F2"/>
            <w:vAlign w:val="center"/>
            <w:hideMark/>
          </w:tcPr>
          <w:p w14:paraId="40DD1844" w14:textId="77777777" w:rsidR="008E62F3" w:rsidRPr="004D14C7" w:rsidRDefault="008E62F3" w:rsidP="004D14C7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7"/>
                <w:szCs w:val="17"/>
                <w:lang w:eastAsia="es-ES"/>
              </w:rPr>
            </w:pPr>
            <w:r w:rsidRPr="004D14C7">
              <w:rPr>
                <w:rFonts w:ascii="Arial" w:eastAsia="Times New Roman" w:hAnsi="Arial" w:cs="Arial"/>
                <w:b/>
                <w:bCs/>
                <w:color w:val="auto"/>
                <w:sz w:val="17"/>
                <w:szCs w:val="17"/>
                <w:lang w:eastAsia="es-ES"/>
              </w:rPr>
              <w:t xml:space="preserve">Riesgo de Gestión </w:t>
            </w:r>
          </w:p>
        </w:tc>
        <w:tc>
          <w:tcPr>
            <w:tcW w:w="1487" w:type="pct"/>
            <w:shd w:val="clear" w:color="auto" w:fill="F2F2F2" w:themeFill="background1" w:themeFillShade="F2"/>
            <w:vAlign w:val="center"/>
            <w:hideMark/>
          </w:tcPr>
          <w:p w14:paraId="7CF8BC05" w14:textId="77777777" w:rsidR="008E62F3" w:rsidRPr="004D14C7" w:rsidRDefault="008E62F3" w:rsidP="004D14C7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7"/>
                <w:szCs w:val="17"/>
                <w:lang w:eastAsia="es-ES"/>
              </w:rPr>
            </w:pPr>
            <w:r w:rsidRPr="004D14C7">
              <w:rPr>
                <w:rFonts w:ascii="Arial" w:eastAsia="Times New Roman" w:hAnsi="Arial" w:cs="Arial"/>
                <w:b/>
                <w:bCs/>
                <w:color w:val="auto"/>
                <w:sz w:val="17"/>
                <w:szCs w:val="17"/>
                <w:lang w:eastAsia="es-ES"/>
              </w:rPr>
              <w:t>Proceso</w:t>
            </w:r>
          </w:p>
        </w:tc>
        <w:tc>
          <w:tcPr>
            <w:tcW w:w="870" w:type="pct"/>
            <w:shd w:val="clear" w:color="auto" w:fill="F2F2F2" w:themeFill="background1" w:themeFillShade="F2"/>
            <w:vAlign w:val="center"/>
            <w:hideMark/>
          </w:tcPr>
          <w:p w14:paraId="6D520B6B" w14:textId="77777777" w:rsidR="008E62F3" w:rsidRPr="004D14C7" w:rsidRDefault="008E62F3" w:rsidP="004D14C7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7"/>
                <w:szCs w:val="17"/>
                <w:lang w:eastAsia="es-ES"/>
              </w:rPr>
            </w:pPr>
            <w:r w:rsidRPr="004D14C7">
              <w:rPr>
                <w:rFonts w:ascii="Arial" w:eastAsia="Times New Roman" w:hAnsi="Arial" w:cs="Arial"/>
                <w:b/>
                <w:bCs/>
                <w:color w:val="auto"/>
                <w:sz w:val="17"/>
                <w:szCs w:val="17"/>
                <w:lang w:eastAsia="es-ES"/>
              </w:rPr>
              <w:t>Zona de Riesgo Residual</w:t>
            </w:r>
          </w:p>
        </w:tc>
      </w:tr>
      <w:tr w:rsidR="008E62F3" w:rsidRPr="004D14C7" w14:paraId="788C3BD7" w14:textId="77777777" w:rsidTr="004D14C7">
        <w:tc>
          <w:tcPr>
            <w:tcW w:w="2643" w:type="pct"/>
            <w:vAlign w:val="center"/>
            <w:hideMark/>
          </w:tcPr>
          <w:p w14:paraId="5CAA3E9E" w14:textId="7913B0FE" w:rsidR="008E62F3" w:rsidRPr="004D14C7" w:rsidRDefault="008E62F3" w:rsidP="004D14C7">
            <w:pPr>
              <w:widowControl/>
              <w:suppressAutoHyphens w:val="0"/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r w:rsidRPr="004D14C7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>Incumplimiento en la generación de respuestas oportunas a los trámite</w:t>
            </w:r>
            <w:r w:rsidR="004234C3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>s presentados por la ciudadanía</w:t>
            </w:r>
          </w:p>
        </w:tc>
        <w:tc>
          <w:tcPr>
            <w:tcW w:w="1487" w:type="pct"/>
            <w:vAlign w:val="center"/>
            <w:hideMark/>
          </w:tcPr>
          <w:p w14:paraId="0A3127EA" w14:textId="77777777" w:rsidR="008E62F3" w:rsidRPr="004D14C7" w:rsidRDefault="008E62F3" w:rsidP="004D14C7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 w:val="17"/>
                <w:szCs w:val="17"/>
                <w:lang w:eastAsia="es-ES"/>
              </w:rPr>
            </w:pPr>
            <w:r w:rsidRPr="004D14C7">
              <w:rPr>
                <w:rFonts w:ascii="Arial" w:eastAsia="Times New Roman" w:hAnsi="Arial" w:cs="Arial"/>
                <w:color w:val="auto"/>
                <w:sz w:val="17"/>
                <w:szCs w:val="17"/>
                <w:lang w:eastAsia="es-ES"/>
              </w:rPr>
              <w:t>Protección e Intervención del Patrimonio</w:t>
            </w:r>
          </w:p>
        </w:tc>
        <w:tc>
          <w:tcPr>
            <w:tcW w:w="870" w:type="pct"/>
            <w:shd w:val="clear" w:color="auto" w:fill="FF0000"/>
            <w:noWrap/>
            <w:vAlign w:val="center"/>
            <w:hideMark/>
          </w:tcPr>
          <w:p w14:paraId="1AD500CB" w14:textId="77777777" w:rsidR="008E62F3" w:rsidRPr="004D14C7" w:rsidRDefault="008E62F3" w:rsidP="004D14C7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r w:rsidRPr="004D14C7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>EXTREMO</w:t>
            </w:r>
          </w:p>
        </w:tc>
      </w:tr>
      <w:tr w:rsidR="008E62F3" w:rsidRPr="004D14C7" w14:paraId="2AEB1A31" w14:textId="77777777" w:rsidTr="004D14C7">
        <w:tc>
          <w:tcPr>
            <w:tcW w:w="2643" w:type="pct"/>
            <w:vAlign w:val="center"/>
            <w:hideMark/>
          </w:tcPr>
          <w:p w14:paraId="36E0ADFA" w14:textId="77777777" w:rsidR="008E62F3" w:rsidRPr="004D14C7" w:rsidRDefault="008E62F3" w:rsidP="004D14C7">
            <w:pPr>
              <w:widowControl/>
              <w:suppressAutoHyphens w:val="0"/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r w:rsidRPr="004D14C7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>Interrupción del servicio de la página WEB institucional</w:t>
            </w:r>
          </w:p>
        </w:tc>
        <w:tc>
          <w:tcPr>
            <w:tcW w:w="1487" w:type="pct"/>
            <w:vAlign w:val="center"/>
            <w:hideMark/>
          </w:tcPr>
          <w:p w14:paraId="647F27DC" w14:textId="77777777" w:rsidR="008E62F3" w:rsidRPr="004D14C7" w:rsidRDefault="008E62F3" w:rsidP="004D14C7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 w:val="17"/>
                <w:szCs w:val="17"/>
                <w:lang w:eastAsia="es-ES"/>
              </w:rPr>
            </w:pPr>
            <w:r w:rsidRPr="004D14C7">
              <w:rPr>
                <w:rFonts w:ascii="Arial" w:eastAsia="Times New Roman" w:hAnsi="Arial" w:cs="Arial"/>
                <w:color w:val="auto"/>
                <w:sz w:val="17"/>
                <w:szCs w:val="17"/>
                <w:lang w:eastAsia="es-ES"/>
              </w:rPr>
              <w:t>Divulgación y Apropiación Social del Patrimonio</w:t>
            </w:r>
          </w:p>
        </w:tc>
        <w:tc>
          <w:tcPr>
            <w:tcW w:w="870" w:type="pct"/>
            <w:shd w:val="clear" w:color="auto" w:fill="FF0000"/>
            <w:noWrap/>
            <w:vAlign w:val="center"/>
            <w:hideMark/>
          </w:tcPr>
          <w:p w14:paraId="7D290D2B" w14:textId="77777777" w:rsidR="008E62F3" w:rsidRPr="004D14C7" w:rsidRDefault="008E62F3" w:rsidP="004D14C7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r w:rsidRPr="004D14C7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>EXTREMO</w:t>
            </w:r>
          </w:p>
        </w:tc>
      </w:tr>
      <w:tr w:rsidR="008E62F3" w:rsidRPr="004D14C7" w14:paraId="183EB63F" w14:textId="77777777" w:rsidTr="004D14C7">
        <w:tc>
          <w:tcPr>
            <w:tcW w:w="2643" w:type="pct"/>
            <w:vAlign w:val="center"/>
            <w:hideMark/>
          </w:tcPr>
          <w:p w14:paraId="18588F1D" w14:textId="77777777" w:rsidR="008E62F3" w:rsidRPr="004D14C7" w:rsidRDefault="008E62F3" w:rsidP="004D14C7">
            <w:pPr>
              <w:widowControl/>
              <w:suppressAutoHyphens w:val="0"/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r w:rsidRPr="004D14C7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>Seguimiento  inadecuado en la formulación y ejecución de las metas  institucionales</w:t>
            </w:r>
          </w:p>
        </w:tc>
        <w:tc>
          <w:tcPr>
            <w:tcW w:w="1487" w:type="pct"/>
            <w:vAlign w:val="center"/>
            <w:hideMark/>
          </w:tcPr>
          <w:p w14:paraId="1876FFB0" w14:textId="77777777" w:rsidR="008E62F3" w:rsidRPr="004D14C7" w:rsidRDefault="008E62F3" w:rsidP="004D14C7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 w:val="17"/>
                <w:szCs w:val="17"/>
                <w:lang w:eastAsia="es-ES"/>
              </w:rPr>
            </w:pPr>
            <w:r w:rsidRPr="004D14C7">
              <w:rPr>
                <w:rFonts w:ascii="Arial" w:eastAsia="Times New Roman" w:hAnsi="Arial" w:cs="Arial"/>
                <w:color w:val="auto"/>
                <w:sz w:val="17"/>
                <w:szCs w:val="17"/>
                <w:lang w:eastAsia="es-ES"/>
              </w:rPr>
              <w:t>Direccionamiento Estratégico</w:t>
            </w:r>
          </w:p>
        </w:tc>
        <w:tc>
          <w:tcPr>
            <w:tcW w:w="870" w:type="pct"/>
            <w:shd w:val="clear" w:color="auto" w:fill="FFC000" w:themeFill="accent4"/>
            <w:noWrap/>
            <w:vAlign w:val="center"/>
            <w:hideMark/>
          </w:tcPr>
          <w:p w14:paraId="283BC699" w14:textId="77777777" w:rsidR="008E62F3" w:rsidRPr="004D14C7" w:rsidRDefault="008E62F3" w:rsidP="004D14C7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 w:rsidRPr="004D14C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>ALTO</w:t>
            </w:r>
          </w:p>
        </w:tc>
      </w:tr>
      <w:tr w:rsidR="008E62F3" w:rsidRPr="004D14C7" w14:paraId="72EE20ED" w14:textId="77777777" w:rsidTr="004D14C7">
        <w:tc>
          <w:tcPr>
            <w:tcW w:w="2643" w:type="pct"/>
            <w:vAlign w:val="center"/>
            <w:hideMark/>
          </w:tcPr>
          <w:p w14:paraId="38E2607C" w14:textId="77777777" w:rsidR="008E62F3" w:rsidRPr="004D14C7" w:rsidRDefault="008E62F3" w:rsidP="004D14C7">
            <w:pPr>
              <w:widowControl/>
              <w:suppressAutoHyphens w:val="0"/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r w:rsidRPr="004D14C7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>Daño significativo en inmuebles</w:t>
            </w:r>
          </w:p>
        </w:tc>
        <w:tc>
          <w:tcPr>
            <w:tcW w:w="1487" w:type="pct"/>
            <w:vAlign w:val="center"/>
            <w:hideMark/>
          </w:tcPr>
          <w:p w14:paraId="5F9C4777" w14:textId="77777777" w:rsidR="008E62F3" w:rsidRPr="004D14C7" w:rsidRDefault="008E62F3" w:rsidP="004D14C7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 w:val="17"/>
                <w:szCs w:val="17"/>
                <w:lang w:eastAsia="es-ES"/>
              </w:rPr>
            </w:pPr>
            <w:r w:rsidRPr="004D14C7">
              <w:rPr>
                <w:rFonts w:ascii="Arial" w:eastAsia="Times New Roman" w:hAnsi="Arial" w:cs="Arial"/>
                <w:color w:val="auto"/>
                <w:sz w:val="17"/>
                <w:szCs w:val="17"/>
                <w:lang w:eastAsia="es-ES"/>
              </w:rPr>
              <w:t>Administración de Bienes e Infraestructura</w:t>
            </w:r>
          </w:p>
        </w:tc>
        <w:tc>
          <w:tcPr>
            <w:tcW w:w="870" w:type="pct"/>
            <w:shd w:val="clear" w:color="auto" w:fill="FFC000" w:themeFill="accent4"/>
            <w:noWrap/>
            <w:vAlign w:val="center"/>
            <w:hideMark/>
          </w:tcPr>
          <w:p w14:paraId="096E98F2" w14:textId="77777777" w:rsidR="008E62F3" w:rsidRPr="004D14C7" w:rsidRDefault="008E62F3" w:rsidP="004D14C7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 w:rsidRPr="004D14C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>ALTO</w:t>
            </w:r>
          </w:p>
        </w:tc>
      </w:tr>
      <w:tr w:rsidR="008E62F3" w:rsidRPr="004D14C7" w14:paraId="375E4704" w14:textId="77777777" w:rsidTr="004D14C7">
        <w:tc>
          <w:tcPr>
            <w:tcW w:w="2643" w:type="pct"/>
            <w:vAlign w:val="center"/>
            <w:hideMark/>
          </w:tcPr>
          <w:p w14:paraId="347219F6" w14:textId="77777777" w:rsidR="008E62F3" w:rsidRPr="004D14C7" w:rsidRDefault="008E62F3" w:rsidP="004D14C7">
            <w:pPr>
              <w:widowControl/>
              <w:suppressAutoHyphens w:val="0"/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r w:rsidRPr="004D14C7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>Daños, deterioro o pérdida de los recursos tecnológicos</w:t>
            </w:r>
          </w:p>
        </w:tc>
        <w:tc>
          <w:tcPr>
            <w:tcW w:w="1487" w:type="pct"/>
            <w:vAlign w:val="center"/>
            <w:hideMark/>
          </w:tcPr>
          <w:p w14:paraId="185AC192" w14:textId="77777777" w:rsidR="008E62F3" w:rsidRPr="004D14C7" w:rsidRDefault="008E62F3" w:rsidP="004D14C7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 w:val="17"/>
                <w:szCs w:val="17"/>
                <w:lang w:eastAsia="es-ES"/>
              </w:rPr>
            </w:pPr>
            <w:r w:rsidRPr="004D14C7">
              <w:rPr>
                <w:rFonts w:ascii="Arial" w:eastAsia="Times New Roman" w:hAnsi="Arial" w:cs="Arial"/>
                <w:color w:val="auto"/>
                <w:sz w:val="17"/>
                <w:szCs w:val="17"/>
                <w:lang w:eastAsia="es-ES"/>
              </w:rPr>
              <w:t>Gestión de Sistemas de Información y Tecnología</w:t>
            </w:r>
          </w:p>
        </w:tc>
        <w:tc>
          <w:tcPr>
            <w:tcW w:w="870" w:type="pct"/>
            <w:shd w:val="clear" w:color="auto" w:fill="FFC000" w:themeFill="accent4"/>
            <w:noWrap/>
            <w:vAlign w:val="center"/>
            <w:hideMark/>
          </w:tcPr>
          <w:p w14:paraId="6CC0B14A" w14:textId="77777777" w:rsidR="008E62F3" w:rsidRPr="004D14C7" w:rsidRDefault="008E62F3" w:rsidP="004D14C7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 w:rsidRPr="004D14C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>ALTO</w:t>
            </w:r>
          </w:p>
        </w:tc>
      </w:tr>
      <w:tr w:rsidR="008E62F3" w:rsidRPr="004D14C7" w14:paraId="63EEC3C4" w14:textId="77777777" w:rsidTr="004D14C7">
        <w:tc>
          <w:tcPr>
            <w:tcW w:w="2643" w:type="pct"/>
            <w:vAlign w:val="center"/>
            <w:hideMark/>
          </w:tcPr>
          <w:p w14:paraId="36D723EB" w14:textId="44694007" w:rsidR="008E62F3" w:rsidRPr="004D14C7" w:rsidRDefault="008E62F3" w:rsidP="00511FBD">
            <w:pPr>
              <w:widowControl/>
              <w:suppressAutoHyphens w:val="0"/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r w:rsidRPr="004D14C7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 xml:space="preserve">Deficiente supervisión </w:t>
            </w:r>
            <w:r w:rsidR="00511FBD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>c</w:t>
            </w:r>
            <w:r w:rsidRPr="004D14C7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>ontractual</w:t>
            </w:r>
          </w:p>
        </w:tc>
        <w:tc>
          <w:tcPr>
            <w:tcW w:w="1487" w:type="pct"/>
            <w:vAlign w:val="center"/>
            <w:hideMark/>
          </w:tcPr>
          <w:p w14:paraId="7689C270" w14:textId="77777777" w:rsidR="008E62F3" w:rsidRPr="004D14C7" w:rsidRDefault="008E62F3" w:rsidP="004D14C7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 w:val="17"/>
                <w:szCs w:val="17"/>
                <w:lang w:eastAsia="es-ES"/>
              </w:rPr>
            </w:pPr>
            <w:r w:rsidRPr="004D14C7">
              <w:rPr>
                <w:rFonts w:ascii="Arial" w:eastAsia="Times New Roman" w:hAnsi="Arial" w:cs="Arial"/>
                <w:color w:val="auto"/>
                <w:sz w:val="17"/>
                <w:szCs w:val="17"/>
                <w:lang w:eastAsia="es-ES"/>
              </w:rPr>
              <w:t>Gestión Contractual</w:t>
            </w:r>
          </w:p>
        </w:tc>
        <w:tc>
          <w:tcPr>
            <w:tcW w:w="870" w:type="pct"/>
            <w:shd w:val="clear" w:color="auto" w:fill="FFC000" w:themeFill="accent4"/>
            <w:noWrap/>
            <w:vAlign w:val="center"/>
            <w:hideMark/>
          </w:tcPr>
          <w:p w14:paraId="1DF53B40" w14:textId="77777777" w:rsidR="008E62F3" w:rsidRPr="004D14C7" w:rsidRDefault="008E62F3" w:rsidP="004D14C7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 w:rsidRPr="004D14C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>ALTO</w:t>
            </w:r>
          </w:p>
        </w:tc>
      </w:tr>
      <w:tr w:rsidR="008E62F3" w:rsidRPr="004D14C7" w14:paraId="3F648125" w14:textId="77777777" w:rsidTr="004D14C7">
        <w:tc>
          <w:tcPr>
            <w:tcW w:w="2643" w:type="pct"/>
            <w:vAlign w:val="center"/>
            <w:hideMark/>
          </w:tcPr>
          <w:p w14:paraId="59D914E9" w14:textId="2840E585" w:rsidR="008E62F3" w:rsidRPr="004D14C7" w:rsidRDefault="008E62F3" w:rsidP="00511FBD">
            <w:pPr>
              <w:widowControl/>
              <w:suppressAutoHyphens w:val="0"/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r w:rsidRPr="004D14C7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 xml:space="preserve">Desactualización de la información del inventario de </w:t>
            </w:r>
            <w:r w:rsidR="00511FBD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>a</w:t>
            </w:r>
            <w:r w:rsidRPr="004D14C7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 xml:space="preserve">ctivos </w:t>
            </w:r>
          </w:p>
        </w:tc>
        <w:tc>
          <w:tcPr>
            <w:tcW w:w="1487" w:type="pct"/>
            <w:vAlign w:val="center"/>
            <w:hideMark/>
          </w:tcPr>
          <w:p w14:paraId="78041F42" w14:textId="77777777" w:rsidR="008E62F3" w:rsidRPr="004D14C7" w:rsidRDefault="008E62F3" w:rsidP="004D14C7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 w:val="17"/>
                <w:szCs w:val="17"/>
                <w:lang w:eastAsia="es-ES"/>
              </w:rPr>
            </w:pPr>
            <w:r w:rsidRPr="004D14C7">
              <w:rPr>
                <w:rFonts w:ascii="Arial" w:eastAsia="Times New Roman" w:hAnsi="Arial" w:cs="Arial"/>
                <w:color w:val="auto"/>
                <w:sz w:val="17"/>
                <w:szCs w:val="17"/>
                <w:lang w:eastAsia="es-ES"/>
              </w:rPr>
              <w:t>Administración de Bienes e Infraestructura</w:t>
            </w:r>
          </w:p>
        </w:tc>
        <w:tc>
          <w:tcPr>
            <w:tcW w:w="870" w:type="pct"/>
            <w:shd w:val="clear" w:color="auto" w:fill="FFC000" w:themeFill="accent4"/>
            <w:noWrap/>
            <w:vAlign w:val="center"/>
            <w:hideMark/>
          </w:tcPr>
          <w:p w14:paraId="51302767" w14:textId="77777777" w:rsidR="008E62F3" w:rsidRPr="004D14C7" w:rsidRDefault="008E62F3" w:rsidP="004D14C7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 w:rsidRPr="004D14C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>ALTO</w:t>
            </w:r>
          </w:p>
        </w:tc>
      </w:tr>
      <w:tr w:rsidR="008E62F3" w:rsidRPr="004D14C7" w14:paraId="196E7A0D" w14:textId="77777777" w:rsidTr="004D14C7">
        <w:tc>
          <w:tcPr>
            <w:tcW w:w="2643" w:type="pct"/>
            <w:vAlign w:val="center"/>
            <w:hideMark/>
          </w:tcPr>
          <w:p w14:paraId="0DBB4368" w14:textId="77777777" w:rsidR="008E62F3" w:rsidRPr="004D14C7" w:rsidRDefault="008E62F3" w:rsidP="004D14C7">
            <w:pPr>
              <w:widowControl/>
              <w:suppressAutoHyphens w:val="0"/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r w:rsidRPr="004D14C7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 xml:space="preserve">Desaparición o  hurto de piezas de la colección del Museo de Bogotá   </w:t>
            </w:r>
          </w:p>
        </w:tc>
        <w:tc>
          <w:tcPr>
            <w:tcW w:w="1487" w:type="pct"/>
            <w:vAlign w:val="center"/>
            <w:hideMark/>
          </w:tcPr>
          <w:p w14:paraId="6415B3E3" w14:textId="77777777" w:rsidR="008E62F3" w:rsidRPr="004D14C7" w:rsidRDefault="008E62F3" w:rsidP="004D14C7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 w:val="17"/>
                <w:szCs w:val="17"/>
                <w:lang w:eastAsia="es-ES"/>
              </w:rPr>
            </w:pPr>
            <w:r w:rsidRPr="004D14C7">
              <w:rPr>
                <w:rFonts w:ascii="Arial" w:eastAsia="Times New Roman" w:hAnsi="Arial" w:cs="Arial"/>
                <w:color w:val="auto"/>
                <w:sz w:val="17"/>
                <w:szCs w:val="17"/>
                <w:lang w:eastAsia="es-ES"/>
              </w:rPr>
              <w:t>Divulgación y Apropiación Social del Patrimonio</w:t>
            </w:r>
          </w:p>
        </w:tc>
        <w:tc>
          <w:tcPr>
            <w:tcW w:w="870" w:type="pct"/>
            <w:shd w:val="clear" w:color="auto" w:fill="FFC000" w:themeFill="accent4"/>
            <w:noWrap/>
            <w:vAlign w:val="center"/>
            <w:hideMark/>
          </w:tcPr>
          <w:p w14:paraId="2FA2F3C4" w14:textId="77777777" w:rsidR="008E62F3" w:rsidRPr="004D14C7" w:rsidRDefault="008E62F3" w:rsidP="004D14C7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 w:rsidRPr="004D14C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>ALTO</w:t>
            </w:r>
          </w:p>
        </w:tc>
      </w:tr>
      <w:tr w:rsidR="008E62F3" w:rsidRPr="004D14C7" w14:paraId="55ABF728" w14:textId="77777777" w:rsidTr="004D14C7">
        <w:tc>
          <w:tcPr>
            <w:tcW w:w="2643" w:type="pct"/>
            <w:vAlign w:val="center"/>
            <w:hideMark/>
          </w:tcPr>
          <w:p w14:paraId="3E4D0204" w14:textId="2F9CA8A4" w:rsidR="008E62F3" w:rsidRPr="004D14C7" w:rsidRDefault="008E62F3" w:rsidP="00511FBD">
            <w:pPr>
              <w:widowControl/>
              <w:suppressAutoHyphens w:val="0"/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r w:rsidRPr="004D14C7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>Generación de respuesta</w:t>
            </w:r>
            <w:r w:rsidR="00511FBD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>s</w:t>
            </w:r>
            <w:r w:rsidRPr="004D14C7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 xml:space="preserve"> por fuera de los términos establecidos para atender solicitudes ciudadanas</w:t>
            </w:r>
          </w:p>
        </w:tc>
        <w:tc>
          <w:tcPr>
            <w:tcW w:w="1487" w:type="pct"/>
            <w:vAlign w:val="center"/>
            <w:hideMark/>
          </w:tcPr>
          <w:p w14:paraId="2B531D42" w14:textId="77777777" w:rsidR="008E62F3" w:rsidRPr="004D14C7" w:rsidRDefault="008E62F3" w:rsidP="004D14C7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 w:val="17"/>
                <w:szCs w:val="17"/>
                <w:lang w:eastAsia="es-ES"/>
              </w:rPr>
            </w:pPr>
            <w:r w:rsidRPr="004D14C7">
              <w:rPr>
                <w:rFonts w:ascii="Arial" w:eastAsia="Times New Roman" w:hAnsi="Arial" w:cs="Arial"/>
                <w:color w:val="auto"/>
                <w:sz w:val="17"/>
                <w:szCs w:val="17"/>
                <w:lang w:eastAsia="es-ES"/>
              </w:rPr>
              <w:t>Atención a la Ciudadanía</w:t>
            </w:r>
          </w:p>
        </w:tc>
        <w:tc>
          <w:tcPr>
            <w:tcW w:w="870" w:type="pct"/>
            <w:shd w:val="clear" w:color="auto" w:fill="FFC000" w:themeFill="accent4"/>
            <w:noWrap/>
            <w:vAlign w:val="center"/>
            <w:hideMark/>
          </w:tcPr>
          <w:p w14:paraId="2E964398" w14:textId="77777777" w:rsidR="008E62F3" w:rsidRPr="004D14C7" w:rsidRDefault="008E62F3" w:rsidP="004D14C7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 w:rsidRPr="004D14C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>ALTO</w:t>
            </w:r>
          </w:p>
        </w:tc>
      </w:tr>
      <w:tr w:rsidR="008E62F3" w:rsidRPr="004D14C7" w14:paraId="645DC384" w14:textId="77777777" w:rsidTr="004D14C7">
        <w:tc>
          <w:tcPr>
            <w:tcW w:w="2643" w:type="pct"/>
            <w:vAlign w:val="center"/>
            <w:hideMark/>
          </w:tcPr>
          <w:p w14:paraId="4135AAAC" w14:textId="27FE5F3D" w:rsidR="008E62F3" w:rsidRPr="00057F94" w:rsidRDefault="008E62F3" w:rsidP="00511FBD">
            <w:pPr>
              <w:widowControl/>
              <w:suppressAutoHyphens w:val="0"/>
              <w:spacing w:line="240" w:lineRule="auto"/>
              <w:jc w:val="both"/>
              <w:rPr>
                <w:rFonts w:ascii="Arial" w:eastAsia="Times New Roman" w:hAnsi="Arial" w:cs="Arial"/>
                <w:color w:val="auto"/>
                <w:sz w:val="17"/>
                <w:szCs w:val="17"/>
                <w:lang w:eastAsia="es-ES"/>
              </w:rPr>
            </w:pPr>
            <w:r w:rsidRPr="00057F94">
              <w:rPr>
                <w:rFonts w:ascii="Arial" w:eastAsia="Times New Roman" w:hAnsi="Arial" w:cs="Arial"/>
                <w:color w:val="auto"/>
                <w:sz w:val="17"/>
                <w:szCs w:val="17"/>
                <w:lang w:eastAsia="es-ES"/>
              </w:rPr>
              <w:t>Generar hallazgos y/o conceptos que no cuenten con el debido soporte o evidencias del caso</w:t>
            </w:r>
          </w:p>
        </w:tc>
        <w:tc>
          <w:tcPr>
            <w:tcW w:w="1487" w:type="pct"/>
            <w:vAlign w:val="center"/>
            <w:hideMark/>
          </w:tcPr>
          <w:p w14:paraId="42E16CF7" w14:textId="77777777" w:rsidR="008E62F3" w:rsidRPr="004D14C7" w:rsidRDefault="008E62F3" w:rsidP="004D14C7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 w:val="17"/>
                <w:szCs w:val="17"/>
                <w:lang w:eastAsia="es-ES"/>
              </w:rPr>
            </w:pPr>
            <w:r w:rsidRPr="004D14C7">
              <w:rPr>
                <w:rFonts w:ascii="Arial" w:eastAsia="Times New Roman" w:hAnsi="Arial" w:cs="Arial"/>
                <w:color w:val="auto"/>
                <w:sz w:val="17"/>
                <w:szCs w:val="17"/>
                <w:lang w:eastAsia="es-ES"/>
              </w:rPr>
              <w:t>Seguimiento y Evaluación</w:t>
            </w:r>
          </w:p>
        </w:tc>
        <w:tc>
          <w:tcPr>
            <w:tcW w:w="870" w:type="pct"/>
            <w:shd w:val="clear" w:color="auto" w:fill="FFC000" w:themeFill="accent4"/>
            <w:noWrap/>
            <w:vAlign w:val="center"/>
            <w:hideMark/>
          </w:tcPr>
          <w:p w14:paraId="5D1E0975" w14:textId="77777777" w:rsidR="008E62F3" w:rsidRPr="004D14C7" w:rsidRDefault="008E62F3" w:rsidP="004D14C7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 w:rsidRPr="004D14C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>ALTO</w:t>
            </w:r>
          </w:p>
        </w:tc>
      </w:tr>
      <w:tr w:rsidR="008E62F3" w:rsidRPr="004D14C7" w14:paraId="525D8827" w14:textId="77777777" w:rsidTr="004D14C7">
        <w:tc>
          <w:tcPr>
            <w:tcW w:w="2643" w:type="pct"/>
            <w:vAlign w:val="center"/>
            <w:hideMark/>
          </w:tcPr>
          <w:p w14:paraId="7C227C03" w14:textId="7B6E0EAF" w:rsidR="008E62F3" w:rsidRPr="00057F94" w:rsidRDefault="008E62F3" w:rsidP="004D14C7">
            <w:pPr>
              <w:widowControl/>
              <w:suppressAutoHyphens w:val="0"/>
              <w:spacing w:line="240" w:lineRule="auto"/>
              <w:jc w:val="both"/>
              <w:rPr>
                <w:rFonts w:ascii="Arial" w:eastAsia="Times New Roman" w:hAnsi="Arial" w:cs="Arial"/>
                <w:color w:val="auto"/>
                <w:sz w:val="17"/>
                <w:szCs w:val="17"/>
                <w:lang w:eastAsia="es-ES"/>
              </w:rPr>
            </w:pPr>
            <w:r w:rsidRPr="00057F94">
              <w:rPr>
                <w:rFonts w:ascii="Arial" w:eastAsia="Times New Roman" w:hAnsi="Arial" w:cs="Arial"/>
                <w:color w:val="auto"/>
                <w:sz w:val="17"/>
                <w:szCs w:val="17"/>
                <w:lang w:eastAsia="es-ES"/>
              </w:rPr>
              <w:t>Información incompleta y desactualizada en las historias laborales,</w:t>
            </w:r>
            <w:r w:rsidR="004234C3" w:rsidRPr="00057F94">
              <w:rPr>
                <w:rFonts w:ascii="Arial" w:eastAsia="Times New Roman" w:hAnsi="Arial" w:cs="Arial"/>
                <w:color w:val="auto"/>
                <w:sz w:val="17"/>
                <w:szCs w:val="17"/>
                <w:lang w:eastAsia="es-ES"/>
              </w:rPr>
              <w:t xml:space="preserve"> según lo dispuesto en las TRD</w:t>
            </w:r>
          </w:p>
        </w:tc>
        <w:tc>
          <w:tcPr>
            <w:tcW w:w="1487" w:type="pct"/>
            <w:vAlign w:val="center"/>
            <w:hideMark/>
          </w:tcPr>
          <w:p w14:paraId="51FC6FDB" w14:textId="77777777" w:rsidR="008E62F3" w:rsidRPr="004D14C7" w:rsidRDefault="008E62F3" w:rsidP="004D14C7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 w:val="17"/>
                <w:szCs w:val="17"/>
                <w:lang w:eastAsia="es-ES"/>
              </w:rPr>
            </w:pPr>
            <w:r w:rsidRPr="004D14C7">
              <w:rPr>
                <w:rFonts w:ascii="Arial" w:eastAsia="Times New Roman" w:hAnsi="Arial" w:cs="Arial"/>
                <w:color w:val="auto"/>
                <w:sz w:val="17"/>
                <w:szCs w:val="17"/>
                <w:lang w:eastAsia="es-ES"/>
              </w:rPr>
              <w:t>Gestión del Talento Humano</w:t>
            </w:r>
          </w:p>
        </w:tc>
        <w:tc>
          <w:tcPr>
            <w:tcW w:w="870" w:type="pct"/>
            <w:shd w:val="clear" w:color="auto" w:fill="FFC000" w:themeFill="accent4"/>
            <w:noWrap/>
            <w:vAlign w:val="center"/>
            <w:hideMark/>
          </w:tcPr>
          <w:p w14:paraId="5C5C0CA2" w14:textId="77777777" w:rsidR="008E62F3" w:rsidRPr="004D14C7" w:rsidRDefault="008E62F3" w:rsidP="004D14C7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 w:rsidRPr="004D14C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>ALTO</w:t>
            </w:r>
          </w:p>
        </w:tc>
      </w:tr>
      <w:tr w:rsidR="008E62F3" w:rsidRPr="004D14C7" w14:paraId="789309BB" w14:textId="77777777" w:rsidTr="004D14C7">
        <w:tc>
          <w:tcPr>
            <w:tcW w:w="2643" w:type="pct"/>
            <w:vAlign w:val="center"/>
            <w:hideMark/>
          </w:tcPr>
          <w:p w14:paraId="693D302F" w14:textId="483644E9" w:rsidR="008E62F3" w:rsidRPr="00057F94" w:rsidRDefault="008E62F3" w:rsidP="004D14C7">
            <w:pPr>
              <w:widowControl/>
              <w:suppressAutoHyphens w:val="0"/>
              <w:spacing w:line="240" w:lineRule="auto"/>
              <w:jc w:val="both"/>
              <w:rPr>
                <w:rFonts w:ascii="Arial" w:eastAsia="Times New Roman" w:hAnsi="Arial" w:cs="Arial"/>
                <w:color w:val="auto"/>
                <w:sz w:val="17"/>
                <w:szCs w:val="17"/>
                <w:lang w:eastAsia="es-ES"/>
              </w:rPr>
            </w:pPr>
            <w:r w:rsidRPr="00057F94">
              <w:rPr>
                <w:rFonts w:ascii="Arial" w:eastAsia="Times New Roman" w:hAnsi="Arial" w:cs="Arial"/>
                <w:color w:val="auto"/>
                <w:sz w:val="17"/>
                <w:szCs w:val="17"/>
                <w:lang w:eastAsia="es-ES"/>
              </w:rPr>
              <w:t>Inoportunidad en la entrega de informes y recomendaciones para el mejoramiento de los procesos</w:t>
            </w:r>
          </w:p>
        </w:tc>
        <w:tc>
          <w:tcPr>
            <w:tcW w:w="1487" w:type="pct"/>
            <w:vAlign w:val="center"/>
            <w:hideMark/>
          </w:tcPr>
          <w:p w14:paraId="6B6E6A1E" w14:textId="77777777" w:rsidR="008E62F3" w:rsidRPr="004D14C7" w:rsidRDefault="008E62F3" w:rsidP="004D14C7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 w:val="17"/>
                <w:szCs w:val="17"/>
                <w:lang w:eastAsia="es-ES"/>
              </w:rPr>
            </w:pPr>
            <w:r w:rsidRPr="004D14C7">
              <w:rPr>
                <w:rFonts w:ascii="Arial" w:eastAsia="Times New Roman" w:hAnsi="Arial" w:cs="Arial"/>
                <w:color w:val="auto"/>
                <w:sz w:val="17"/>
                <w:szCs w:val="17"/>
                <w:lang w:eastAsia="es-ES"/>
              </w:rPr>
              <w:t>Seguimiento y Evaluación</w:t>
            </w:r>
          </w:p>
        </w:tc>
        <w:tc>
          <w:tcPr>
            <w:tcW w:w="870" w:type="pct"/>
            <w:shd w:val="clear" w:color="auto" w:fill="FFC000" w:themeFill="accent4"/>
            <w:noWrap/>
            <w:vAlign w:val="center"/>
            <w:hideMark/>
          </w:tcPr>
          <w:p w14:paraId="05E9E216" w14:textId="77777777" w:rsidR="008E62F3" w:rsidRPr="004D14C7" w:rsidRDefault="008E62F3" w:rsidP="004D14C7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 w:rsidRPr="004D14C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>ALTO</w:t>
            </w:r>
          </w:p>
        </w:tc>
      </w:tr>
      <w:tr w:rsidR="008E62F3" w:rsidRPr="004D14C7" w14:paraId="7ABAB653" w14:textId="77777777" w:rsidTr="004D14C7">
        <w:tc>
          <w:tcPr>
            <w:tcW w:w="2643" w:type="pct"/>
            <w:vAlign w:val="center"/>
            <w:hideMark/>
          </w:tcPr>
          <w:p w14:paraId="3BE93D6D" w14:textId="64FE89DD" w:rsidR="008E62F3" w:rsidRPr="00057F94" w:rsidRDefault="008E62F3" w:rsidP="004D14C7">
            <w:pPr>
              <w:widowControl/>
              <w:suppressAutoHyphens w:val="0"/>
              <w:spacing w:line="240" w:lineRule="auto"/>
              <w:jc w:val="both"/>
              <w:rPr>
                <w:rFonts w:ascii="Arial" w:eastAsia="Times New Roman" w:hAnsi="Arial" w:cs="Arial"/>
                <w:color w:val="auto"/>
                <w:sz w:val="17"/>
                <w:szCs w:val="17"/>
                <w:lang w:eastAsia="es-ES"/>
              </w:rPr>
            </w:pPr>
            <w:r w:rsidRPr="00057F94">
              <w:rPr>
                <w:rFonts w:ascii="Arial" w:eastAsia="Times New Roman" w:hAnsi="Arial" w:cs="Arial"/>
                <w:color w:val="auto"/>
                <w:sz w:val="17"/>
                <w:szCs w:val="17"/>
                <w:lang w:eastAsia="es-ES"/>
              </w:rPr>
              <w:t>Puede suceder que no se conserve la integridad y legibilidad de los documentos</w:t>
            </w:r>
          </w:p>
        </w:tc>
        <w:tc>
          <w:tcPr>
            <w:tcW w:w="1487" w:type="pct"/>
            <w:vAlign w:val="center"/>
            <w:hideMark/>
          </w:tcPr>
          <w:p w14:paraId="7DE6470D" w14:textId="77777777" w:rsidR="008E62F3" w:rsidRPr="004D14C7" w:rsidRDefault="008E62F3" w:rsidP="004D14C7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 w:val="17"/>
                <w:szCs w:val="17"/>
                <w:lang w:eastAsia="es-ES"/>
              </w:rPr>
            </w:pPr>
            <w:r w:rsidRPr="004D14C7">
              <w:rPr>
                <w:rFonts w:ascii="Arial" w:eastAsia="Times New Roman" w:hAnsi="Arial" w:cs="Arial"/>
                <w:color w:val="auto"/>
                <w:sz w:val="17"/>
                <w:szCs w:val="17"/>
                <w:lang w:eastAsia="es-ES"/>
              </w:rPr>
              <w:t xml:space="preserve">Gestión Documental </w:t>
            </w:r>
          </w:p>
        </w:tc>
        <w:tc>
          <w:tcPr>
            <w:tcW w:w="870" w:type="pct"/>
            <w:shd w:val="clear" w:color="auto" w:fill="FFC000" w:themeFill="accent4"/>
            <w:noWrap/>
            <w:vAlign w:val="center"/>
            <w:hideMark/>
          </w:tcPr>
          <w:p w14:paraId="0640B05E" w14:textId="77777777" w:rsidR="008E62F3" w:rsidRPr="004D14C7" w:rsidRDefault="008E62F3" w:rsidP="004D14C7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 w:rsidRPr="004D14C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>ALTO</w:t>
            </w:r>
          </w:p>
        </w:tc>
      </w:tr>
      <w:tr w:rsidR="008E62F3" w:rsidRPr="004D14C7" w14:paraId="305D09DF" w14:textId="77777777" w:rsidTr="004D14C7">
        <w:tc>
          <w:tcPr>
            <w:tcW w:w="2643" w:type="pct"/>
            <w:vAlign w:val="center"/>
            <w:hideMark/>
          </w:tcPr>
          <w:p w14:paraId="67F1867C" w14:textId="40E8A8DE" w:rsidR="008E62F3" w:rsidRPr="00057F94" w:rsidRDefault="008E62F3" w:rsidP="004D14C7">
            <w:pPr>
              <w:widowControl/>
              <w:suppressAutoHyphens w:val="0"/>
              <w:spacing w:line="240" w:lineRule="auto"/>
              <w:jc w:val="both"/>
              <w:rPr>
                <w:rFonts w:ascii="Arial" w:eastAsia="Times New Roman" w:hAnsi="Arial" w:cs="Arial"/>
                <w:color w:val="auto"/>
                <w:sz w:val="17"/>
                <w:szCs w:val="17"/>
                <w:lang w:eastAsia="es-ES"/>
              </w:rPr>
            </w:pPr>
            <w:r w:rsidRPr="00057F94">
              <w:rPr>
                <w:rFonts w:ascii="Arial" w:eastAsia="Times New Roman" w:hAnsi="Arial" w:cs="Arial"/>
                <w:color w:val="auto"/>
                <w:sz w:val="17"/>
                <w:szCs w:val="17"/>
                <w:lang w:eastAsia="es-ES"/>
              </w:rPr>
              <w:t>Puede suceder que se pierdan documentos que hacen parte de la información institucional</w:t>
            </w:r>
          </w:p>
        </w:tc>
        <w:tc>
          <w:tcPr>
            <w:tcW w:w="1487" w:type="pct"/>
            <w:vAlign w:val="center"/>
            <w:hideMark/>
          </w:tcPr>
          <w:p w14:paraId="37C13876" w14:textId="77777777" w:rsidR="008E62F3" w:rsidRPr="004D14C7" w:rsidRDefault="008E62F3" w:rsidP="004D14C7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 w:val="17"/>
                <w:szCs w:val="17"/>
                <w:lang w:eastAsia="es-ES"/>
              </w:rPr>
            </w:pPr>
            <w:r w:rsidRPr="004D14C7">
              <w:rPr>
                <w:rFonts w:ascii="Arial" w:eastAsia="Times New Roman" w:hAnsi="Arial" w:cs="Arial"/>
                <w:color w:val="auto"/>
                <w:sz w:val="17"/>
                <w:szCs w:val="17"/>
                <w:lang w:eastAsia="es-ES"/>
              </w:rPr>
              <w:t xml:space="preserve">Gestión Documental </w:t>
            </w:r>
          </w:p>
        </w:tc>
        <w:tc>
          <w:tcPr>
            <w:tcW w:w="870" w:type="pct"/>
            <w:shd w:val="clear" w:color="auto" w:fill="FFC000" w:themeFill="accent4"/>
            <w:noWrap/>
            <w:vAlign w:val="center"/>
            <w:hideMark/>
          </w:tcPr>
          <w:p w14:paraId="0A9FD28C" w14:textId="77777777" w:rsidR="008E62F3" w:rsidRPr="004D14C7" w:rsidRDefault="008E62F3" w:rsidP="004D14C7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 w:rsidRPr="004D14C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>ALTO</w:t>
            </w:r>
          </w:p>
        </w:tc>
      </w:tr>
      <w:tr w:rsidR="008E62F3" w:rsidRPr="004D14C7" w14:paraId="58ED6320" w14:textId="77777777" w:rsidTr="004D14C7">
        <w:tc>
          <w:tcPr>
            <w:tcW w:w="2643" w:type="pct"/>
            <w:vAlign w:val="center"/>
            <w:hideMark/>
          </w:tcPr>
          <w:p w14:paraId="7C506EA6" w14:textId="028DB6D8" w:rsidR="008E62F3" w:rsidRPr="00057F94" w:rsidRDefault="00511FBD" w:rsidP="004D14C7">
            <w:pPr>
              <w:widowControl/>
              <w:suppressAutoHyphens w:val="0"/>
              <w:spacing w:line="240" w:lineRule="auto"/>
              <w:jc w:val="both"/>
              <w:rPr>
                <w:rFonts w:ascii="Arial" w:eastAsia="Times New Roman" w:hAnsi="Arial" w:cs="Arial"/>
                <w:color w:val="auto"/>
                <w:sz w:val="17"/>
                <w:szCs w:val="17"/>
                <w:lang w:eastAsia="es-ES"/>
              </w:rPr>
            </w:pPr>
            <w:r w:rsidRPr="00057F94">
              <w:rPr>
                <w:rFonts w:ascii="Arial" w:eastAsia="Times New Roman" w:hAnsi="Arial" w:cs="Arial"/>
                <w:color w:val="auto"/>
                <w:sz w:val="17"/>
                <w:szCs w:val="17"/>
                <w:lang w:eastAsia="es-ES"/>
              </w:rPr>
              <w:t>Vulnerabilidad y pé</w:t>
            </w:r>
            <w:r w:rsidR="008E62F3" w:rsidRPr="00057F94">
              <w:rPr>
                <w:rFonts w:ascii="Arial" w:eastAsia="Times New Roman" w:hAnsi="Arial" w:cs="Arial"/>
                <w:color w:val="auto"/>
                <w:sz w:val="17"/>
                <w:szCs w:val="17"/>
                <w:lang w:eastAsia="es-ES"/>
              </w:rPr>
              <w:t>rdida de información</w:t>
            </w:r>
          </w:p>
        </w:tc>
        <w:tc>
          <w:tcPr>
            <w:tcW w:w="1487" w:type="pct"/>
            <w:vAlign w:val="center"/>
            <w:hideMark/>
          </w:tcPr>
          <w:p w14:paraId="34B1D0D0" w14:textId="77777777" w:rsidR="008E62F3" w:rsidRPr="004D14C7" w:rsidRDefault="008E62F3" w:rsidP="004D14C7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 w:val="17"/>
                <w:szCs w:val="17"/>
                <w:lang w:eastAsia="es-ES"/>
              </w:rPr>
            </w:pPr>
            <w:r w:rsidRPr="004D14C7">
              <w:rPr>
                <w:rFonts w:ascii="Arial" w:eastAsia="Times New Roman" w:hAnsi="Arial" w:cs="Arial"/>
                <w:color w:val="auto"/>
                <w:sz w:val="17"/>
                <w:szCs w:val="17"/>
                <w:lang w:eastAsia="es-ES"/>
              </w:rPr>
              <w:t>Gestión de Sistemas de Inf</w:t>
            </w:r>
            <w:bookmarkStart w:id="0" w:name="_GoBack"/>
            <w:bookmarkEnd w:id="0"/>
            <w:r w:rsidRPr="004D14C7">
              <w:rPr>
                <w:rFonts w:ascii="Arial" w:eastAsia="Times New Roman" w:hAnsi="Arial" w:cs="Arial"/>
                <w:color w:val="auto"/>
                <w:sz w:val="17"/>
                <w:szCs w:val="17"/>
                <w:lang w:eastAsia="es-ES"/>
              </w:rPr>
              <w:t>ormación y Tecnología</w:t>
            </w:r>
          </w:p>
        </w:tc>
        <w:tc>
          <w:tcPr>
            <w:tcW w:w="870" w:type="pct"/>
            <w:shd w:val="clear" w:color="auto" w:fill="FFC000" w:themeFill="accent4"/>
            <w:noWrap/>
            <w:vAlign w:val="center"/>
            <w:hideMark/>
          </w:tcPr>
          <w:p w14:paraId="24A494CE" w14:textId="77777777" w:rsidR="008E62F3" w:rsidRPr="004D14C7" w:rsidRDefault="008E62F3" w:rsidP="004D14C7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 w:rsidRPr="004D14C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>ALTO</w:t>
            </w:r>
          </w:p>
        </w:tc>
      </w:tr>
      <w:tr w:rsidR="008E62F3" w:rsidRPr="004D14C7" w14:paraId="1741D230" w14:textId="77777777" w:rsidTr="004D14C7">
        <w:trPr>
          <w:trHeight w:val="70"/>
        </w:trPr>
        <w:tc>
          <w:tcPr>
            <w:tcW w:w="2643" w:type="pct"/>
            <w:vAlign w:val="center"/>
            <w:hideMark/>
          </w:tcPr>
          <w:p w14:paraId="2600969F" w14:textId="77777777" w:rsidR="008E62F3" w:rsidRPr="00057F94" w:rsidRDefault="008E62F3" w:rsidP="004D14C7">
            <w:pPr>
              <w:widowControl/>
              <w:suppressAutoHyphens w:val="0"/>
              <w:spacing w:line="240" w:lineRule="auto"/>
              <w:jc w:val="both"/>
              <w:rPr>
                <w:rFonts w:ascii="Arial" w:eastAsia="Times New Roman" w:hAnsi="Arial" w:cs="Arial"/>
                <w:color w:val="auto"/>
                <w:sz w:val="17"/>
                <w:szCs w:val="17"/>
                <w:lang w:eastAsia="es-ES"/>
              </w:rPr>
            </w:pPr>
            <w:r w:rsidRPr="00057F94">
              <w:rPr>
                <w:rFonts w:ascii="Arial" w:eastAsia="Times New Roman" w:hAnsi="Arial" w:cs="Arial"/>
                <w:color w:val="auto"/>
                <w:sz w:val="17"/>
                <w:szCs w:val="17"/>
                <w:lang w:eastAsia="es-ES"/>
              </w:rPr>
              <w:t>Deterioro de los bienes propiedad del Instituto</w:t>
            </w:r>
          </w:p>
        </w:tc>
        <w:tc>
          <w:tcPr>
            <w:tcW w:w="1487" w:type="pct"/>
            <w:vAlign w:val="center"/>
            <w:hideMark/>
          </w:tcPr>
          <w:p w14:paraId="7F9F1CFC" w14:textId="77777777" w:rsidR="008E62F3" w:rsidRPr="004D14C7" w:rsidRDefault="008E62F3" w:rsidP="004D14C7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 w:val="17"/>
                <w:szCs w:val="17"/>
                <w:lang w:eastAsia="es-ES"/>
              </w:rPr>
            </w:pPr>
            <w:r w:rsidRPr="004D14C7">
              <w:rPr>
                <w:rFonts w:ascii="Arial" w:eastAsia="Times New Roman" w:hAnsi="Arial" w:cs="Arial"/>
                <w:color w:val="auto"/>
                <w:sz w:val="17"/>
                <w:szCs w:val="17"/>
                <w:lang w:eastAsia="es-ES"/>
              </w:rPr>
              <w:t>Administración de Bienes e Infraestructura</w:t>
            </w:r>
          </w:p>
        </w:tc>
        <w:tc>
          <w:tcPr>
            <w:tcW w:w="870" w:type="pct"/>
            <w:shd w:val="clear" w:color="auto" w:fill="FFFF00"/>
            <w:noWrap/>
            <w:vAlign w:val="center"/>
            <w:hideMark/>
          </w:tcPr>
          <w:p w14:paraId="1627FDD7" w14:textId="77777777" w:rsidR="008E62F3" w:rsidRPr="004D14C7" w:rsidRDefault="008E62F3" w:rsidP="004D14C7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 w:val="17"/>
                <w:szCs w:val="17"/>
                <w:lang w:eastAsia="es-ES"/>
              </w:rPr>
            </w:pPr>
            <w:r w:rsidRPr="004D14C7">
              <w:rPr>
                <w:rFonts w:ascii="Arial" w:eastAsia="Times New Roman" w:hAnsi="Arial" w:cs="Arial"/>
                <w:color w:val="auto"/>
                <w:sz w:val="17"/>
                <w:szCs w:val="17"/>
                <w:lang w:eastAsia="es-ES"/>
              </w:rPr>
              <w:t>MODERADO</w:t>
            </w:r>
          </w:p>
        </w:tc>
      </w:tr>
      <w:tr w:rsidR="008E62F3" w:rsidRPr="004D14C7" w14:paraId="1A9FE389" w14:textId="77777777" w:rsidTr="004D14C7">
        <w:tc>
          <w:tcPr>
            <w:tcW w:w="2643" w:type="pct"/>
            <w:vAlign w:val="center"/>
            <w:hideMark/>
          </w:tcPr>
          <w:p w14:paraId="53292DF0" w14:textId="77777777" w:rsidR="008E62F3" w:rsidRPr="00057F94" w:rsidRDefault="008E62F3" w:rsidP="004D14C7">
            <w:pPr>
              <w:widowControl/>
              <w:suppressAutoHyphens w:val="0"/>
              <w:spacing w:line="240" w:lineRule="auto"/>
              <w:jc w:val="both"/>
              <w:rPr>
                <w:rFonts w:ascii="Arial" w:eastAsia="Times New Roman" w:hAnsi="Arial" w:cs="Arial"/>
                <w:color w:val="auto"/>
                <w:sz w:val="17"/>
                <w:szCs w:val="17"/>
                <w:lang w:eastAsia="es-ES"/>
              </w:rPr>
            </w:pPr>
            <w:r w:rsidRPr="00057F94">
              <w:rPr>
                <w:rFonts w:ascii="Arial" w:eastAsia="Times New Roman" w:hAnsi="Arial" w:cs="Arial"/>
                <w:color w:val="auto"/>
                <w:sz w:val="17"/>
                <w:szCs w:val="17"/>
                <w:lang w:eastAsia="es-ES"/>
              </w:rPr>
              <w:t>Diferencia entre los reportes generados y los subidos a la plataforma</w:t>
            </w:r>
          </w:p>
        </w:tc>
        <w:tc>
          <w:tcPr>
            <w:tcW w:w="1487" w:type="pct"/>
            <w:vAlign w:val="center"/>
            <w:hideMark/>
          </w:tcPr>
          <w:p w14:paraId="6DD43A5C" w14:textId="77777777" w:rsidR="008E62F3" w:rsidRPr="004D14C7" w:rsidRDefault="008E62F3" w:rsidP="004D14C7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 w:val="17"/>
                <w:szCs w:val="17"/>
                <w:lang w:eastAsia="es-ES"/>
              </w:rPr>
            </w:pPr>
            <w:r w:rsidRPr="004D14C7">
              <w:rPr>
                <w:rFonts w:ascii="Arial" w:eastAsia="Times New Roman" w:hAnsi="Arial" w:cs="Arial"/>
                <w:color w:val="auto"/>
                <w:sz w:val="17"/>
                <w:szCs w:val="17"/>
                <w:lang w:eastAsia="es-ES"/>
              </w:rPr>
              <w:t>Gestión Financiera</w:t>
            </w:r>
          </w:p>
        </w:tc>
        <w:tc>
          <w:tcPr>
            <w:tcW w:w="870" w:type="pct"/>
            <w:shd w:val="clear" w:color="auto" w:fill="FFFF00"/>
            <w:noWrap/>
            <w:vAlign w:val="center"/>
            <w:hideMark/>
          </w:tcPr>
          <w:p w14:paraId="01CFC407" w14:textId="77777777" w:rsidR="008E62F3" w:rsidRPr="004D14C7" w:rsidRDefault="008E62F3" w:rsidP="004D14C7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 w:val="17"/>
                <w:szCs w:val="17"/>
                <w:lang w:eastAsia="es-ES"/>
              </w:rPr>
            </w:pPr>
            <w:r w:rsidRPr="004D14C7">
              <w:rPr>
                <w:rFonts w:ascii="Arial" w:eastAsia="Times New Roman" w:hAnsi="Arial" w:cs="Arial"/>
                <w:color w:val="auto"/>
                <w:sz w:val="17"/>
                <w:szCs w:val="17"/>
                <w:lang w:eastAsia="es-ES"/>
              </w:rPr>
              <w:t>MODERADO</w:t>
            </w:r>
          </w:p>
        </w:tc>
      </w:tr>
      <w:tr w:rsidR="008E62F3" w:rsidRPr="004D14C7" w14:paraId="3F70880A" w14:textId="77777777" w:rsidTr="004D14C7">
        <w:tc>
          <w:tcPr>
            <w:tcW w:w="2643" w:type="pct"/>
            <w:vAlign w:val="center"/>
            <w:hideMark/>
          </w:tcPr>
          <w:p w14:paraId="02E8D1F2" w14:textId="77777777" w:rsidR="008E62F3" w:rsidRPr="00057F94" w:rsidRDefault="008E62F3" w:rsidP="004D14C7">
            <w:pPr>
              <w:widowControl/>
              <w:suppressAutoHyphens w:val="0"/>
              <w:spacing w:line="240" w:lineRule="auto"/>
              <w:jc w:val="both"/>
              <w:rPr>
                <w:rFonts w:ascii="Arial" w:eastAsia="Times New Roman" w:hAnsi="Arial" w:cs="Arial"/>
                <w:color w:val="auto"/>
                <w:sz w:val="17"/>
                <w:szCs w:val="17"/>
                <w:lang w:eastAsia="es-ES"/>
              </w:rPr>
            </w:pPr>
            <w:r w:rsidRPr="00057F94">
              <w:rPr>
                <w:rFonts w:ascii="Arial" w:eastAsia="Times New Roman" w:hAnsi="Arial" w:cs="Arial"/>
                <w:color w:val="auto"/>
                <w:sz w:val="17"/>
                <w:szCs w:val="17"/>
                <w:lang w:eastAsia="es-ES"/>
              </w:rPr>
              <w:t>Divulgación inadecuada del patrimonio  de la ciudad</w:t>
            </w:r>
          </w:p>
        </w:tc>
        <w:tc>
          <w:tcPr>
            <w:tcW w:w="1487" w:type="pct"/>
            <w:vAlign w:val="center"/>
            <w:hideMark/>
          </w:tcPr>
          <w:p w14:paraId="38CAECDC" w14:textId="77777777" w:rsidR="008E62F3" w:rsidRPr="004D14C7" w:rsidRDefault="008E62F3" w:rsidP="004D14C7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 w:val="17"/>
                <w:szCs w:val="17"/>
                <w:lang w:eastAsia="es-ES"/>
              </w:rPr>
            </w:pPr>
            <w:r w:rsidRPr="004D14C7">
              <w:rPr>
                <w:rFonts w:ascii="Arial" w:eastAsia="Times New Roman" w:hAnsi="Arial" w:cs="Arial"/>
                <w:color w:val="auto"/>
                <w:sz w:val="17"/>
                <w:szCs w:val="17"/>
                <w:lang w:eastAsia="es-ES"/>
              </w:rPr>
              <w:t>Comunicación Estratégica</w:t>
            </w:r>
          </w:p>
        </w:tc>
        <w:tc>
          <w:tcPr>
            <w:tcW w:w="870" w:type="pct"/>
            <w:shd w:val="clear" w:color="auto" w:fill="FFFF00"/>
            <w:noWrap/>
            <w:vAlign w:val="center"/>
            <w:hideMark/>
          </w:tcPr>
          <w:p w14:paraId="5BED7363" w14:textId="77777777" w:rsidR="008E62F3" w:rsidRPr="004D14C7" w:rsidRDefault="008E62F3" w:rsidP="004D14C7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 w:val="17"/>
                <w:szCs w:val="17"/>
                <w:lang w:eastAsia="es-ES"/>
              </w:rPr>
            </w:pPr>
            <w:r w:rsidRPr="004D14C7">
              <w:rPr>
                <w:rFonts w:ascii="Arial" w:eastAsia="Times New Roman" w:hAnsi="Arial" w:cs="Arial"/>
                <w:color w:val="auto"/>
                <w:sz w:val="17"/>
                <w:szCs w:val="17"/>
                <w:lang w:eastAsia="es-ES"/>
              </w:rPr>
              <w:t>MODERADO</w:t>
            </w:r>
          </w:p>
        </w:tc>
      </w:tr>
      <w:tr w:rsidR="008E62F3" w:rsidRPr="004D14C7" w14:paraId="3033ADBF" w14:textId="77777777" w:rsidTr="004D14C7">
        <w:tc>
          <w:tcPr>
            <w:tcW w:w="2643" w:type="pct"/>
            <w:vAlign w:val="center"/>
            <w:hideMark/>
          </w:tcPr>
          <w:p w14:paraId="5B1FB0C3" w14:textId="65D1BD8A" w:rsidR="008E62F3" w:rsidRPr="004D14C7" w:rsidRDefault="008E62F3" w:rsidP="004D14C7">
            <w:pPr>
              <w:widowControl/>
              <w:suppressAutoHyphens w:val="0"/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r w:rsidRPr="004D14C7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>Inconsist</w:t>
            </w:r>
            <w:r w:rsidR="004234C3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>encias en el pago de la nómina</w:t>
            </w:r>
          </w:p>
        </w:tc>
        <w:tc>
          <w:tcPr>
            <w:tcW w:w="1487" w:type="pct"/>
            <w:vAlign w:val="center"/>
            <w:hideMark/>
          </w:tcPr>
          <w:p w14:paraId="69CD0D77" w14:textId="77777777" w:rsidR="008E62F3" w:rsidRPr="004D14C7" w:rsidRDefault="008E62F3" w:rsidP="004D14C7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 w:val="17"/>
                <w:szCs w:val="17"/>
                <w:lang w:eastAsia="es-ES"/>
              </w:rPr>
            </w:pPr>
            <w:r w:rsidRPr="004D14C7">
              <w:rPr>
                <w:rFonts w:ascii="Arial" w:eastAsia="Times New Roman" w:hAnsi="Arial" w:cs="Arial"/>
                <w:color w:val="auto"/>
                <w:sz w:val="17"/>
                <w:szCs w:val="17"/>
                <w:lang w:eastAsia="es-ES"/>
              </w:rPr>
              <w:t>Gestión del Talento Humano</w:t>
            </w:r>
          </w:p>
        </w:tc>
        <w:tc>
          <w:tcPr>
            <w:tcW w:w="870" w:type="pct"/>
            <w:shd w:val="clear" w:color="auto" w:fill="FFFF00"/>
            <w:noWrap/>
            <w:vAlign w:val="center"/>
            <w:hideMark/>
          </w:tcPr>
          <w:p w14:paraId="7A8A8C42" w14:textId="77777777" w:rsidR="008E62F3" w:rsidRPr="004D14C7" w:rsidRDefault="008E62F3" w:rsidP="004D14C7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 w:val="17"/>
                <w:szCs w:val="17"/>
                <w:lang w:eastAsia="es-ES"/>
              </w:rPr>
            </w:pPr>
            <w:r w:rsidRPr="004D14C7">
              <w:rPr>
                <w:rFonts w:ascii="Arial" w:eastAsia="Times New Roman" w:hAnsi="Arial" w:cs="Arial"/>
                <w:color w:val="auto"/>
                <w:sz w:val="17"/>
                <w:szCs w:val="17"/>
                <w:lang w:eastAsia="es-ES"/>
              </w:rPr>
              <w:t>MODERADO</w:t>
            </w:r>
          </w:p>
        </w:tc>
      </w:tr>
      <w:tr w:rsidR="008E62F3" w:rsidRPr="004D14C7" w14:paraId="5E6411AE" w14:textId="77777777" w:rsidTr="004D14C7">
        <w:tc>
          <w:tcPr>
            <w:tcW w:w="2643" w:type="pct"/>
            <w:vAlign w:val="center"/>
            <w:hideMark/>
          </w:tcPr>
          <w:p w14:paraId="499D5646" w14:textId="77777777" w:rsidR="008E62F3" w:rsidRPr="004D14C7" w:rsidRDefault="008E62F3" w:rsidP="004D14C7">
            <w:pPr>
              <w:widowControl/>
              <w:suppressAutoHyphens w:val="0"/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r w:rsidRPr="004D14C7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>Incumplimiento   en el pago de  los bienes y servicios que requiere la entidad</w:t>
            </w:r>
          </w:p>
        </w:tc>
        <w:tc>
          <w:tcPr>
            <w:tcW w:w="1487" w:type="pct"/>
            <w:vAlign w:val="center"/>
            <w:hideMark/>
          </w:tcPr>
          <w:p w14:paraId="340385C2" w14:textId="77777777" w:rsidR="008E62F3" w:rsidRPr="004D14C7" w:rsidRDefault="008E62F3" w:rsidP="004D14C7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 w:val="17"/>
                <w:szCs w:val="17"/>
                <w:lang w:eastAsia="es-ES"/>
              </w:rPr>
            </w:pPr>
            <w:r w:rsidRPr="004D14C7">
              <w:rPr>
                <w:rFonts w:ascii="Arial" w:eastAsia="Times New Roman" w:hAnsi="Arial" w:cs="Arial"/>
                <w:color w:val="auto"/>
                <w:sz w:val="17"/>
                <w:szCs w:val="17"/>
                <w:lang w:eastAsia="es-ES"/>
              </w:rPr>
              <w:t>Gestión Financiera</w:t>
            </w:r>
          </w:p>
        </w:tc>
        <w:tc>
          <w:tcPr>
            <w:tcW w:w="870" w:type="pct"/>
            <w:shd w:val="clear" w:color="auto" w:fill="FFFF00"/>
            <w:noWrap/>
            <w:vAlign w:val="center"/>
            <w:hideMark/>
          </w:tcPr>
          <w:p w14:paraId="062F4483" w14:textId="77777777" w:rsidR="008E62F3" w:rsidRPr="004D14C7" w:rsidRDefault="008E62F3" w:rsidP="004D14C7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 w:val="17"/>
                <w:szCs w:val="17"/>
                <w:lang w:eastAsia="es-ES"/>
              </w:rPr>
            </w:pPr>
            <w:r w:rsidRPr="004D14C7">
              <w:rPr>
                <w:rFonts w:ascii="Arial" w:eastAsia="Times New Roman" w:hAnsi="Arial" w:cs="Arial"/>
                <w:color w:val="auto"/>
                <w:sz w:val="17"/>
                <w:szCs w:val="17"/>
                <w:lang w:eastAsia="es-ES"/>
              </w:rPr>
              <w:t>MODERADO</w:t>
            </w:r>
          </w:p>
        </w:tc>
      </w:tr>
      <w:tr w:rsidR="008E62F3" w:rsidRPr="004D14C7" w14:paraId="2C864C16" w14:textId="77777777" w:rsidTr="004D14C7">
        <w:trPr>
          <w:trHeight w:val="70"/>
        </w:trPr>
        <w:tc>
          <w:tcPr>
            <w:tcW w:w="2643" w:type="pct"/>
            <w:vAlign w:val="center"/>
            <w:hideMark/>
          </w:tcPr>
          <w:p w14:paraId="400733FA" w14:textId="77777777" w:rsidR="008E62F3" w:rsidRPr="004D14C7" w:rsidRDefault="008E62F3" w:rsidP="004D14C7">
            <w:pPr>
              <w:widowControl/>
              <w:suppressAutoHyphens w:val="0"/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r w:rsidRPr="004D14C7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>Incumplimiento del cronograma de exposiciones</w:t>
            </w:r>
          </w:p>
        </w:tc>
        <w:tc>
          <w:tcPr>
            <w:tcW w:w="1487" w:type="pct"/>
            <w:vAlign w:val="center"/>
            <w:hideMark/>
          </w:tcPr>
          <w:p w14:paraId="6F61C9A5" w14:textId="77777777" w:rsidR="008E62F3" w:rsidRPr="004D14C7" w:rsidRDefault="008E62F3" w:rsidP="004D14C7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 w:val="17"/>
                <w:szCs w:val="17"/>
                <w:lang w:eastAsia="es-ES"/>
              </w:rPr>
            </w:pPr>
            <w:r w:rsidRPr="004D14C7">
              <w:rPr>
                <w:rFonts w:ascii="Arial" w:eastAsia="Times New Roman" w:hAnsi="Arial" w:cs="Arial"/>
                <w:color w:val="auto"/>
                <w:sz w:val="17"/>
                <w:szCs w:val="17"/>
                <w:lang w:eastAsia="es-ES"/>
              </w:rPr>
              <w:t>Divulgación y Apropiación Social del Patrimonio</w:t>
            </w:r>
          </w:p>
        </w:tc>
        <w:tc>
          <w:tcPr>
            <w:tcW w:w="870" w:type="pct"/>
            <w:shd w:val="clear" w:color="auto" w:fill="FFFF00"/>
            <w:noWrap/>
            <w:vAlign w:val="center"/>
            <w:hideMark/>
          </w:tcPr>
          <w:p w14:paraId="1581B841" w14:textId="77777777" w:rsidR="008E62F3" w:rsidRPr="004D14C7" w:rsidRDefault="008E62F3" w:rsidP="004D14C7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 w:val="17"/>
                <w:szCs w:val="17"/>
                <w:lang w:eastAsia="es-ES"/>
              </w:rPr>
            </w:pPr>
            <w:r w:rsidRPr="004D14C7">
              <w:rPr>
                <w:rFonts w:ascii="Arial" w:eastAsia="Times New Roman" w:hAnsi="Arial" w:cs="Arial"/>
                <w:color w:val="auto"/>
                <w:sz w:val="17"/>
                <w:szCs w:val="17"/>
                <w:lang w:eastAsia="es-ES"/>
              </w:rPr>
              <w:t>MODERADO</w:t>
            </w:r>
          </w:p>
        </w:tc>
      </w:tr>
      <w:tr w:rsidR="008E62F3" w:rsidRPr="004D14C7" w14:paraId="60DFE23C" w14:textId="77777777" w:rsidTr="004D14C7">
        <w:tc>
          <w:tcPr>
            <w:tcW w:w="2643" w:type="pct"/>
            <w:vAlign w:val="center"/>
            <w:hideMark/>
          </w:tcPr>
          <w:p w14:paraId="3721C3DB" w14:textId="77777777" w:rsidR="008E62F3" w:rsidRPr="004D14C7" w:rsidRDefault="008E62F3" w:rsidP="004D14C7">
            <w:pPr>
              <w:widowControl/>
              <w:suppressAutoHyphens w:val="0"/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r w:rsidRPr="004D14C7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 xml:space="preserve">Incumplimiento en los parámetros establecidos en el SIG-MIPG </w:t>
            </w:r>
          </w:p>
        </w:tc>
        <w:tc>
          <w:tcPr>
            <w:tcW w:w="1487" w:type="pct"/>
            <w:vAlign w:val="center"/>
            <w:hideMark/>
          </w:tcPr>
          <w:p w14:paraId="25637690" w14:textId="77777777" w:rsidR="008E62F3" w:rsidRPr="004D14C7" w:rsidRDefault="008E62F3" w:rsidP="004D14C7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 w:val="17"/>
                <w:szCs w:val="17"/>
                <w:lang w:eastAsia="es-ES"/>
              </w:rPr>
            </w:pPr>
            <w:r w:rsidRPr="004D14C7">
              <w:rPr>
                <w:rFonts w:ascii="Arial" w:eastAsia="Times New Roman" w:hAnsi="Arial" w:cs="Arial"/>
                <w:color w:val="auto"/>
                <w:sz w:val="17"/>
                <w:szCs w:val="17"/>
                <w:lang w:eastAsia="es-ES"/>
              </w:rPr>
              <w:t>Gestión Financiera</w:t>
            </w:r>
          </w:p>
        </w:tc>
        <w:tc>
          <w:tcPr>
            <w:tcW w:w="870" w:type="pct"/>
            <w:shd w:val="clear" w:color="auto" w:fill="FFFF00"/>
            <w:noWrap/>
            <w:vAlign w:val="center"/>
            <w:hideMark/>
          </w:tcPr>
          <w:p w14:paraId="73C82928" w14:textId="77777777" w:rsidR="008E62F3" w:rsidRPr="004D14C7" w:rsidRDefault="008E62F3" w:rsidP="004D14C7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 w:val="17"/>
                <w:szCs w:val="17"/>
                <w:lang w:eastAsia="es-ES"/>
              </w:rPr>
            </w:pPr>
            <w:r w:rsidRPr="004D14C7">
              <w:rPr>
                <w:rFonts w:ascii="Arial" w:eastAsia="Times New Roman" w:hAnsi="Arial" w:cs="Arial"/>
                <w:color w:val="auto"/>
                <w:sz w:val="17"/>
                <w:szCs w:val="17"/>
                <w:lang w:eastAsia="es-ES"/>
              </w:rPr>
              <w:t>MODERADO</w:t>
            </w:r>
          </w:p>
        </w:tc>
      </w:tr>
      <w:tr w:rsidR="008E62F3" w:rsidRPr="004D14C7" w14:paraId="3FF95C01" w14:textId="77777777" w:rsidTr="004D14C7">
        <w:tc>
          <w:tcPr>
            <w:tcW w:w="2643" w:type="pct"/>
            <w:vAlign w:val="center"/>
            <w:hideMark/>
          </w:tcPr>
          <w:p w14:paraId="07F6F7A2" w14:textId="77777777" w:rsidR="008E62F3" w:rsidRPr="004D14C7" w:rsidRDefault="008E62F3" w:rsidP="004D14C7">
            <w:pPr>
              <w:widowControl/>
              <w:suppressAutoHyphens w:val="0"/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r w:rsidRPr="004D14C7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>Información financiera con inconsistencias</w:t>
            </w:r>
          </w:p>
        </w:tc>
        <w:tc>
          <w:tcPr>
            <w:tcW w:w="1487" w:type="pct"/>
            <w:vAlign w:val="center"/>
            <w:hideMark/>
          </w:tcPr>
          <w:p w14:paraId="2886C18B" w14:textId="77777777" w:rsidR="008E62F3" w:rsidRPr="004D14C7" w:rsidRDefault="008E62F3" w:rsidP="004D14C7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 w:val="17"/>
                <w:szCs w:val="17"/>
                <w:lang w:eastAsia="es-ES"/>
              </w:rPr>
            </w:pPr>
            <w:r w:rsidRPr="004D14C7">
              <w:rPr>
                <w:rFonts w:ascii="Arial" w:eastAsia="Times New Roman" w:hAnsi="Arial" w:cs="Arial"/>
                <w:color w:val="auto"/>
                <w:sz w:val="17"/>
                <w:szCs w:val="17"/>
                <w:lang w:eastAsia="es-ES"/>
              </w:rPr>
              <w:t>Gestión Financiera</w:t>
            </w:r>
          </w:p>
        </w:tc>
        <w:tc>
          <w:tcPr>
            <w:tcW w:w="870" w:type="pct"/>
            <w:shd w:val="clear" w:color="auto" w:fill="FFFF00"/>
            <w:noWrap/>
            <w:vAlign w:val="center"/>
            <w:hideMark/>
          </w:tcPr>
          <w:p w14:paraId="54BBB41B" w14:textId="77777777" w:rsidR="008E62F3" w:rsidRPr="004D14C7" w:rsidRDefault="008E62F3" w:rsidP="004D14C7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 w:val="17"/>
                <w:szCs w:val="17"/>
                <w:lang w:eastAsia="es-ES"/>
              </w:rPr>
            </w:pPr>
            <w:r w:rsidRPr="004D14C7">
              <w:rPr>
                <w:rFonts w:ascii="Arial" w:eastAsia="Times New Roman" w:hAnsi="Arial" w:cs="Arial"/>
                <w:color w:val="auto"/>
                <w:sz w:val="17"/>
                <w:szCs w:val="17"/>
                <w:lang w:eastAsia="es-ES"/>
              </w:rPr>
              <w:t>MODERADO</w:t>
            </w:r>
          </w:p>
        </w:tc>
      </w:tr>
      <w:tr w:rsidR="008E62F3" w:rsidRPr="004D14C7" w14:paraId="172956A1" w14:textId="77777777" w:rsidTr="004D14C7">
        <w:tc>
          <w:tcPr>
            <w:tcW w:w="2643" w:type="pct"/>
            <w:vAlign w:val="center"/>
            <w:hideMark/>
          </w:tcPr>
          <w:p w14:paraId="5C4B774A" w14:textId="77777777" w:rsidR="008E62F3" w:rsidRPr="004D14C7" w:rsidRDefault="008E62F3" w:rsidP="004D14C7">
            <w:pPr>
              <w:widowControl/>
              <w:suppressAutoHyphens w:val="0"/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r w:rsidRPr="004D14C7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>Uso de imágenes o material audiovisual sin contar con los derechos de uso y reproducción</w:t>
            </w:r>
          </w:p>
        </w:tc>
        <w:tc>
          <w:tcPr>
            <w:tcW w:w="1487" w:type="pct"/>
            <w:vAlign w:val="center"/>
            <w:hideMark/>
          </w:tcPr>
          <w:p w14:paraId="562C456C" w14:textId="77777777" w:rsidR="008E62F3" w:rsidRPr="004D14C7" w:rsidRDefault="008E62F3" w:rsidP="004D14C7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 w:val="17"/>
                <w:szCs w:val="17"/>
                <w:lang w:eastAsia="es-ES"/>
              </w:rPr>
            </w:pPr>
            <w:r w:rsidRPr="004D14C7">
              <w:rPr>
                <w:rFonts w:ascii="Arial" w:eastAsia="Times New Roman" w:hAnsi="Arial" w:cs="Arial"/>
                <w:color w:val="auto"/>
                <w:sz w:val="17"/>
                <w:szCs w:val="17"/>
                <w:lang w:eastAsia="es-ES"/>
              </w:rPr>
              <w:t>Divulgación y Apropiación Social del Patrimonio</w:t>
            </w:r>
          </w:p>
        </w:tc>
        <w:tc>
          <w:tcPr>
            <w:tcW w:w="870" w:type="pct"/>
            <w:shd w:val="clear" w:color="auto" w:fill="FFFF00"/>
            <w:noWrap/>
            <w:vAlign w:val="center"/>
            <w:hideMark/>
          </w:tcPr>
          <w:p w14:paraId="7B701D84" w14:textId="77777777" w:rsidR="008E62F3" w:rsidRPr="004D14C7" w:rsidRDefault="008E62F3" w:rsidP="004D14C7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 w:val="17"/>
                <w:szCs w:val="17"/>
                <w:lang w:eastAsia="es-ES"/>
              </w:rPr>
            </w:pPr>
            <w:r w:rsidRPr="004D14C7">
              <w:rPr>
                <w:rFonts w:ascii="Arial" w:eastAsia="Times New Roman" w:hAnsi="Arial" w:cs="Arial"/>
                <w:color w:val="auto"/>
                <w:sz w:val="17"/>
                <w:szCs w:val="17"/>
                <w:lang w:eastAsia="es-ES"/>
              </w:rPr>
              <w:t>MODERADO</w:t>
            </w:r>
          </w:p>
        </w:tc>
      </w:tr>
      <w:tr w:rsidR="008E62F3" w:rsidRPr="004D14C7" w14:paraId="0594124B" w14:textId="77777777" w:rsidTr="004D14C7">
        <w:tc>
          <w:tcPr>
            <w:tcW w:w="2643" w:type="pct"/>
            <w:vAlign w:val="center"/>
            <w:hideMark/>
          </w:tcPr>
          <w:p w14:paraId="27ED13C4" w14:textId="77777777" w:rsidR="008E62F3" w:rsidRPr="004D14C7" w:rsidRDefault="008E62F3" w:rsidP="004D14C7">
            <w:pPr>
              <w:widowControl/>
              <w:suppressAutoHyphens w:val="0"/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r w:rsidRPr="004D14C7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>Declaratoria de desierto de las convocatorias ofertadas a través del Programa de Estímulos del IDPC</w:t>
            </w:r>
          </w:p>
        </w:tc>
        <w:tc>
          <w:tcPr>
            <w:tcW w:w="1487" w:type="pct"/>
            <w:vAlign w:val="center"/>
            <w:hideMark/>
          </w:tcPr>
          <w:p w14:paraId="4D1BFF4C" w14:textId="77777777" w:rsidR="008E62F3" w:rsidRPr="004D14C7" w:rsidRDefault="008E62F3" w:rsidP="004D14C7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 w:val="17"/>
                <w:szCs w:val="17"/>
                <w:lang w:eastAsia="es-ES"/>
              </w:rPr>
            </w:pPr>
            <w:r w:rsidRPr="004D14C7">
              <w:rPr>
                <w:rFonts w:ascii="Arial" w:eastAsia="Times New Roman" w:hAnsi="Arial" w:cs="Arial"/>
                <w:color w:val="auto"/>
                <w:sz w:val="17"/>
                <w:szCs w:val="17"/>
                <w:lang w:eastAsia="es-ES"/>
              </w:rPr>
              <w:t>Divulgación y Apropiación Social del Patrimonio</w:t>
            </w:r>
          </w:p>
        </w:tc>
        <w:tc>
          <w:tcPr>
            <w:tcW w:w="870" w:type="pct"/>
            <w:shd w:val="clear" w:color="auto" w:fill="FFFF00"/>
            <w:noWrap/>
            <w:vAlign w:val="center"/>
            <w:hideMark/>
          </w:tcPr>
          <w:p w14:paraId="461DF02F" w14:textId="77777777" w:rsidR="008E62F3" w:rsidRPr="004D14C7" w:rsidRDefault="008E62F3" w:rsidP="004D14C7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 w:val="17"/>
                <w:szCs w:val="17"/>
                <w:lang w:eastAsia="es-ES"/>
              </w:rPr>
            </w:pPr>
            <w:r w:rsidRPr="004D14C7">
              <w:rPr>
                <w:rFonts w:ascii="Arial" w:eastAsia="Times New Roman" w:hAnsi="Arial" w:cs="Arial"/>
                <w:color w:val="auto"/>
                <w:sz w:val="17"/>
                <w:szCs w:val="17"/>
                <w:lang w:eastAsia="es-ES"/>
              </w:rPr>
              <w:t>MODERADO</w:t>
            </w:r>
          </w:p>
        </w:tc>
      </w:tr>
      <w:tr w:rsidR="008E62F3" w:rsidRPr="004D14C7" w14:paraId="5CE615D2" w14:textId="77777777" w:rsidTr="004D14C7">
        <w:tc>
          <w:tcPr>
            <w:tcW w:w="2643" w:type="pct"/>
            <w:vAlign w:val="center"/>
            <w:hideMark/>
          </w:tcPr>
          <w:p w14:paraId="1C8E8B35" w14:textId="23096B82" w:rsidR="008E62F3" w:rsidRPr="004D14C7" w:rsidRDefault="008E62F3" w:rsidP="004234C3">
            <w:pPr>
              <w:widowControl/>
              <w:suppressAutoHyphens w:val="0"/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r w:rsidRPr="004D14C7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>Deterioro o p</w:t>
            </w:r>
            <w:r w:rsidR="004234C3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>é</w:t>
            </w:r>
            <w:r w:rsidRPr="004D14C7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 xml:space="preserve">rdida de los valores patrimoniales de un Bien de Interés Cultural </w:t>
            </w:r>
            <w:r w:rsidR="004234C3" w:rsidRPr="004D14C7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>declarado o potencial</w:t>
            </w:r>
          </w:p>
        </w:tc>
        <w:tc>
          <w:tcPr>
            <w:tcW w:w="1487" w:type="pct"/>
            <w:vAlign w:val="center"/>
            <w:hideMark/>
          </w:tcPr>
          <w:p w14:paraId="237F406E" w14:textId="77777777" w:rsidR="008E62F3" w:rsidRPr="004D14C7" w:rsidRDefault="008E62F3" w:rsidP="004D14C7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 w:val="17"/>
                <w:szCs w:val="17"/>
                <w:lang w:eastAsia="es-ES"/>
              </w:rPr>
            </w:pPr>
            <w:r w:rsidRPr="004D14C7">
              <w:rPr>
                <w:rFonts w:ascii="Arial" w:eastAsia="Times New Roman" w:hAnsi="Arial" w:cs="Arial"/>
                <w:color w:val="auto"/>
                <w:sz w:val="17"/>
                <w:szCs w:val="17"/>
                <w:lang w:eastAsia="es-ES"/>
              </w:rPr>
              <w:t>Protección e Intervención del Patrimonio</w:t>
            </w:r>
          </w:p>
        </w:tc>
        <w:tc>
          <w:tcPr>
            <w:tcW w:w="870" w:type="pct"/>
            <w:shd w:val="clear" w:color="auto" w:fill="FFFF00"/>
            <w:noWrap/>
            <w:vAlign w:val="center"/>
            <w:hideMark/>
          </w:tcPr>
          <w:p w14:paraId="63D77D12" w14:textId="77777777" w:rsidR="008E62F3" w:rsidRPr="004D14C7" w:rsidRDefault="008E62F3" w:rsidP="004D14C7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 w:val="17"/>
                <w:szCs w:val="17"/>
                <w:lang w:eastAsia="es-ES"/>
              </w:rPr>
            </w:pPr>
            <w:r w:rsidRPr="004D14C7">
              <w:rPr>
                <w:rFonts w:ascii="Arial" w:eastAsia="Times New Roman" w:hAnsi="Arial" w:cs="Arial"/>
                <w:color w:val="auto"/>
                <w:sz w:val="17"/>
                <w:szCs w:val="17"/>
                <w:lang w:eastAsia="es-ES"/>
              </w:rPr>
              <w:t>MODERADO</w:t>
            </w:r>
          </w:p>
        </w:tc>
      </w:tr>
      <w:tr w:rsidR="008E62F3" w:rsidRPr="004D14C7" w14:paraId="287807A9" w14:textId="77777777" w:rsidTr="004D14C7">
        <w:tc>
          <w:tcPr>
            <w:tcW w:w="2643" w:type="pct"/>
            <w:vAlign w:val="center"/>
            <w:hideMark/>
          </w:tcPr>
          <w:p w14:paraId="01E003EB" w14:textId="77777777" w:rsidR="008E62F3" w:rsidRPr="004D14C7" w:rsidRDefault="008E62F3" w:rsidP="004D14C7">
            <w:pPr>
              <w:widowControl/>
              <w:suppressAutoHyphens w:val="0"/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r w:rsidRPr="004D14C7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>Aprobar estudios sin el cumplimiento debido de los requisitos y conforme a la normatividad vigente</w:t>
            </w:r>
          </w:p>
        </w:tc>
        <w:tc>
          <w:tcPr>
            <w:tcW w:w="1487" w:type="pct"/>
            <w:vAlign w:val="center"/>
            <w:hideMark/>
          </w:tcPr>
          <w:p w14:paraId="0A02EDB2" w14:textId="77777777" w:rsidR="008E62F3" w:rsidRPr="004D14C7" w:rsidRDefault="008E62F3" w:rsidP="004D14C7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 w:val="17"/>
                <w:szCs w:val="17"/>
                <w:lang w:eastAsia="es-ES"/>
              </w:rPr>
            </w:pPr>
            <w:r w:rsidRPr="004D14C7">
              <w:rPr>
                <w:rFonts w:ascii="Arial" w:eastAsia="Times New Roman" w:hAnsi="Arial" w:cs="Arial"/>
                <w:color w:val="auto"/>
                <w:sz w:val="17"/>
                <w:szCs w:val="17"/>
                <w:lang w:eastAsia="es-ES"/>
              </w:rPr>
              <w:t>Protección e Intervención del Patrimonio</w:t>
            </w:r>
          </w:p>
        </w:tc>
        <w:tc>
          <w:tcPr>
            <w:tcW w:w="870" w:type="pct"/>
            <w:shd w:val="clear" w:color="auto" w:fill="70AD47" w:themeFill="accent6"/>
            <w:noWrap/>
            <w:vAlign w:val="center"/>
            <w:hideMark/>
          </w:tcPr>
          <w:p w14:paraId="2D65764C" w14:textId="77777777" w:rsidR="008E62F3" w:rsidRPr="004D14C7" w:rsidRDefault="008E62F3" w:rsidP="004D14C7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r w:rsidRPr="004D14C7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>BAJO</w:t>
            </w:r>
          </w:p>
        </w:tc>
      </w:tr>
      <w:tr w:rsidR="008E62F3" w:rsidRPr="004D14C7" w14:paraId="07055251" w14:textId="77777777" w:rsidTr="004D14C7">
        <w:tc>
          <w:tcPr>
            <w:tcW w:w="2643" w:type="pct"/>
            <w:vAlign w:val="center"/>
            <w:hideMark/>
          </w:tcPr>
          <w:p w14:paraId="1FCAA29E" w14:textId="77777777" w:rsidR="008E62F3" w:rsidRPr="004D14C7" w:rsidRDefault="008E62F3" w:rsidP="004D14C7">
            <w:pPr>
              <w:widowControl/>
              <w:suppressAutoHyphens w:val="0"/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r w:rsidRPr="004D14C7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>Asesoría inadecuada a los procesos en temas del SIG</w:t>
            </w:r>
          </w:p>
        </w:tc>
        <w:tc>
          <w:tcPr>
            <w:tcW w:w="1487" w:type="pct"/>
            <w:vAlign w:val="center"/>
            <w:hideMark/>
          </w:tcPr>
          <w:p w14:paraId="3BCD5CC8" w14:textId="77777777" w:rsidR="008E62F3" w:rsidRPr="004D14C7" w:rsidRDefault="008E62F3" w:rsidP="004D14C7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 w:val="17"/>
                <w:szCs w:val="17"/>
                <w:lang w:eastAsia="es-ES"/>
              </w:rPr>
            </w:pPr>
            <w:r w:rsidRPr="004D14C7">
              <w:rPr>
                <w:rFonts w:ascii="Arial" w:eastAsia="Times New Roman" w:hAnsi="Arial" w:cs="Arial"/>
                <w:color w:val="auto"/>
                <w:sz w:val="17"/>
                <w:szCs w:val="17"/>
                <w:lang w:eastAsia="es-ES"/>
              </w:rPr>
              <w:t>Fortalecimiento del SIG</w:t>
            </w:r>
          </w:p>
        </w:tc>
        <w:tc>
          <w:tcPr>
            <w:tcW w:w="870" w:type="pct"/>
            <w:shd w:val="clear" w:color="auto" w:fill="70AD47" w:themeFill="accent6"/>
            <w:noWrap/>
            <w:vAlign w:val="center"/>
            <w:hideMark/>
          </w:tcPr>
          <w:p w14:paraId="506D2A87" w14:textId="77777777" w:rsidR="008E62F3" w:rsidRPr="004D14C7" w:rsidRDefault="008E62F3" w:rsidP="004D14C7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r w:rsidRPr="004D14C7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>BAJO</w:t>
            </w:r>
          </w:p>
        </w:tc>
      </w:tr>
      <w:tr w:rsidR="008E62F3" w:rsidRPr="004D14C7" w14:paraId="6A91D9B2" w14:textId="77777777" w:rsidTr="004D14C7">
        <w:tc>
          <w:tcPr>
            <w:tcW w:w="2643" w:type="pct"/>
            <w:vAlign w:val="center"/>
            <w:hideMark/>
          </w:tcPr>
          <w:p w14:paraId="723395A9" w14:textId="09891320" w:rsidR="008E62F3" w:rsidRPr="004D14C7" w:rsidRDefault="004234C3" w:rsidP="004D14C7">
            <w:pPr>
              <w:widowControl/>
              <w:suppressAutoHyphens w:val="0"/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>Bajo</w:t>
            </w:r>
            <w:r w:rsidR="008E62F3" w:rsidRPr="004D14C7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 xml:space="preserve"> nivel de asistencia a las actividades educativas y culturales del Museo de Bogotá</w:t>
            </w:r>
          </w:p>
        </w:tc>
        <w:tc>
          <w:tcPr>
            <w:tcW w:w="1487" w:type="pct"/>
            <w:vAlign w:val="center"/>
            <w:hideMark/>
          </w:tcPr>
          <w:p w14:paraId="400162FD" w14:textId="77777777" w:rsidR="008E62F3" w:rsidRPr="004D14C7" w:rsidRDefault="008E62F3" w:rsidP="004D14C7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 w:val="17"/>
                <w:szCs w:val="17"/>
                <w:lang w:eastAsia="es-ES"/>
              </w:rPr>
            </w:pPr>
            <w:r w:rsidRPr="004D14C7">
              <w:rPr>
                <w:rFonts w:ascii="Arial" w:eastAsia="Times New Roman" w:hAnsi="Arial" w:cs="Arial"/>
                <w:color w:val="auto"/>
                <w:sz w:val="17"/>
                <w:szCs w:val="17"/>
                <w:lang w:eastAsia="es-ES"/>
              </w:rPr>
              <w:t>Divulgación y Apropiación  Social del Patrimonio</w:t>
            </w:r>
          </w:p>
        </w:tc>
        <w:tc>
          <w:tcPr>
            <w:tcW w:w="870" w:type="pct"/>
            <w:shd w:val="clear" w:color="auto" w:fill="70AD47" w:themeFill="accent6"/>
            <w:noWrap/>
            <w:vAlign w:val="center"/>
            <w:hideMark/>
          </w:tcPr>
          <w:p w14:paraId="103F61A6" w14:textId="77777777" w:rsidR="008E62F3" w:rsidRPr="004D14C7" w:rsidRDefault="008E62F3" w:rsidP="004D14C7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r w:rsidRPr="004D14C7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>BAJO</w:t>
            </w:r>
          </w:p>
        </w:tc>
      </w:tr>
      <w:tr w:rsidR="008E62F3" w:rsidRPr="004D14C7" w14:paraId="1E2456E4" w14:textId="77777777" w:rsidTr="004D14C7">
        <w:tc>
          <w:tcPr>
            <w:tcW w:w="2643" w:type="pct"/>
            <w:vAlign w:val="center"/>
            <w:hideMark/>
          </w:tcPr>
          <w:p w14:paraId="78596AEF" w14:textId="77777777" w:rsidR="008E62F3" w:rsidRPr="004D14C7" w:rsidRDefault="008E62F3" w:rsidP="004D14C7">
            <w:pPr>
              <w:widowControl/>
              <w:suppressAutoHyphens w:val="0"/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r w:rsidRPr="004D14C7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 xml:space="preserve">Deterioro de los Bienes de Interés Cultural del Distrito Capital </w:t>
            </w:r>
          </w:p>
        </w:tc>
        <w:tc>
          <w:tcPr>
            <w:tcW w:w="1487" w:type="pct"/>
            <w:vAlign w:val="center"/>
            <w:hideMark/>
          </w:tcPr>
          <w:p w14:paraId="19685AE6" w14:textId="77777777" w:rsidR="008E62F3" w:rsidRPr="004D14C7" w:rsidRDefault="008E62F3" w:rsidP="004D14C7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 w:val="17"/>
                <w:szCs w:val="17"/>
                <w:lang w:eastAsia="es-ES"/>
              </w:rPr>
            </w:pPr>
            <w:r w:rsidRPr="004D14C7">
              <w:rPr>
                <w:rFonts w:ascii="Arial" w:eastAsia="Times New Roman" w:hAnsi="Arial" w:cs="Arial"/>
                <w:color w:val="auto"/>
                <w:sz w:val="17"/>
                <w:szCs w:val="17"/>
                <w:lang w:eastAsia="es-ES"/>
              </w:rPr>
              <w:t>Protección e Intervención del Patrimonio</w:t>
            </w:r>
          </w:p>
        </w:tc>
        <w:tc>
          <w:tcPr>
            <w:tcW w:w="870" w:type="pct"/>
            <w:shd w:val="clear" w:color="auto" w:fill="70AD47" w:themeFill="accent6"/>
            <w:noWrap/>
            <w:vAlign w:val="center"/>
            <w:hideMark/>
          </w:tcPr>
          <w:p w14:paraId="5373D7A2" w14:textId="77777777" w:rsidR="008E62F3" w:rsidRPr="004D14C7" w:rsidRDefault="008E62F3" w:rsidP="004D14C7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r w:rsidRPr="004D14C7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>BAJO</w:t>
            </w:r>
          </w:p>
        </w:tc>
      </w:tr>
      <w:tr w:rsidR="008E62F3" w:rsidRPr="004D14C7" w14:paraId="1C9EA426" w14:textId="77777777" w:rsidTr="004D14C7">
        <w:tc>
          <w:tcPr>
            <w:tcW w:w="2643" w:type="pct"/>
            <w:vAlign w:val="center"/>
            <w:hideMark/>
          </w:tcPr>
          <w:p w14:paraId="73263806" w14:textId="65712AAD" w:rsidR="008E62F3" w:rsidRPr="004D14C7" w:rsidRDefault="008E62F3" w:rsidP="004D14C7">
            <w:pPr>
              <w:widowControl/>
              <w:suppressAutoHyphens w:val="0"/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r w:rsidRPr="004D14C7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>Errores o inconsistencias en estudios previos y expedie</w:t>
            </w:r>
            <w:r w:rsidR="004234C3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>ntes de la etapa precontractual</w:t>
            </w:r>
          </w:p>
        </w:tc>
        <w:tc>
          <w:tcPr>
            <w:tcW w:w="1487" w:type="pct"/>
            <w:vAlign w:val="center"/>
            <w:hideMark/>
          </w:tcPr>
          <w:p w14:paraId="1C403E29" w14:textId="77777777" w:rsidR="008E62F3" w:rsidRPr="004D14C7" w:rsidRDefault="008E62F3" w:rsidP="004D14C7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 w:val="17"/>
                <w:szCs w:val="17"/>
                <w:lang w:eastAsia="es-ES"/>
              </w:rPr>
            </w:pPr>
            <w:r w:rsidRPr="004D14C7">
              <w:rPr>
                <w:rFonts w:ascii="Arial" w:eastAsia="Times New Roman" w:hAnsi="Arial" w:cs="Arial"/>
                <w:color w:val="auto"/>
                <w:sz w:val="17"/>
                <w:szCs w:val="17"/>
                <w:lang w:eastAsia="es-ES"/>
              </w:rPr>
              <w:t>Gestión Contractual</w:t>
            </w:r>
          </w:p>
        </w:tc>
        <w:tc>
          <w:tcPr>
            <w:tcW w:w="870" w:type="pct"/>
            <w:shd w:val="clear" w:color="auto" w:fill="70AD47" w:themeFill="accent6"/>
            <w:noWrap/>
            <w:vAlign w:val="center"/>
            <w:hideMark/>
          </w:tcPr>
          <w:p w14:paraId="679D67A9" w14:textId="77777777" w:rsidR="008E62F3" w:rsidRPr="004D14C7" w:rsidRDefault="008E62F3" w:rsidP="004D14C7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r w:rsidRPr="004D14C7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>BAJO</w:t>
            </w:r>
          </w:p>
        </w:tc>
      </w:tr>
      <w:tr w:rsidR="008E62F3" w:rsidRPr="004D14C7" w14:paraId="30747F5B" w14:textId="77777777" w:rsidTr="004D14C7">
        <w:tc>
          <w:tcPr>
            <w:tcW w:w="2643" w:type="pct"/>
            <w:vAlign w:val="center"/>
            <w:hideMark/>
          </w:tcPr>
          <w:p w14:paraId="0D0C12E9" w14:textId="77777777" w:rsidR="008E62F3" w:rsidRPr="004D14C7" w:rsidRDefault="008E62F3" w:rsidP="004D14C7">
            <w:pPr>
              <w:widowControl/>
              <w:suppressAutoHyphens w:val="0"/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r w:rsidRPr="004D14C7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 xml:space="preserve">Incumpliendo en las respuestas </w:t>
            </w:r>
          </w:p>
        </w:tc>
        <w:tc>
          <w:tcPr>
            <w:tcW w:w="1487" w:type="pct"/>
            <w:vAlign w:val="center"/>
            <w:hideMark/>
          </w:tcPr>
          <w:p w14:paraId="233E249A" w14:textId="77777777" w:rsidR="008E62F3" w:rsidRPr="004D14C7" w:rsidRDefault="008E62F3" w:rsidP="004D14C7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 w:val="17"/>
                <w:szCs w:val="17"/>
                <w:lang w:eastAsia="es-ES"/>
              </w:rPr>
            </w:pPr>
            <w:r w:rsidRPr="004D14C7">
              <w:rPr>
                <w:rFonts w:ascii="Arial" w:eastAsia="Times New Roman" w:hAnsi="Arial" w:cs="Arial"/>
                <w:color w:val="auto"/>
                <w:sz w:val="17"/>
                <w:szCs w:val="17"/>
                <w:lang w:eastAsia="es-ES"/>
              </w:rPr>
              <w:t>Control Interno Disciplinario</w:t>
            </w:r>
          </w:p>
        </w:tc>
        <w:tc>
          <w:tcPr>
            <w:tcW w:w="870" w:type="pct"/>
            <w:shd w:val="clear" w:color="auto" w:fill="70AD47" w:themeFill="accent6"/>
            <w:noWrap/>
            <w:vAlign w:val="center"/>
            <w:hideMark/>
          </w:tcPr>
          <w:p w14:paraId="220EE504" w14:textId="77777777" w:rsidR="008E62F3" w:rsidRPr="004D14C7" w:rsidRDefault="008E62F3" w:rsidP="004D14C7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r w:rsidRPr="004D14C7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>BAJO</w:t>
            </w:r>
          </w:p>
        </w:tc>
      </w:tr>
      <w:tr w:rsidR="008E62F3" w:rsidRPr="004D14C7" w14:paraId="10C9EA67" w14:textId="77777777" w:rsidTr="004D14C7">
        <w:tc>
          <w:tcPr>
            <w:tcW w:w="2643" w:type="pct"/>
            <w:vAlign w:val="center"/>
            <w:hideMark/>
          </w:tcPr>
          <w:p w14:paraId="004682AE" w14:textId="77777777" w:rsidR="008E62F3" w:rsidRPr="004D14C7" w:rsidRDefault="008E62F3" w:rsidP="004D14C7">
            <w:pPr>
              <w:widowControl/>
              <w:suppressAutoHyphens w:val="0"/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r w:rsidRPr="004D14C7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lastRenderedPageBreak/>
              <w:t>Incumplimiento del término establecido en el contrato para liquidar</w:t>
            </w:r>
          </w:p>
        </w:tc>
        <w:tc>
          <w:tcPr>
            <w:tcW w:w="1487" w:type="pct"/>
            <w:vAlign w:val="center"/>
            <w:hideMark/>
          </w:tcPr>
          <w:p w14:paraId="2C0FFEAA" w14:textId="77777777" w:rsidR="008E62F3" w:rsidRPr="004D14C7" w:rsidRDefault="008E62F3" w:rsidP="004D14C7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 w:val="17"/>
                <w:szCs w:val="17"/>
                <w:lang w:eastAsia="es-ES"/>
              </w:rPr>
            </w:pPr>
            <w:r w:rsidRPr="004D14C7">
              <w:rPr>
                <w:rFonts w:ascii="Arial" w:eastAsia="Times New Roman" w:hAnsi="Arial" w:cs="Arial"/>
                <w:color w:val="auto"/>
                <w:sz w:val="17"/>
                <w:szCs w:val="17"/>
                <w:lang w:eastAsia="es-ES"/>
              </w:rPr>
              <w:t>Gestión Contractual</w:t>
            </w:r>
          </w:p>
        </w:tc>
        <w:tc>
          <w:tcPr>
            <w:tcW w:w="870" w:type="pct"/>
            <w:shd w:val="clear" w:color="auto" w:fill="70AD47" w:themeFill="accent6"/>
            <w:noWrap/>
            <w:vAlign w:val="center"/>
            <w:hideMark/>
          </w:tcPr>
          <w:p w14:paraId="7CA99519" w14:textId="77777777" w:rsidR="008E62F3" w:rsidRPr="004D14C7" w:rsidRDefault="008E62F3" w:rsidP="004D14C7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r w:rsidRPr="004D14C7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>BAJO</w:t>
            </w:r>
          </w:p>
        </w:tc>
      </w:tr>
      <w:tr w:rsidR="008E62F3" w:rsidRPr="004D14C7" w14:paraId="196BFC98" w14:textId="77777777" w:rsidTr="004D14C7">
        <w:tc>
          <w:tcPr>
            <w:tcW w:w="2643" w:type="pct"/>
            <w:vAlign w:val="center"/>
            <w:hideMark/>
          </w:tcPr>
          <w:p w14:paraId="2D3230E2" w14:textId="32AA2157" w:rsidR="008E62F3" w:rsidRPr="004D14C7" w:rsidRDefault="008E62F3" w:rsidP="004D14C7">
            <w:pPr>
              <w:widowControl/>
              <w:suppressAutoHyphens w:val="0"/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r w:rsidRPr="004D14C7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>Incumplimiento en los términos de las etapas o actividades para los procesos administrativos y/o judicia</w:t>
            </w:r>
            <w:r w:rsidR="004234C3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>les que se adelantan en el IDPC</w:t>
            </w:r>
          </w:p>
        </w:tc>
        <w:tc>
          <w:tcPr>
            <w:tcW w:w="1487" w:type="pct"/>
            <w:vAlign w:val="center"/>
            <w:hideMark/>
          </w:tcPr>
          <w:p w14:paraId="798A222B" w14:textId="77777777" w:rsidR="008E62F3" w:rsidRPr="004D14C7" w:rsidRDefault="008E62F3" w:rsidP="004D14C7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 w:val="17"/>
                <w:szCs w:val="17"/>
                <w:lang w:eastAsia="es-ES"/>
              </w:rPr>
            </w:pPr>
            <w:r w:rsidRPr="004D14C7">
              <w:rPr>
                <w:rFonts w:ascii="Arial" w:eastAsia="Times New Roman" w:hAnsi="Arial" w:cs="Arial"/>
                <w:color w:val="auto"/>
                <w:sz w:val="17"/>
                <w:szCs w:val="17"/>
                <w:lang w:eastAsia="es-ES"/>
              </w:rPr>
              <w:t>Gestión Jurídica</w:t>
            </w:r>
          </w:p>
        </w:tc>
        <w:tc>
          <w:tcPr>
            <w:tcW w:w="870" w:type="pct"/>
            <w:shd w:val="clear" w:color="auto" w:fill="70AD47" w:themeFill="accent6"/>
            <w:noWrap/>
            <w:vAlign w:val="center"/>
            <w:hideMark/>
          </w:tcPr>
          <w:p w14:paraId="434DC42E" w14:textId="77777777" w:rsidR="008E62F3" w:rsidRPr="004D14C7" w:rsidRDefault="008E62F3" w:rsidP="004D14C7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r w:rsidRPr="004D14C7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>BAJO</w:t>
            </w:r>
          </w:p>
        </w:tc>
      </w:tr>
      <w:tr w:rsidR="008E62F3" w:rsidRPr="004D14C7" w14:paraId="185CCA69" w14:textId="77777777" w:rsidTr="004D14C7">
        <w:tc>
          <w:tcPr>
            <w:tcW w:w="2643" w:type="pct"/>
            <w:vAlign w:val="center"/>
            <w:hideMark/>
          </w:tcPr>
          <w:p w14:paraId="5EC60B90" w14:textId="28619722" w:rsidR="008E62F3" w:rsidRPr="004D14C7" w:rsidRDefault="008E62F3" w:rsidP="004D14C7">
            <w:pPr>
              <w:widowControl/>
              <w:suppressAutoHyphens w:val="0"/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r w:rsidRPr="004D14C7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 xml:space="preserve">No proveer oportunamente el </w:t>
            </w:r>
            <w:r w:rsidR="004234C3" w:rsidRPr="004D14C7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 xml:space="preserve">talento </w:t>
            </w:r>
            <w:r w:rsidR="004234C3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>humano requerido por la entidad</w:t>
            </w:r>
          </w:p>
        </w:tc>
        <w:tc>
          <w:tcPr>
            <w:tcW w:w="1487" w:type="pct"/>
            <w:vAlign w:val="center"/>
            <w:hideMark/>
          </w:tcPr>
          <w:p w14:paraId="6EB683ED" w14:textId="77777777" w:rsidR="008E62F3" w:rsidRPr="004D14C7" w:rsidRDefault="008E62F3" w:rsidP="004D14C7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 w:val="17"/>
                <w:szCs w:val="17"/>
                <w:lang w:eastAsia="es-ES"/>
              </w:rPr>
            </w:pPr>
            <w:r w:rsidRPr="004D14C7">
              <w:rPr>
                <w:rFonts w:ascii="Arial" w:eastAsia="Times New Roman" w:hAnsi="Arial" w:cs="Arial"/>
                <w:color w:val="auto"/>
                <w:sz w:val="17"/>
                <w:szCs w:val="17"/>
                <w:lang w:eastAsia="es-ES"/>
              </w:rPr>
              <w:t>Gestión del Talento Humano</w:t>
            </w:r>
          </w:p>
        </w:tc>
        <w:tc>
          <w:tcPr>
            <w:tcW w:w="870" w:type="pct"/>
            <w:shd w:val="clear" w:color="auto" w:fill="70AD47" w:themeFill="accent6"/>
            <w:noWrap/>
            <w:vAlign w:val="center"/>
            <w:hideMark/>
          </w:tcPr>
          <w:p w14:paraId="6AF01B86" w14:textId="77777777" w:rsidR="008E62F3" w:rsidRPr="004D14C7" w:rsidRDefault="008E62F3" w:rsidP="004D14C7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r w:rsidRPr="004D14C7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>BAJO</w:t>
            </w:r>
          </w:p>
        </w:tc>
      </w:tr>
      <w:tr w:rsidR="008E62F3" w:rsidRPr="004D14C7" w14:paraId="36C88EF3" w14:textId="77777777" w:rsidTr="004D14C7">
        <w:tc>
          <w:tcPr>
            <w:tcW w:w="2643" w:type="pct"/>
            <w:vAlign w:val="center"/>
            <w:hideMark/>
          </w:tcPr>
          <w:p w14:paraId="3ACDD2D2" w14:textId="0249CBC3" w:rsidR="008E62F3" w:rsidRPr="004D14C7" w:rsidRDefault="008E62F3" w:rsidP="004D14C7">
            <w:pPr>
              <w:widowControl/>
              <w:suppressAutoHyphens w:val="0"/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r w:rsidRPr="004D14C7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>Pérdida de pie</w:t>
            </w:r>
            <w:r w:rsidR="004234C3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>zas procesales o del expediente</w:t>
            </w:r>
          </w:p>
        </w:tc>
        <w:tc>
          <w:tcPr>
            <w:tcW w:w="1487" w:type="pct"/>
            <w:vAlign w:val="center"/>
            <w:hideMark/>
          </w:tcPr>
          <w:p w14:paraId="051D905E" w14:textId="77777777" w:rsidR="008E62F3" w:rsidRPr="004D14C7" w:rsidRDefault="008E62F3" w:rsidP="004D14C7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 w:val="17"/>
                <w:szCs w:val="17"/>
                <w:lang w:eastAsia="es-ES"/>
              </w:rPr>
            </w:pPr>
            <w:r w:rsidRPr="004D14C7">
              <w:rPr>
                <w:rFonts w:ascii="Arial" w:eastAsia="Times New Roman" w:hAnsi="Arial" w:cs="Arial"/>
                <w:color w:val="auto"/>
                <w:sz w:val="17"/>
                <w:szCs w:val="17"/>
                <w:lang w:eastAsia="es-ES"/>
              </w:rPr>
              <w:t>Control Interno Disciplinario</w:t>
            </w:r>
          </w:p>
        </w:tc>
        <w:tc>
          <w:tcPr>
            <w:tcW w:w="870" w:type="pct"/>
            <w:shd w:val="clear" w:color="auto" w:fill="70AD47" w:themeFill="accent6"/>
            <w:noWrap/>
            <w:vAlign w:val="center"/>
            <w:hideMark/>
          </w:tcPr>
          <w:p w14:paraId="5A3823F7" w14:textId="77777777" w:rsidR="008E62F3" w:rsidRPr="004D14C7" w:rsidRDefault="008E62F3" w:rsidP="004D14C7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r w:rsidRPr="004D14C7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>BAJO</w:t>
            </w:r>
          </w:p>
        </w:tc>
      </w:tr>
      <w:tr w:rsidR="008E62F3" w:rsidRPr="004D14C7" w14:paraId="27FD3F38" w14:textId="77777777" w:rsidTr="004D14C7">
        <w:tc>
          <w:tcPr>
            <w:tcW w:w="2643" w:type="pct"/>
            <w:vAlign w:val="center"/>
            <w:hideMark/>
          </w:tcPr>
          <w:p w14:paraId="4720E069" w14:textId="77777777" w:rsidR="008E62F3" w:rsidRPr="004D14C7" w:rsidRDefault="008E62F3" w:rsidP="004D14C7">
            <w:pPr>
              <w:widowControl/>
              <w:suppressAutoHyphens w:val="0"/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r w:rsidRPr="004D14C7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>Daño o alteración total o parcial de las características físicas de las piezas de las colecciones del Museo de Bogotá</w:t>
            </w:r>
          </w:p>
        </w:tc>
        <w:tc>
          <w:tcPr>
            <w:tcW w:w="1487" w:type="pct"/>
            <w:vAlign w:val="center"/>
            <w:hideMark/>
          </w:tcPr>
          <w:p w14:paraId="534DF7B5" w14:textId="77777777" w:rsidR="008E62F3" w:rsidRPr="004D14C7" w:rsidRDefault="008E62F3" w:rsidP="004D14C7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 w:val="17"/>
                <w:szCs w:val="17"/>
                <w:lang w:eastAsia="es-ES"/>
              </w:rPr>
            </w:pPr>
            <w:r w:rsidRPr="004D14C7">
              <w:rPr>
                <w:rFonts w:ascii="Arial" w:eastAsia="Times New Roman" w:hAnsi="Arial" w:cs="Arial"/>
                <w:color w:val="auto"/>
                <w:sz w:val="17"/>
                <w:szCs w:val="17"/>
                <w:lang w:eastAsia="es-ES"/>
              </w:rPr>
              <w:t>Divulgación y Apropiación Social del Patrimonio</w:t>
            </w:r>
          </w:p>
        </w:tc>
        <w:tc>
          <w:tcPr>
            <w:tcW w:w="870" w:type="pct"/>
            <w:shd w:val="clear" w:color="auto" w:fill="70AD47" w:themeFill="accent6"/>
            <w:noWrap/>
            <w:vAlign w:val="center"/>
            <w:hideMark/>
          </w:tcPr>
          <w:p w14:paraId="7124B33E" w14:textId="77777777" w:rsidR="008E62F3" w:rsidRPr="004D14C7" w:rsidRDefault="008E62F3" w:rsidP="004D14C7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r w:rsidRPr="004D14C7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>BAJO</w:t>
            </w:r>
          </w:p>
        </w:tc>
      </w:tr>
    </w:tbl>
    <w:p w14:paraId="638B99AF" w14:textId="77777777" w:rsidR="005B4190" w:rsidRDefault="005B4190" w:rsidP="004D14C7">
      <w:pPr>
        <w:tabs>
          <w:tab w:val="left" w:pos="1095"/>
        </w:tabs>
        <w:spacing w:line="240" w:lineRule="auto"/>
        <w:jc w:val="both"/>
        <w:rPr>
          <w:rFonts w:ascii="Arial" w:eastAsia="Times New Roman" w:hAnsi="Arial" w:cs="Arial"/>
          <w:color w:val="auto"/>
          <w:sz w:val="18"/>
          <w:szCs w:val="18"/>
          <w:lang w:eastAsia="es-ES"/>
        </w:rPr>
      </w:pPr>
    </w:p>
    <w:p w14:paraId="37FBD044" w14:textId="310F5161" w:rsidR="00782980" w:rsidRPr="005B4190" w:rsidRDefault="00280EE9" w:rsidP="004D14C7">
      <w:pPr>
        <w:tabs>
          <w:tab w:val="left" w:pos="1095"/>
        </w:tabs>
        <w:spacing w:line="240" w:lineRule="auto"/>
        <w:jc w:val="both"/>
        <w:rPr>
          <w:rFonts w:ascii="Arial" w:hAnsi="Arial" w:cs="Arial"/>
          <w:sz w:val="22"/>
          <w:szCs w:val="20"/>
        </w:rPr>
      </w:pPr>
      <w:r w:rsidRPr="005B4190">
        <w:rPr>
          <w:rFonts w:ascii="Arial" w:hAnsi="Arial" w:cs="Arial"/>
          <w:sz w:val="22"/>
          <w:szCs w:val="20"/>
        </w:rPr>
        <w:t>Para el segundo</w:t>
      </w:r>
      <w:r w:rsidR="00BF25E3" w:rsidRPr="005B4190">
        <w:rPr>
          <w:rFonts w:ascii="Arial" w:hAnsi="Arial" w:cs="Arial"/>
          <w:sz w:val="22"/>
          <w:szCs w:val="20"/>
        </w:rPr>
        <w:t xml:space="preserve"> cuatrimestre de la vigencia 2019, </w:t>
      </w:r>
      <w:r w:rsidR="005B4190">
        <w:rPr>
          <w:rFonts w:ascii="Arial" w:hAnsi="Arial" w:cs="Arial"/>
          <w:sz w:val="22"/>
          <w:szCs w:val="20"/>
        </w:rPr>
        <w:t xml:space="preserve">no </w:t>
      </w:r>
      <w:r w:rsidR="001D35D3">
        <w:rPr>
          <w:rFonts w:ascii="Arial" w:hAnsi="Arial" w:cs="Arial"/>
          <w:sz w:val="22"/>
          <w:szCs w:val="20"/>
        </w:rPr>
        <w:t xml:space="preserve">hay </w:t>
      </w:r>
      <w:r w:rsidR="005B4190" w:rsidRPr="005B4190">
        <w:rPr>
          <w:rFonts w:ascii="Arial" w:hAnsi="Arial" w:cs="Arial"/>
          <w:sz w:val="22"/>
          <w:szCs w:val="20"/>
        </w:rPr>
        <w:t xml:space="preserve"> materialización ni cambio alguno en </w:t>
      </w:r>
      <w:r w:rsidR="001D35D3">
        <w:rPr>
          <w:rFonts w:ascii="Arial" w:hAnsi="Arial" w:cs="Arial"/>
          <w:sz w:val="22"/>
          <w:szCs w:val="20"/>
        </w:rPr>
        <w:t>la</w:t>
      </w:r>
      <w:r w:rsidR="005B4190" w:rsidRPr="005B4190">
        <w:rPr>
          <w:rFonts w:ascii="Arial" w:hAnsi="Arial" w:cs="Arial"/>
          <w:sz w:val="22"/>
          <w:szCs w:val="20"/>
        </w:rPr>
        <w:t xml:space="preserve"> definición </w:t>
      </w:r>
      <w:r w:rsidR="005B4190">
        <w:rPr>
          <w:rFonts w:ascii="Arial" w:hAnsi="Arial" w:cs="Arial"/>
          <w:sz w:val="22"/>
          <w:szCs w:val="20"/>
        </w:rPr>
        <w:t xml:space="preserve">de </w:t>
      </w:r>
      <w:r w:rsidR="00BF25E3" w:rsidRPr="005B4190">
        <w:rPr>
          <w:rFonts w:ascii="Arial" w:hAnsi="Arial" w:cs="Arial"/>
          <w:sz w:val="22"/>
          <w:szCs w:val="20"/>
        </w:rPr>
        <w:t>l</w:t>
      </w:r>
      <w:r w:rsidR="00782980" w:rsidRPr="005B4190">
        <w:rPr>
          <w:rFonts w:ascii="Arial" w:hAnsi="Arial" w:cs="Arial"/>
          <w:sz w:val="22"/>
          <w:szCs w:val="20"/>
        </w:rPr>
        <w:t>os riesgos de gestión.</w:t>
      </w:r>
      <w:r w:rsidRPr="005B4190">
        <w:rPr>
          <w:rFonts w:ascii="Arial" w:hAnsi="Arial" w:cs="Arial"/>
          <w:sz w:val="22"/>
          <w:szCs w:val="20"/>
        </w:rPr>
        <w:t xml:space="preserve"> </w:t>
      </w:r>
    </w:p>
    <w:p w14:paraId="410BA065" w14:textId="77777777" w:rsidR="00932139" w:rsidRPr="005B4190" w:rsidRDefault="00932139" w:rsidP="005B4190">
      <w:pPr>
        <w:tabs>
          <w:tab w:val="left" w:pos="1095"/>
        </w:tabs>
        <w:spacing w:line="240" w:lineRule="auto"/>
        <w:jc w:val="both"/>
        <w:rPr>
          <w:rFonts w:ascii="Arial" w:hAnsi="Arial" w:cs="Arial"/>
          <w:sz w:val="22"/>
          <w:szCs w:val="20"/>
        </w:rPr>
      </w:pPr>
    </w:p>
    <w:p w14:paraId="73C0A8D7" w14:textId="32174054" w:rsidR="00D705E3" w:rsidRPr="005B4190" w:rsidRDefault="00D705E3" w:rsidP="00932139">
      <w:pPr>
        <w:widowControl/>
        <w:suppressAutoHyphens w:val="0"/>
        <w:spacing w:line="240" w:lineRule="auto"/>
        <w:rPr>
          <w:rFonts w:ascii="Arial" w:hAnsi="Arial" w:cs="Arial"/>
          <w:sz w:val="22"/>
          <w:szCs w:val="20"/>
        </w:rPr>
      </w:pPr>
    </w:p>
    <w:p w14:paraId="49163A02" w14:textId="076A9A34" w:rsidR="0095129B" w:rsidRPr="00FC151C" w:rsidRDefault="000F5469" w:rsidP="005B4190">
      <w:pPr>
        <w:pStyle w:val="m7007535857312232601gmail-msolistparagraph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426"/>
        <w:jc w:val="both"/>
        <w:rPr>
          <w:rFonts w:ascii="Arial" w:hAnsi="Arial" w:cs="Arial"/>
          <w:b/>
          <w:bCs/>
        </w:rPr>
      </w:pPr>
      <w:r w:rsidRPr="00FC151C">
        <w:rPr>
          <w:rFonts w:ascii="Arial" w:hAnsi="Arial" w:cs="Arial"/>
          <w:b/>
          <w:bCs/>
        </w:rPr>
        <w:t>Resu</w:t>
      </w:r>
      <w:r w:rsidR="00F8628F" w:rsidRPr="00FC151C">
        <w:rPr>
          <w:rFonts w:ascii="Arial" w:hAnsi="Arial" w:cs="Arial"/>
          <w:b/>
          <w:bCs/>
        </w:rPr>
        <w:t xml:space="preserve">ltados de la gestión del </w:t>
      </w:r>
      <w:r w:rsidR="00683674" w:rsidRPr="00FC151C">
        <w:rPr>
          <w:rFonts w:ascii="Arial" w:hAnsi="Arial" w:cs="Arial"/>
          <w:b/>
          <w:bCs/>
        </w:rPr>
        <w:t>r</w:t>
      </w:r>
      <w:r w:rsidR="00F8628F" w:rsidRPr="00FC151C">
        <w:rPr>
          <w:rFonts w:ascii="Arial" w:hAnsi="Arial" w:cs="Arial"/>
          <w:b/>
          <w:bCs/>
        </w:rPr>
        <w:t>iesgo</w:t>
      </w:r>
      <w:r w:rsidRPr="00FC151C">
        <w:rPr>
          <w:rFonts w:ascii="Arial" w:hAnsi="Arial" w:cs="Arial"/>
          <w:b/>
          <w:bCs/>
        </w:rPr>
        <w:t> </w:t>
      </w:r>
    </w:p>
    <w:p w14:paraId="411A3358" w14:textId="77777777" w:rsidR="00131BA6" w:rsidRDefault="00131BA6" w:rsidP="005B4190">
      <w:pPr>
        <w:pStyle w:val="m7007535857312232601gmail-msolist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2"/>
        </w:rPr>
      </w:pPr>
    </w:p>
    <w:p w14:paraId="1345532F" w14:textId="6C2C8520" w:rsidR="00341111" w:rsidRDefault="000E00A7" w:rsidP="005B4190">
      <w:pPr>
        <w:pStyle w:val="m7007535857312232601gmail-msolist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2"/>
        </w:rPr>
      </w:pPr>
      <w:r>
        <w:rPr>
          <w:rFonts w:ascii="Arial" w:hAnsi="Arial" w:cs="Arial"/>
          <w:color w:val="222222"/>
          <w:sz w:val="22"/>
        </w:rPr>
        <w:t>L</w:t>
      </w:r>
      <w:r w:rsidR="00B51ED3">
        <w:rPr>
          <w:rFonts w:ascii="Arial" w:hAnsi="Arial" w:cs="Arial"/>
          <w:color w:val="222222"/>
          <w:sz w:val="22"/>
        </w:rPr>
        <w:t xml:space="preserve">a Entidad </w:t>
      </w:r>
      <w:r w:rsidR="00341111" w:rsidRPr="00730430">
        <w:rPr>
          <w:rFonts w:ascii="Arial" w:hAnsi="Arial" w:cs="Arial"/>
          <w:color w:val="222222"/>
          <w:sz w:val="22"/>
        </w:rPr>
        <w:t>cuenta con</w:t>
      </w:r>
      <w:r w:rsidR="00341111" w:rsidRPr="00782980">
        <w:rPr>
          <w:rFonts w:ascii="Arial" w:hAnsi="Arial" w:cs="Arial"/>
          <w:color w:val="222222"/>
          <w:sz w:val="22"/>
        </w:rPr>
        <w:t xml:space="preserve"> un total de</w:t>
      </w:r>
      <w:r w:rsidR="005B4190">
        <w:rPr>
          <w:rFonts w:ascii="Arial" w:hAnsi="Arial" w:cs="Arial"/>
          <w:color w:val="222222"/>
          <w:sz w:val="22"/>
        </w:rPr>
        <w:t xml:space="preserve"> nueve</w:t>
      </w:r>
      <w:r w:rsidR="00341111" w:rsidRPr="00782980">
        <w:rPr>
          <w:rFonts w:ascii="Arial" w:hAnsi="Arial" w:cs="Arial"/>
          <w:color w:val="222222"/>
          <w:sz w:val="22"/>
        </w:rPr>
        <w:t xml:space="preserve"> </w:t>
      </w:r>
      <w:r w:rsidR="005B4190">
        <w:rPr>
          <w:rFonts w:ascii="Arial" w:hAnsi="Arial" w:cs="Arial"/>
          <w:color w:val="222222"/>
          <w:sz w:val="22"/>
        </w:rPr>
        <w:t>(</w:t>
      </w:r>
      <w:r w:rsidR="00341111" w:rsidRPr="00782980">
        <w:rPr>
          <w:rFonts w:ascii="Arial" w:hAnsi="Arial" w:cs="Arial"/>
          <w:color w:val="222222"/>
          <w:sz w:val="22"/>
        </w:rPr>
        <w:t>9</w:t>
      </w:r>
      <w:r w:rsidR="005B4190">
        <w:rPr>
          <w:rFonts w:ascii="Arial" w:hAnsi="Arial" w:cs="Arial"/>
          <w:color w:val="222222"/>
          <w:sz w:val="22"/>
        </w:rPr>
        <w:t>)</w:t>
      </w:r>
      <w:r w:rsidR="00341111" w:rsidRPr="00782980">
        <w:rPr>
          <w:rFonts w:ascii="Arial" w:hAnsi="Arial" w:cs="Arial"/>
          <w:color w:val="222222"/>
          <w:sz w:val="22"/>
        </w:rPr>
        <w:t xml:space="preserve"> riesgos de corrupción y </w:t>
      </w:r>
      <w:r w:rsidR="005B4190">
        <w:rPr>
          <w:rFonts w:ascii="Arial" w:hAnsi="Arial" w:cs="Arial"/>
          <w:color w:val="222222"/>
          <w:sz w:val="22"/>
        </w:rPr>
        <w:t>treinta y siete (</w:t>
      </w:r>
      <w:r w:rsidR="00341111" w:rsidRPr="00782980">
        <w:rPr>
          <w:rFonts w:ascii="Arial" w:hAnsi="Arial" w:cs="Arial"/>
          <w:color w:val="222222"/>
          <w:sz w:val="22"/>
        </w:rPr>
        <w:t>37</w:t>
      </w:r>
      <w:r w:rsidR="005B4190">
        <w:rPr>
          <w:rFonts w:ascii="Arial" w:hAnsi="Arial" w:cs="Arial"/>
          <w:color w:val="222222"/>
          <w:sz w:val="22"/>
        </w:rPr>
        <w:t>)</w:t>
      </w:r>
      <w:r w:rsidR="00341111" w:rsidRPr="00782980">
        <w:rPr>
          <w:rFonts w:ascii="Arial" w:hAnsi="Arial" w:cs="Arial"/>
          <w:color w:val="222222"/>
          <w:sz w:val="22"/>
        </w:rPr>
        <w:t xml:space="preserve"> riesgos de gestión para </w:t>
      </w:r>
      <w:r w:rsidR="00341111">
        <w:rPr>
          <w:rFonts w:ascii="Arial" w:hAnsi="Arial" w:cs="Arial"/>
          <w:color w:val="222222"/>
          <w:sz w:val="22"/>
        </w:rPr>
        <w:t>u</w:t>
      </w:r>
      <w:r w:rsidR="00341111" w:rsidRPr="00782980">
        <w:rPr>
          <w:rFonts w:ascii="Arial" w:hAnsi="Arial" w:cs="Arial"/>
          <w:color w:val="222222"/>
          <w:sz w:val="22"/>
        </w:rPr>
        <w:t>n to</w:t>
      </w:r>
      <w:r w:rsidR="00341111">
        <w:rPr>
          <w:rFonts w:ascii="Arial" w:hAnsi="Arial" w:cs="Arial"/>
          <w:color w:val="222222"/>
          <w:sz w:val="22"/>
        </w:rPr>
        <w:t>t</w:t>
      </w:r>
      <w:r w:rsidR="00341111" w:rsidRPr="00782980">
        <w:rPr>
          <w:rFonts w:ascii="Arial" w:hAnsi="Arial" w:cs="Arial"/>
          <w:color w:val="222222"/>
          <w:sz w:val="22"/>
        </w:rPr>
        <w:t>al de</w:t>
      </w:r>
      <w:r w:rsidR="005B4190">
        <w:rPr>
          <w:rFonts w:ascii="Arial" w:hAnsi="Arial" w:cs="Arial"/>
          <w:color w:val="222222"/>
          <w:sz w:val="22"/>
        </w:rPr>
        <w:t xml:space="preserve"> cuarenta y seis</w:t>
      </w:r>
      <w:r w:rsidR="00341111" w:rsidRPr="00782980">
        <w:rPr>
          <w:rFonts w:ascii="Arial" w:hAnsi="Arial" w:cs="Arial"/>
          <w:color w:val="222222"/>
          <w:sz w:val="22"/>
        </w:rPr>
        <w:t xml:space="preserve"> </w:t>
      </w:r>
      <w:r w:rsidR="005B4190">
        <w:rPr>
          <w:rFonts w:ascii="Arial" w:hAnsi="Arial" w:cs="Arial"/>
          <w:color w:val="222222"/>
          <w:sz w:val="22"/>
        </w:rPr>
        <w:t>(</w:t>
      </w:r>
      <w:r w:rsidR="00341111" w:rsidRPr="00782980">
        <w:rPr>
          <w:rFonts w:ascii="Arial" w:hAnsi="Arial" w:cs="Arial"/>
          <w:color w:val="222222"/>
          <w:sz w:val="22"/>
        </w:rPr>
        <w:t>46</w:t>
      </w:r>
      <w:r w:rsidR="005B4190">
        <w:rPr>
          <w:rFonts w:ascii="Arial" w:hAnsi="Arial" w:cs="Arial"/>
          <w:color w:val="222222"/>
          <w:sz w:val="22"/>
        </w:rPr>
        <w:t>)</w:t>
      </w:r>
      <w:r w:rsidR="00341111" w:rsidRPr="00782980">
        <w:rPr>
          <w:rFonts w:ascii="Arial" w:hAnsi="Arial" w:cs="Arial"/>
          <w:color w:val="222222"/>
          <w:sz w:val="22"/>
        </w:rPr>
        <w:t xml:space="preserve"> </w:t>
      </w:r>
      <w:r w:rsidR="00341111" w:rsidRPr="00730430">
        <w:rPr>
          <w:rFonts w:ascii="Arial" w:hAnsi="Arial" w:cs="Arial"/>
          <w:color w:val="222222"/>
          <w:sz w:val="22"/>
        </w:rPr>
        <w:t>r</w:t>
      </w:r>
      <w:r w:rsidR="00341111" w:rsidRPr="00782980">
        <w:rPr>
          <w:rFonts w:ascii="Arial" w:hAnsi="Arial" w:cs="Arial"/>
          <w:color w:val="222222"/>
          <w:sz w:val="22"/>
        </w:rPr>
        <w:t xml:space="preserve">iesgos, los cuales se </w:t>
      </w:r>
      <w:r>
        <w:rPr>
          <w:rFonts w:ascii="Arial" w:hAnsi="Arial" w:cs="Arial"/>
          <w:color w:val="222222"/>
          <w:sz w:val="22"/>
        </w:rPr>
        <w:t xml:space="preserve">relacionan a continuación </w:t>
      </w:r>
      <w:r w:rsidR="00341111" w:rsidRPr="00782980">
        <w:rPr>
          <w:rFonts w:ascii="Arial" w:hAnsi="Arial" w:cs="Arial"/>
          <w:color w:val="222222"/>
          <w:sz w:val="22"/>
        </w:rPr>
        <w:t xml:space="preserve">por zona de riesgos </w:t>
      </w:r>
      <w:r>
        <w:rPr>
          <w:rFonts w:ascii="Arial" w:hAnsi="Arial" w:cs="Arial"/>
          <w:color w:val="222222"/>
          <w:sz w:val="22"/>
        </w:rPr>
        <w:t>y por proceso</w:t>
      </w:r>
      <w:r w:rsidR="00341111" w:rsidRPr="00782980">
        <w:rPr>
          <w:rFonts w:ascii="Arial" w:hAnsi="Arial" w:cs="Arial"/>
          <w:color w:val="222222"/>
          <w:sz w:val="22"/>
        </w:rPr>
        <w:t>:</w:t>
      </w:r>
    </w:p>
    <w:p w14:paraId="5923A185" w14:textId="77777777" w:rsidR="005B4190" w:rsidRDefault="005B4190" w:rsidP="005B4190">
      <w:pPr>
        <w:pStyle w:val="m7007535857312232601gmail-msolist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2"/>
        </w:rPr>
      </w:pPr>
    </w:p>
    <w:p w14:paraId="5E7F1EDC" w14:textId="038AB909" w:rsidR="001E2055" w:rsidRPr="00BA1B17" w:rsidRDefault="001E2055" w:rsidP="00131BA6">
      <w:pPr>
        <w:pStyle w:val="m7007535857312232601gmail-msolistparagraph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22222"/>
          <w:sz w:val="18"/>
          <w:szCs w:val="18"/>
        </w:rPr>
      </w:pPr>
      <w:r w:rsidRPr="00BA1B17">
        <w:rPr>
          <w:rFonts w:ascii="Arial" w:hAnsi="Arial" w:cs="Arial"/>
          <w:b/>
          <w:color w:val="222222"/>
          <w:sz w:val="18"/>
          <w:szCs w:val="18"/>
        </w:rPr>
        <w:t>Tabla</w:t>
      </w:r>
      <w:r w:rsidR="000A65CF">
        <w:rPr>
          <w:rFonts w:ascii="Arial" w:hAnsi="Arial" w:cs="Arial"/>
          <w:b/>
          <w:color w:val="222222"/>
          <w:sz w:val="18"/>
          <w:szCs w:val="18"/>
        </w:rPr>
        <w:t xml:space="preserve"> 3</w:t>
      </w:r>
      <w:r w:rsidRPr="00BA1B17">
        <w:rPr>
          <w:rFonts w:ascii="Arial" w:hAnsi="Arial" w:cs="Arial"/>
          <w:b/>
          <w:color w:val="222222"/>
          <w:sz w:val="18"/>
          <w:szCs w:val="18"/>
        </w:rPr>
        <w:t>. Relación de riesgos por zona de riesgo.</w:t>
      </w:r>
    </w:p>
    <w:tbl>
      <w:tblPr>
        <w:tblW w:w="673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3"/>
        <w:gridCol w:w="1507"/>
        <w:gridCol w:w="1425"/>
        <w:gridCol w:w="1425"/>
      </w:tblGrid>
      <w:tr w:rsidR="00131BA6" w:rsidRPr="004D14C7" w14:paraId="68A86C3D" w14:textId="40ABF482" w:rsidTr="004D14C7">
        <w:trPr>
          <w:trHeight w:val="70"/>
          <w:jc w:val="center"/>
        </w:trPr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A988E" w14:textId="77777777" w:rsidR="00131BA6" w:rsidRPr="004D14C7" w:rsidRDefault="00131BA6" w:rsidP="005B4190">
            <w:pPr>
              <w:widowControl/>
              <w:suppressAutoHyphens w:val="0"/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B4246" w14:textId="693873A0" w:rsidR="00131BA6" w:rsidRPr="004D14C7" w:rsidRDefault="00131BA6" w:rsidP="005B4190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 w:rsidRPr="004D14C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 xml:space="preserve">CORRUPCIÓN 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A443C" w14:textId="06E13E9D" w:rsidR="00131BA6" w:rsidRPr="004D14C7" w:rsidRDefault="00131BA6" w:rsidP="005B4190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 w:rsidRPr="004D14C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 xml:space="preserve">GESTIÓN 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CFFD7D" w14:textId="2E673073" w:rsidR="00131BA6" w:rsidRPr="004D14C7" w:rsidRDefault="00131BA6" w:rsidP="005B4190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 w:rsidRPr="004D14C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>TOTAL</w:t>
            </w:r>
          </w:p>
        </w:tc>
      </w:tr>
      <w:tr w:rsidR="00131BA6" w:rsidRPr="004D14C7" w14:paraId="16BC642A" w14:textId="093C6B39" w:rsidTr="004D14C7">
        <w:trPr>
          <w:trHeight w:val="70"/>
          <w:jc w:val="center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04D5414" w14:textId="32D8228E" w:rsidR="00131BA6" w:rsidRPr="004D14C7" w:rsidRDefault="00131BA6" w:rsidP="005B4190">
            <w:pPr>
              <w:widowControl/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sz w:val="17"/>
                <w:szCs w:val="17"/>
                <w:lang w:eastAsia="es-ES"/>
              </w:rPr>
            </w:pPr>
            <w:r w:rsidRPr="004D14C7">
              <w:rPr>
                <w:rFonts w:ascii="Arial" w:eastAsia="Times New Roman" w:hAnsi="Arial" w:cs="Arial"/>
                <w:color w:val="auto"/>
                <w:sz w:val="17"/>
                <w:szCs w:val="17"/>
                <w:lang w:eastAsia="es-ES"/>
              </w:rPr>
              <w:t>EXTREMO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F36AA" w14:textId="77777777" w:rsidR="00131BA6" w:rsidRPr="004D14C7" w:rsidRDefault="00131BA6" w:rsidP="005B4190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r w:rsidRPr="004D14C7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108D3" w14:textId="77777777" w:rsidR="00131BA6" w:rsidRPr="004D14C7" w:rsidRDefault="00131BA6" w:rsidP="005B4190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r w:rsidRPr="004D14C7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EA0FC5" w14:textId="47BA89D0" w:rsidR="00131BA6" w:rsidRPr="004D14C7" w:rsidRDefault="00131BA6" w:rsidP="005B4190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r w:rsidRPr="004D14C7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>4</w:t>
            </w:r>
          </w:p>
        </w:tc>
      </w:tr>
      <w:tr w:rsidR="00131BA6" w:rsidRPr="004D14C7" w14:paraId="5E7B00A5" w14:textId="476BDCE5" w:rsidTr="004D14C7">
        <w:trPr>
          <w:trHeight w:val="70"/>
          <w:jc w:val="center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45B6D1B" w14:textId="619D7D1F" w:rsidR="00131BA6" w:rsidRPr="004D14C7" w:rsidRDefault="00131BA6" w:rsidP="005B4190">
            <w:pPr>
              <w:widowControl/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sz w:val="17"/>
                <w:szCs w:val="17"/>
                <w:lang w:eastAsia="es-ES"/>
              </w:rPr>
            </w:pPr>
            <w:r w:rsidRPr="004D14C7">
              <w:rPr>
                <w:rFonts w:ascii="Arial" w:eastAsia="Times New Roman" w:hAnsi="Arial" w:cs="Arial"/>
                <w:color w:val="auto"/>
                <w:sz w:val="17"/>
                <w:szCs w:val="17"/>
                <w:lang w:eastAsia="es-ES"/>
              </w:rPr>
              <w:t>ALTO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59A72" w14:textId="77777777" w:rsidR="00131BA6" w:rsidRPr="004D14C7" w:rsidRDefault="00131BA6" w:rsidP="005B4190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r w:rsidRPr="004D14C7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2E800" w14:textId="77777777" w:rsidR="00131BA6" w:rsidRPr="004D14C7" w:rsidRDefault="00131BA6" w:rsidP="005B4190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r w:rsidRPr="004D14C7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>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061F6D" w14:textId="5A45C8D4" w:rsidR="00131BA6" w:rsidRPr="004D14C7" w:rsidRDefault="00131BA6" w:rsidP="005B4190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r w:rsidRPr="004D14C7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>14</w:t>
            </w:r>
          </w:p>
        </w:tc>
      </w:tr>
      <w:tr w:rsidR="00131BA6" w:rsidRPr="004D14C7" w14:paraId="2383BFC3" w14:textId="55F05118" w:rsidTr="004D14C7">
        <w:trPr>
          <w:trHeight w:val="70"/>
          <w:jc w:val="center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FD4A012" w14:textId="3A2131FC" w:rsidR="00131BA6" w:rsidRPr="004D14C7" w:rsidRDefault="00131BA6" w:rsidP="005B4190">
            <w:pPr>
              <w:widowControl/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sz w:val="17"/>
                <w:szCs w:val="17"/>
                <w:lang w:eastAsia="es-ES"/>
              </w:rPr>
            </w:pPr>
            <w:r w:rsidRPr="004D14C7">
              <w:rPr>
                <w:rFonts w:ascii="Arial" w:eastAsia="Times New Roman" w:hAnsi="Arial" w:cs="Arial"/>
                <w:color w:val="auto"/>
                <w:sz w:val="17"/>
                <w:szCs w:val="17"/>
                <w:lang w:eastAsia="es-ES"/>
              </w:rPr>
              <w:t>MODERADO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D9C1F" w14:textId="77777777" w:rsidR="00131BA6" w:rsidRPr="004D14C7" w:rsidRDefault="00131BA6" w:rsidP="005B4190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r w:rsidRPr="004D14C7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>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B12FA" w14:textId="77777777" w:rsidR="00131BA6" w:rsidRPr="004D14C7" w:rsidRDefault="00131BA6" w:rsidP="005B4190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r w:rsidRPr="004D14C7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>11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63DDE8" w14:textId="423645CE" w:rsidR="00131BA6" w:rsidRPr="004D14C7" w:rsidRDefault="00131BA6" w:rsidP="005B4190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r w:rsidRPr="004D14C7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>17</w:t>
            </w:r>
          </w:p>
        </w:tc>
      </w:tr>
      <w:tr w:rsidR="00131BA6" w:rsidRPr="004D14C7" w14:paraId="6205CC33" w14:textId="35450578" w:rsidTr="004D14C7">
        <w:trPr>
          <w:trHeight w:val="70"/>
          <w:jc w:val="center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1060657F" w14:textId="31294ABF" w:rsidR="00131BA6" w:rsidRPr="004D14C7" w:rsidRDefault="00131BA6" w:rsidP="005B4190">
            <w:pPr>
              <w:widowControl/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sz w:val="17"/>
                <w:szCs w:val="17"/>
                <w:lang w:eastAsia="es-ES"/>
              </w:rPr>
            </w:pPr>
            <w:r w:rsidRPr="004D14C7">
              <w:rPr>
                <w:rFonts w:ascii="Arial" w:eastAsia="Times New Roman" w:hAnsi="Arial" w:cs="Arial"/>
                <w:color w:val="auto"/>
                <w:sz w:val="17"/>
                <w:szCs w:val="17"/>
                <w:lang w:eastAsia="es-ES"/>
              </w:rPr>
              <w:t>BAJO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281D1" w14:textId="77777777" w:rsidR="00131BA6" w:rsidRPr="004D14C7" w:rsidRDefault="00131BA6" w:rsidP="005B4190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r w:rsidRPr="004D14C7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B101C" w14:textId="77777777" w:rsidR="00131BA6" w:rsidRPr="004D14C7" w:rsidRDefault="00131BA6" w:rsidP="005B4190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r w:rsidRPr="004D14C7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>11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EF8D8F" w14:textId="3720D30B" w:rsidR="00131BA6" w:rsidRPr="004D14C7" w:rsidRDefault="00131BA6" w:rsidP="005B4190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r w:rsidRPr="004D14C7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>11</w:t>
            </w:r>
          </w:p>
        </w:tc>
      </w:tr>
      <w:tr w:rsidR="00131BA6" w:rsidRPr="004D14C7" w14:paraId="55F09F5D" w14:textId="08166CF0" w:rsidTr="004D14C7">
        <w:trPr>
          <w:trHeight w:val="70"/>
          <w:jc w:val="center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7AC0D" w14:textId="793A7D53" w:rsidR="00131BA6" w:rsidRPr="004D14C7" w:rsidRDefault="00131BA6" w:rsidP="005B4190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 w:rsidRPr="004D14C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 xml:space="preserve">TOTAL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03B4C" w14:textId="77777777" w:rsidR="00131BA6" w:rsidRPr="004D14C7" w:rsidRDefault="00131BA6" w:rsidP="005B4190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es-ES"/>
              </w:rPr>
            </w:pPr>
            <w:r w:rsidRPr="004D14C7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es-ES"/>
              </w:rPr>
              <w:t>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FC4E1" w14:textId="77777777" w:rsidR="00131BA6" w:rsidRPr="004D14C7" w:rsidRDefault="00131BA6" w:rsidP="005B4190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es-ES"/>
              </w:rPr>
            </w:pPr>
            <w:r w:rsidRPr="004D14C7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es-ES"/>
              </w:rPr>
              <w:t>37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5DD953" w14:textId="014D135C" w:rsidR="00131BA6" w:rsidRPr="004D14C7" w:rsidRDefault="00131BA6" w:rsidP="005B4190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es-ES"/>
              </w:rPr>
            </w:pPr>
            <w:r w:rsidRPr="004D14C7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es-ES"/>
              </w:rPr>
              <w:t>46</w:t>
            </w:r>
          </w:p>
        </w:tc>
      </w:tr>
    </w:tbl>
    <w:p w14:paraId="46F86320" w14:textId="77777777" w:rsidR="005B4190" w:rsidRDefault="005B4190" w:rsidP="005B4190">
      <w:pPr>
        <w:pStyle w:val="m7007535857312232601gmail-msolistparagraph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  <w:sz w:val="22"/>
          <w:szCs w:val="22"/>
        </w:rPr>
      </w:pPr>
    </w:p>
    <w:p w14:paraId="67F60815" w14:textId="77777777" w:rsidR="00BA1B17" w:rsidRDefault="00BA1B17" w:rsidP="005B4190">
      <w:pPr>
        <w:pStyle w:val="m7007535857312232601gmail-msolistparagraph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  <w:sz w:val="22"/>
          <w:szCs w:val="22"/>
        </w:rPr>
      </w:pPr>
    </w:p>
    <w:p w14:paraId="64A0F075" w14:textId="77777777" w:rsidR="00BA1B17" w:rsidRDefault="00BA1B17" w:rsidP="005B4190">
      <w:pPr>
        <w:pStyle w:val="m7007535857312232601gmail-msolistparagraph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  <w:sz w:val="22"/>
          <w:szCs w:val="22"/>
        </w:rPr>
      </w:pPr>
    </w:p>
    <w:p w14:paraId="0D35A8C0" w14:textId="77777777" w:rsidR="00BA1B17" w:rsidRDefault="00BA1B17" w:rsidP="005B4190">
      <w:pPr>
        <w:pStyle w:val="m7007535857312232601gmail-msolistparagraph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  <w:sz w:val="22"/>
          <w:szCs w:val="22"/>
        </w:rPr>
      </w:pPr>
    </w:p>
    <w:p w14:paraId="5E9784F8" w14:textId="77777777" w:rsidR="00BA1B17" w:rsidRDefault="00BA1B17" w:rsidP="005B4190">
      <w:pPr>
        <w:pStyle w:val="m7007535857312232601gmail-msolistparagraph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  <w:sz w:val="22"/>
          <w:szCs w:val="22"/>
        </w:rPr>
      </w:pPr>
    </w:p>
    <w:p w14:paraId="75D51946" w14:textId="77777777" w:rsidR="00BA1B17" w:rsidRDefault="00BA1B17" w:rsidP="005B4190">
      <w:pPr>
        <w:pStyle w:val="m7007535857312232601gmail-msolistparagraph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  <w:sz w:val="22"/>
          <w:szCs w:val="22"/>
        </w:rPr>
      </w:pPr>
    </w:p>
    <w:p w14:paraId="0B3783F3" w14:textId="77777777" w:rsidR="00BA1B17" w:rsidRDefault="00BA1B17" w:rsidP="005B4190">
      <w:pPr>
        <w:pStyle w:val="m7007535857312232601gmail-msolistparagraph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  <w:sz w:val="22"/>
          <w:szCs w:val="22"/>
        </w:rPr>
      </w:pPr>
    </w:p>
    <w:p w14:paraId="6BCDBBF2" w14:textId="77777777" w:rsidR="00BA1B17" w:rsidRDefault="00BA1B17" w:rsidP="005B4190">
      <w:pPr>
        <w:pStyle w:val="m7007535857312232601gmail-msolistparagraph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  <w:sz w:val="22"/>
          <w:szCs w:val="22"/>
        </w:rPr>
      </w:pPr>
    </w:p>
    <w:p w14:paraId="4EB0155F" w14:textId="77777777" w:rsidR="00BA1B17" w:rsidRDefault="00BA1B17" w:rsidP="005B4190">
      <w:pPr>
        <w:pStyle w:val="m7007535857312232601gmail-msolistparagraph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  <w:sz w:val="22"/>
          <w:szCs w:val="22"/>
        </w:rPr>
      </w:pPr>
    </w:p>
    <w:p w14:paraId="5430AB10" w14:textId="77777777" w:rsidR="00BA1B17" w:rsidRDefault="00BA1B17" w:rsidP="005B4190">
      <w:pPr>
        <w:pStyle w:val="m7007535857312232601gmail-msolistparagraph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  <w:sz w:val="22"/>
          <w:szCs w:val="22"/>
        </w:rPr>
      </w:pPr>
    </w:p>
    <w:p w14:paraId="6A1F5E93" w14:textId="77777777" w:rsidR="00BA1B17" w:rsidRDefault="00BA1B17" w:rsidP="005B4190">
      <w:pPr>
        <w:pStyle w:val="m7007535857312232601gmail-msolistparagraph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  <w:sz w:val="22"/>
          <w:szCs w:val="22"/>
        </w:rPr>
      </w:pPr>
    </w:p>
    <w:p w14:paraId="507C1E78" w14:textId="77777777" w:rsidR="00BA1B17" w:rsidRDefault="00BA1B17" w:rsidP="005B4190">
      <w:pPr>
        <w:pStyle w:val="m7007535857312232601gmail-msolistparagraph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  <w:sz w:val="22"/>
          <w:szCs w:val="22"/>
        </w:rPr>
      </w:pPr>
    </w:p>
    <w:p w14:paraId="44A9BF1B" w14:textId="77777777" w:rsidR="00BA1B17" w:rsidRDefault="00BA1B17" w:rsidP="005B4190">
      <w:pPr>
        <w:pStyle w:val="m7007535857312232601gmail-msolistparagraph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  <w:sz w:val="22"/>
          <w:szCs w:val="22"/>
        </w:rPr>
      </w:pPr>
    </w:p>
    <w:p w14:paraId="3F153CA9" w14:textId="77777777" w:rsidR="00BA1B17" w:rsidRDefault="00BA1B17" w:rsidP="005B4190">
      <w:pPr>
        <w:pStyle w:val="m7007535857312232601gmail-msolistparagraph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  <w:sz w:val="22"/>
          <w:szCs w:val="22"/>
        </w:rPr>
      </w:pPr>
    </w:p>
    <w:p w14:paraId="2CC4EEAC" w14:textId="77777777" w:rsidR="00BA1B17" w:rsidRDefault="00BA1B17" w:rsidP="005B4190">
      <w:pPr>
        <w:pStyle w:val="m7007535857312232601gmail-msolistparagraph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  <w:sz w:val="22"/>
          <w:szCs w:val="22"/>
        </w:rPr>
      </w:pPr>
    </w:p>
    <w:p w14:paraId="1A04F6B5" w14:textId="77777777" w:rsidR="00BA1B17" w:rsidRDefault="00BA1B17" w:rsidP="005B4190">
      <w:pPr>
        <w:pStyle w:val="m7007535857312232601gmail-msolistparagraph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  <w:sz w:val="22"/>
          <w:szCs w:val="22"/>
        </w:rPr>
      </w:pPr>
    </w:p>
    <w:p w14:paraId="4B793666" w14:textId="77777777" w:rsidR="00BA1B17" w:rsidRDefault="00BA1B17" w:rsidP="005B4190">
      <w:pPr>
        <w:pStyle w:val="m7007535857312232601gmail-msolistparagraph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  <w:sz w:val="22"/>
          <w:szCs w:val="22"/>
        </w:rPr>
      </w:pPr>
    </w:p>
    <w:p w14:paraId="0428CD30" w14:textId="77777777" w:rsidR="00BA1B17" w:rsidRDefault="00BA1B17" w:rsidP="005B4190">
      <w:pPr>
        <w:pStyle w:val="m7007535857312232601gmail-msolistparagraph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  <w:sz w:val="22"/>
          <w:szCs w:val="22"/>
        </w:rPr>
      </w:pPr>
    </w:p>
    <w:p w14:paraId="2C544DA8" w14:textId="77777777" w:rsidR="00BA1B17" w:rsidRDefault="00BA1B17" w:rsidP="005B4190">
      <w:pPr>
        <w:pStyle w:val="m7007535857312232601gmail-msolistparagraph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  <w:sz w:val="22"/>
          <w:szCs w:val="22"/>
        </w:rPr>
      </w:pPr>
    </w:p>
    <w:p w14:paraId="3933E7BE" w14:textId="77777777" w:rsidR="00BA1B17" w:rsidRDefault="00BA1B17" w:rsidP="005B4190">
      <w:pPr>
        <w:pStyle w:val="m7007535857312232601gmail-msolistparagraph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  <w:sz w:val="22"/>
          <w:szCs w:val="22"/>
        </w:rPr>
      </w:pPr>
    </w:p>
    <w:p w14:paraId="174E4954" w14:textId="77777777" w:rsidR="00BA1B17" w:rsidRDefault="00BA1B17" w:rsidP="005B4190">
      <w:pPr>
        <w:pStyle w:val="m7007535857312232601gmail-msolistparagraph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  <w:sz w:val="22"/>
          <w:szCs w:val="22"/>
        </w:rPr>
      </w:pPr>
    </w:p>
    <w:p w14:paraId="315FE52C" w14:textId="77777777" w:rsidR="00BA1B17" w:rsidRDefault="00BA1B17" w:rsidP="005B4190">
      <w:pPr>
        <w:pStyle w:val="m7007535857312232601gmail-msolistparagraph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  <w:sz w:val="22"/>
          <w:szCs w:val="22"/>
        </w:rPr>
      </w:pPr>
    </w:p>
    <w:p w14:paraId="73AEDAB6" w14:textId="7BE9517A" w:rsidR="00570BA7" w:rsidRPr="000A65CF" w:rsidRDefault="00131BA6" w:rsidP="00EE1339">
      <w:pPr>
        <w:pStyle w:val="m7007535857312232601gmail-msolistparagraph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22222"/>
        </w:rPr>
      </w:pPr>
      <w:r w:rsidRPr="000A65CF">
        <w:rPr>
          <w:rFonts w:ascii="Arial" w:hAnsi="Arial" w:cs="Arial"/>
          <w:b/>
          <w:color w:val="222222"/>
          <w:sz w:val="18"/>
          <w:szCs w:val="18"/>
        </w:rPr>
        <w:t>Gráfico</w:t>
      </w:r>
      <w:r w:rsidR="000A65CF">
        <w:rPr>
          <w:rFonts w:ascii="Arial" w:hAnsi="Arial" w:cs="Arial"/>
          <w:b/>
          <w:color w:val="222222"/>
          <w:sz w:val="18"/>
          <w:szCs w:val="18"/>
        </w:rPr>
        <w:t xml:space="preserve"> 1</w:t>
      </w:r>
      <w:r w:rsidR="001E2055" w:rsidRPr="000A65CF">
        <w:rPr>
          <w:rFonts w:ascii="Arial" w:hAnsi="Arial" w:cs="Arial"/>
          <w:b/>
          <w:color w:val="222222"/>
          <w:sz w:val="18"/>
          <w:szCs w:val="18"/>
        </w:rPr>
        <w:t xml:space="preserve">. </w:t>
      </w:r>
      <w:r w:rsidR="000E00A7" w:rsidRPr="000A65CF">
        <w:rPr>
          <w:rFonts w:ascii="Arial" w:hAnsi="Arial" w:cs="Arial"/>
          <w:b/>
          <w:color w:val="222222"/>
          <w:sz w:val="18"/>
          <w:szCs w:val="18"/>
        </w:rPr>
        <w:t>Relación de riesgos por proceso</w:t>
      </w:r>
    </w:p>
    <w:p w14:paraId="4E8FD607" w14:textId="38D6D4A1" w:rsidR="00570BA7" w:rsidRDefault="00570BA7" w:rsidP="00EE1339">
      <w:pPr>
        <w:pStyle w:val="m7007535857312232601gmail-msolistparagraph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  <w:sz w:val="22"/>
        </w:rPr>
      </w:pPr>
      <w:r>
        <w:rPr>
          <w:noProof/>
        </w:rPr>
        <w:drawing>
          <wp:inline distT="0" distB="0" distL="0" distR="0" wp14:anchorId="24A7FF9A" wp14:editId="7D78A5B7">
            <wp:extent cx="5172075" cy="3705225"/>
            <wp:effectExtent l="0" t="0" r="0" b="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F12AA69" w14:textId="77777777" w:rsidR="00570BA7" w:rsidRDefault="00570BA7" w:rsidP="005B4190">
      <w:pPr>
        <w:pStyle w:val="m7007535857312232601gmail-msolist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2"/>
        </w:rPr>
      </w:pPr>
    </w:p>
    <w:p w14:paraId="616176B7" w14:textId="3CCC07F1" w:rsidR="00932109" w:rsidRDefault="00B32204" w:rsidP="005B4190">
      <w:pPr>
        <w:pStyle w:val="m7007535857312232601gmail-msolist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2"/>
        </w:rPr>
      </w:pPr>
      <w:r>
        <w:rPr>
          <w:rFonts w:ascii="Arial" w:hAnsi="Arial" w:cs="Arial"/>
          <w:color w:val="222222"/>
          <w:sz w:val="22"/>
        </w:rPr>
        <w:t xml:space="preserve">De lo anterior, se observa que el proceso </w:t>
      </w:r>
      <w:r w:rsidR="00932109">
        <w:rPr>
          <w:rFonts w:ascii="Arial" w:hAnsi="Arial" w:cs="Arial"/>
          <w:color w:val="222222"/>
          <w:sz w:val="22"/>
        </w:rPr>
        <w:t xml:space="preserve">de “Divulgación y Apropiación Social del Patrimonio” es el que </w:t>
      </w:r>
      <w:r>
        <w:rPr>
          <w:rFonts w:ascii="Arial" w:hAnsi="Arial" w:cs="Arial"/>
          <w:color w:val="222222"/>
          <w:sz w:val="22"/>
        </w:rPr>
        <w:t xml:space="preserve">más </w:t>
      </w:r>
      <w:r w:rsidR="00932109">
        <w:rPr>
          <w:rFonts w:ascii="Arial" w:hAnsi="Arial" w:cs="Arial"/>
          <w:color w:val="222222"/>
          <w:sz w:val="22"/>
        </w:rPr>
        <w:t>riesgos de gestión definió</w:t>
      </w:r>
      <w:r>
        <w:rPr>
          <w:rFonts w:ascii="Arial" w:hAnsi="Arial" w:cs="Arial"/>
          <w:color w:val="222222"/>
          <w:sz w:val="22"/>
        </w:rPr>
        <w:t xml:space="preserve"> </w:t>
      </w:r>
      <w:r w:rsidR="00932109">
        <w:rPr>
          <w:rFonts w:ascii="Arial" w:hAnsi="Arial" w:cs="Arial"/>
          <w:color w:val="222222"/>
          <w:sz w:val="22"/>
        </w:rPr>
        <w:t xml:space="preserve">con un total de siete (7) riesgos, seguido de los procesos de “Gestión Financiera” y </w:t>
      </w:r>
      <w:r w:rsidR="00BA1B17">
        <w:rPr>
          <w:rFonts w:ascii="Arial" w:hAnsi="Arial" w:cs="Arial"/>
          <w:color w:val="222222"/>
          <w:sz w:val="22"/>
        </w:rPr>
        <w:t xml:space="preserve">de </w:t>
      </w:r>
      <w:r w:rsidR="00932109">
        <w:rPr>
          <w:rFonts w:ascii="Arial" w:hAnsi="Arial" w:cs="Arial"/>
          <w:color w:val="222222"/>
          <w:sz w:val="22"/>
        </w:rPr>
        <w:t>“Pro</w:t>
      </w:r>
      <w:r w:rsidR="00570BA7">
        <w:rPr>
          <w:rFonts w:ascii="Arial" w:hAnsi="Arial" w:cs="Arial"/>
          <w:color w:val="222222"/>
          <w:sz w:val="22"/>
        </w:rPr>
        <w:t>t</w:t>
      </w:r>
      <w:r w:rsidR="00932109">
        <w:rPr>
          <w:rFonts w:ascii="Arial" w:hAnsi="Arial" w:cs="Arial"/>
          <w:color w:val="222222"/>
          <w:sz w:val="22"/>
        </w:rPr>
        <w:t>ección e Intervención del Patrimonio”</w:t>
      </w:r>
      <w:r w:rsidR="00BA1B17">
        <w:rPr>
          <w:rFonts w:ascii="Arial" w:hAnsi="Arial" w:cs="Arial"/>
          <w:color w:val="222222"/>
          <w:sz w:val="22"/>
        </w:rPr>
        <w:t>,</w:t>
      </w:r>
      <w:r w:rsidR="00932109">
        <w:rPr>
          <w:rFonts w:ascii="Arial" w:hAnsi="Arial" w:cs="Arial"/>
          <w:color w:val="222222"/>
          <w:sz w:val="22"/>
        </w:rPr>
        <w:t xml:space="preserve"> con cuatro (4) riesgos cada uno. </w:t>
      </w:r>
    </w:p>
    <w:p w14:paraId="67ADE4DB" w14:textId="77777777" w:rsidR="00932109" w:rsidRDefault="00932109" w:rsidP="005B4190">
      <w:pPr>
        <w:pStyle w:val="m7007535857312232601gmail-msolist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2"/>
        </w:rPr>
      </w:pPr>
    </w:p>
    <w:p w14:paraId="35D74990" w14:textId="08AE39F1" w:rsidR="00932109" w:rsidRDefault="00932109" w:rsidP="005B4190">
      <w:pPr>
        <w:pStyle w:val="m7007535857312232601gmail-msolist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2"/>
        </w:rPr>
      </w:pPr>
      <w:r w:rsidRPr="00886797">
        <w:rPr>
          <w:rFonts w:ascii="Arial" w:hAnsi="Arial" w:cs="Arial"/>
          <w:color w:val="222222"/>
          <w:sz w:val="22"/>
        </w:rPr>
        <w:t>En relación con los riesgos de corrupción</w:t>
      </w:r>
      <w:r w:rsidR="00BA1B17" w:rsidRPr="00886797">
        <w:rPr>
          <w:rFonts w:ascii="Arial" w:hAnsi="Arial" w:cs="Arial"/>
          <w:color w:val="222222"/>
          <w:sz w:val="22"/>
        </w:rPr>
        <w:t>,</w:t>
      </w:r>
      <w:r w:rsidRPr="00886797">
        <w:rPr>
          <w:rFonts w:ascii="Arial" w:hAnsi="Arial" w:cs="Arial"/>
          <w:color w:val="222222"/>
          <w:sz w:val="22"/>
        </w:rPr>
        <w:t xml:space="preserve"> el proceso de “Gestión Contractual” </w:t>
      </w:r>
      <w:r w:rsidR="00886797" w:rsidRPr="00886797">
        <w:rPr>
          <w:rFonts w:ascii="Arial" w:hAnsi="Arial" w:cs="Arial"/>
          <w:color w:val="222222"/>
          <w:sz w:val="22"/>
        </w:rPr>
        <w:t>tiene</w:t>
      </w:r>
      <w:r w:rsidRPr="00886797">
        <w:rPr>
          <w:rFonts w:ascii="Arial" w:hAnsi="Arial" w:cs="Arial"/>
          <w:color w:val="222222"/>
          <w:sz w:val="22"/>
        </w:rPr>
        <w:t xml:space="preserve"> dos (2)</w:t>
      </w:r>
      <w:r>
        <w:rPr>
          <w:rFonts w:ascii="Arial" w:hAnsi="Arial" w:cs="Arial"/>
          <w:color w:val="222222"/>
          <w:sz w:val="22"/>
        </w:rPr>
        <w:t xml:space="preserve"> riesgos definidos. Para los procesos de “Gestión Financiera”, “Control Interno Disciplinario”, “Gestión de Sistemas</w:t>
      </w:r>
      <w:r w:rsidR="00570BA7">
        <w:rPr>
          <w:rFonts w:ascii="Arial" w:hAnsi="Arial" w:cs="Arial"/>
          <w:color w:val="222222"/>
          <w:sz w:val="22"/>
        </w:rPr>
        <w:t xml:space="preserve"> de </w:t>
      </w:r>
      <w:r w:rsidR="000629B0">
        <w:rPr>
          <w:rFonts w:ascii="Arial" w:hAnsi="Arial" w:cs="Arial"/>
          <w:color w:val="222222"/>
          <w:sz w:val="22"/>
        </w:rPr>
        <w:t>Información</w:t>
      </w:r>
      <w:r w:rsidR="00570BA7">
        <w:rPr>
          <w:rFonts w:ascii="Arial" w:hAnsi="Arial" w:cs="Arial"/>
          <w:color w:val="222222"/>
          <w:sz w:val="22"/>
        </w:rPr>
        <w:t xml:space="preserve"> y </w:t>
      </w:r>
      <w:r w:rsidR="000629B0">
        <w:rPr>
          <w:rFonts w:ascii="Arial" w:hAnsi="Arial" w:cs="Arial"/>
          <w:color w:val="222222"/>
          <w:sz w:val="22"/>
        </w:rPr>
        <w:t>Tecnología</w:t>
      </w:r>
      <w:r>
        <w:rPr>
          <w:rFonts w:ascii="Arial" w:hAnsi="Arial" w:cs="Arial"/>
          <w:color w:val="222222"/>
          <w:sz w:val="22"/>
        </w:rPr>
        <w:t>”, “Gestión Jurídica”, “Atención a la Ciudadanía”, “Fortalecimiento del SIG” y “Direccionamiento Estratégico”</w:t>
      </w:r>
      <w:r w:rsidR="00BA1B17">
        <w:rPr>
          <w:rFonts w:ascii="Arial" w:hAnsi="Arial" w:cs="Arial"/>
          <w:color w:val="222222"/>
          <w:sz w:val="22"/>
        </w:rPr>
        <w:t>,</w:t>
      </w:r>
      <w:r w:rsidR="00E86774">
        <w:rPr>
          <w:rFonts w:ascii="Arial" w:hAnsi="Arial" w:cs="Arial"/>
          <w:color w:val="222222"/>
          <w:sz w:val="22"/>
        </w:rPr>
        <w:t xml:space="preserve"> </w:t>
      </w:r>
      <w:r w:rsidR="00BA1B17">
        <w:rPr>
          <w:rFonts w:ascii="Arial" w:hAnsi="Arial" w:cs="Arial"/>
          <w:color w:val="222222"/>
          <w:sz w:val="22"/>
        </w:rPr>
        <w:t xml:space="preserve">el Instituto </w:t>
      </w:r>
      <w:r>
        <w:rPr>
          <w:rFonts w:ascii="Arial" w:hAnsi="Arial" w:cs="Arial"/>
          <w:color w:val="222222"/>
          <w:sz w:val="22"/>
        </w:rPr>
        <w:t xml:space="preserve">no </w:t>
      </w:r>
      <w:r w:rsidR="00161920">
        <w:rPr>
          <w:rFonts w:ascii="Arial" w:hAnsi="Arial" w:cs="Arial"/>
          <w:color w:val="222222"/>
          <w:sz w:val="22"/>
        </w:rPr>
        <w:t xml:space="preserve">identificó </w:t>
      </w:r>
      <w:r>
        <w:rPr>
          <w:rFonts w:ascii="Arial" w:hAnsi="Arial" w:cs="Arial"/>
          <w:color w:val="222222"/>
          <w:sz w:val="22"/>
        </w:rPr>
        <w:t>riesgo</w:t>
      </w:r>
      <w:r w:rsidR="000A65CF">
        <w:rPr>
          <w:rFonts w:ascii="Arial" w:hAnsi="Arial" w:cs="Arial"/>
          <w:color w:val="222222"/>
          <w:sz w:val="22"/>
        </w:rPr>
        <w:t>s</w:t>
      </w:r>
      <w:r>
        <w:rPr>
          <w:rFonts w:ascii="Arial" w:hAnsi="Arial" w:cs="Arial"/>
          <w:color w:val="222222"/>
          <w:sz w:val="22"/>
        </w:rPr>
        <w:t xml:space="preserve"> de corrupción.</w:t>
      </w:r>
    </w:p>
    <w:p w14:paraId="2B46FD61" w14:textId="77777777" w:rsidR="00B32204" w:rsidRDefault="00B32204" w:rsidP="005B4190">
      <w:pPr>
        <w:pStyle w:val="m7007535857312232601gmail-msolist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2"/>
        </w:rPr>
      </w:pPr>
    </w:p>
    <w:p w14:paraId="726E7462" w14:textId="5CAB0383" w:rsidR="0095129B" w:rsidRDefault="00FC2E3F" w:rsidP="005B4190">
      <w:pPr>
        <w:pStyle w:val="m7007535857312232601gmail-msolist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2"/>
        </w:rPr>
      </w:pPr>
      <w:r w:rsidRPr="00730430">
        <w:rPr>
          <w:rFonts w:ascii="Arial" w:hAnsi="Arial" w:cs="Arial"/>
          <w:color w:val="222222"/>
          <w:sz w:val="22"/>
        </w:rPr>
        <w:t xml:space="preserve">De acuerdo </w:t>
      </w:r>
      <w:r w:rsidR="00683674">
        <w:rPr>
          <w:rFonts w:ascii="Arial" w:hAnsi="Arial" w:cs="Arial"/>
          <w:color w:val="222222"/>
          <w:sz w:val="22"/>
        </w:rPr>
        <w:t xml:space="preserve">con el </w:t>
      </w:r>
      <w:r w:rsidRPr="00730430">
        <w:rPr>
          <w:rFonts w:ascii="Arial" w:hAnsi="Arial" w:cs="Arial"/>
          <w:color w:val="222222"/>
          <w:sz w:val="22"/>
        </w:rPr>
        <w:t xml:space="preserve">monitoreo realizado </w:t>
      </w:r>
      <w:r w:rsidR="000E00A7" w:rsidRPr="00730430">
        <w:rPr>
          <w:rFonts w:ascii="Arial" w:hAnsi="Arial" w:cs="Arial"/>
          <w:color w:val="222222"/>
          <w:sz w:val="22"/>
        </w:rPr>
        <w:t>a la gestión de los riesgos</w:t>
      </w:r>
      <w:r w:rsidR="00A859CA">
        <w:rPr>
          <w:rFonts w:ascii="Arial" w:hAnsi="Arial" w:cs="Arial"/>
          <w:color w:val="222222"/>
          <w:sz w:val="22"/>
        </w:rPr>
        <w:t xml:space="preserve"> </w:t>
      </w:r>
      <w:r w:rsidRPr="00730430">
        <w:rPr>
          <w:rFonts w:ascii="Arial" w:hAnsi="Arial" w:cs="Arial"/>
          <w:color w:val="222222"/>
          <w:sz w:val="22"/>
        </w:rPr>
        <w:t>por</w:t>
      </w:r>
      <w:r w:rsidR="009853C4">
        <w:rPr>
          <w:rFonts w:ascii="Arial" w:hAnsi="Arial" w:cs="Arial"/>
          <w:color w:val="222222"/>
          <w:sz w:val="22"/>
        </w:rPr>
        <w:t xml:space="preserve"> los</w:t>
      </w:r>
      <w:r w:rsidRPr="00730430">
        <w:rPr>
          <w:rFonts w:ascii="Arial" w:hAnsi="Arial" w:cs="Arial"/>
          <w:color w:val="222222"/>
          <w:sz w:val="22"/>
        </w:rPr>
        <w:t xml:space="preserve"> </w:t>
      </w:r>
      <w:r w:rsidR="00730430">
        <w:rPr>
          <w:rFonts w:ascii="Arial" w:hAnsi="Arial" w:cs="Arial"/>
          <w:color w:val="222222"/>
          <w:sz w:val="22"/>
        </w:rPr>
        <w:t xml:space="preserve">responsables de </w:t>
      </w:r>
      <w:r w:rsidRPr="00730430">
        <w:rPr>
          <w:rFonts w:ascii="Arial" w:hAnsi="Arial" w:cs="Arial"/>
          <w:color w:val="222222"/>
          <w:sz w:val="22"/>
        </w:rPr>
        <w:t xml:space="preserve">los procesos, </w:t>
      </w:r>
      <w:r w:rsidR="00A859CA">
        <w:rPr>
          <w:rFonts w:ascii="Arial" w:hAnsi="Arial" w:cs="Arial"/>
          <w:color w:val="222222"/>
          <w:sz w:val="22"/>
        </w:rPr>
        <w:t xml:space="preserve">a continuación, </w:t>
      </w:r>
      <w:r w:rsidRPr="00730430">
        <w:rPr>
          <w:rFonts w:ascii="Arial" w:hAnsi="Arial" w:cs="Arial"/>
          <w:color w:val="222222"/>
          <w:sz w:val="22"/>
        </w:rPr>
        <w:t>se presenta</w:t>
      </w:r>
      <w:r w:rsidR="00730430">
        <w:rPr>
          <w:rFonts w:ascii="Arial" w:hAnsi="Arial" w:cs="Arial"/>
          <w:color w:val="222222"/>
          <w:sz w:val="22"/>
        </w:rPr>
        <w:t>n</w:t>
      </w:r>
      <w:r w:rsidRPr="00730430">
        <w:rPr>
          <w:rFonts w:ascii="Arial" w:hAnsi="Arial" w:cs="Arial"/>
          <w:color w:val="222222"/>
          <w:sz w:val="22"/>
        </w:rPr>
        <w:t xml:space="preserve"> </w:t>
      </w:r>
      <w:r w:rsidR="00730430">
        <w:rPr>
          <w:rFonts w:ascii="Arial" w:hAnsi="Arial" w:cs="Arial"/>
          <w:color w:val="222222"/>
          <w:sz w:val="22"/>
        </w:rPr>
        <w:t xml:space="preserve">los resultados y </w:t>
      </w:r>
      <w:r w:rsidR="00A859CA">
        <w:rPr>
          <w:rFonts w:ascii="Arial" w:hAnsi="Arial" w:cs="Arial"/>
          <w:color w:val="222222"/>
          <w:sz w:val="22"/>
        </w:rPr>
        <w:t xml:space="preserve">las </w:t>
      </w:r>
      <w:r w:rsidR="00730430">
        <w:rPr>
          <w:rFonts w:ascii="Arial" w:hAnsi="Arial" w:cs="Arial"/>
          <w:color w:val="222222"/>
          <w:sz w:val="22"/>
        </w:rPr>
        <w:t>recomendaciones</w:t>
      </w:r>
      <w:r w:rsidR="00A859CA">
        <w:rPr>
          <w:rFonts w:ascii="Arial" w:hAnsi="Arial" w:cs="Arial"/>
          <w:color w:val="222222"/>
          <w:sz w:val="22"/>
        </w:rPr>
        <w:t xml:space="preserve"> por parte de la Oficina Asesora de Planeación</w:t>
      </w:r>
      <w:r w:rsidRPr="00730430">
        <w:rPr>
          <w:rFonts w:ascii="Arial" w:hAnsi="Arial" w:cs="Arial"/>
          <w:color w:val="222222"/>
          <w:sz w:val="22"/>
        </w:rPr>
        <w:t>:</w:t>
      </w:r>
    </w:p>
    <w:p w14:paraId="29E660E5" w14:textId="77777777" w:rsidR="00131BA6" w:rsidRDefault="00131BA6" w:rsidP="005B4190">
      <w:pPr>
        <w:pStyle w:val="m7007535857312232601gmail-msolist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2"/>
        </w:rPr>
      </w:pPr>
    </w:p>
    <w:p w14:paraId="1E464456" w14:textId="77777777" w:rsidR="000A65CF" w:rsidRDefault="000A65CF" w:rsidP="005B4190">
      <w:pPr>
        <w:pStyle w:val="m7007535857312232601gmail-msolist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2"/>
        </w:rPr>
      </w:pPr>
    </w:p>
    <w:p w14:paraId="08B85D01" w14:textId="77777777" w:rsidR="000A65CF" w:rsidRDefault="000A65CF" w:rsidP="005B4190">
      <w:pPr>
        <w:pStyle w:val="m7007535857312232601gmail-msolist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2"/>
        </w:rPr>
      </w:pPr>
    </w:p>
    <w:p w14:paraId="23D4A6F6" w14:textId="77777777" w:rsidR="000A65CF" w:rsidRDefault="000A65CF" w:rsidP="005B4190">
      <w:pPr>
        <w:pStyle w:val="m7007535857312232601gmail-msolist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2"/>
        </w:rPr>
      </w:pPr>
    </w:p>
    <w:p w14:paraId="3015FCAA" w14:textId="77777777" w:rsidR="000A65CF" w:rsidRDefault="000A65CF" w:rsidP="005B4190">
      <w:pPr>
        <w:pStyle w:val="m7007535857312232601gmail-msolist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2"/>
        </w:rPr>
      </w:pPr>
    </w:p>
    <w:p w14:paraId="568AE2AB" w14:textId="77777777" w:rsidR="000A65CF" w:rsidRDefault="000A65CF" w:rsidP="005B4190">
      <w:pPr>
        <w:pStyle w:val="m7007535857312232601gmail-msolist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2"/>
        </w:rPr>
      </w:pPr>
    </w:p>
    <w:p w14:paraId="29269CF4" w14:textId="77777777" w:rsidR="000A65CF" w:rsidRDefault="000A65CF" w:rsidP="005B4190">
      <w:pPr>
        <w:pStyle w:val="m7007535857312232601gmail-msolist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2"/>
        </w:rPr>
      </w:pPr>
    </w:p>
    <w:p w14:paraId="49600685" w14:textId="77777777" w:rsidR="000A65CF" w:rsidRDefault="000A65CF" w:rsidP="005B4190">
      <w:pPr>
        <w:pStyle w:val="m7007535857312232601gmail-msolist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2"/>
        </w:rPr>
      </w:pPr>
    </w:p>
    <w:p w14:paraId="41DEF485" w14:textId="77777777" w:rsidR="000A65CF" w:rsidRDefault="000A65CF" w:rsidP="005B4190">
      <w:pPr>
        <w:pStyle w:val="m7007535857312232601gmail-msolist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18"/>
          <w:szCs w:val="18"/>
        </w:rPr>
      </w:pPr>
    </w:p>
    <w:p w14:paraId="03E6F9E8" w14:textId="16E87CD8" w:rsidR="000A65CF" w:rsidRPr="000A65CF" w:rsidRDefault="000A65CF" w:rsidP="000A65CF">
      <w:pPr>
        <w:pStyle w:val="m7007535857312232601gmail-msolistparagraph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22222"/>
          <w:sz w:val="18"/>
          <w:szCs w:val="18"/>
        </w:rPr>
      </w:pPr>
      <w:r w:rsidRPr="000A65CF">
        <w:rPr>
          <w:rFonts w:ascii="Arial" w:hAnsi="Arial" w:cs="Arial"/>
          <w:b/>
          <w:color w:val="222222"/>
          <w:sz w:val="18"/>
          <w:szCs w:val="18"/>
        </w:rPr>
        <w:lastRenderedPageBreak/>
        <w:t>Tabla 4. Resultados y recomendaciones resultado del monitoreo a la gestión de riesgos</w:t>
      </w:r>
    </w:p>
    <w:tbl>
      <w:tblPr>
        <w:tblW w:w="904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4"/>
        <w:gridCol w:w="4373"/>
        <w:gridCol w:w="3218"/>
      </w:tblGrid>
      <w:tr w:rsidR="00FF29AB" w:rsidRPr="000A65CF" w14:paraId="324E403B" w14:textId="77777777" w:rsidTr="00FD7B0A">
        <w:trPr>
          <w:trHeight w:val="414"/>
          <w:tblHeader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472016EC" w14:textId="2BC61ACC" w:rsidR="00FC2E3F" w:rsidRPr="000A65CF" w:rsidRDefault="00A859CA" w:rsidP="005B4190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0A65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PROCESO</w:t>
            </w:r>
          </w:p>
        </w:tc>
        <w:tc>
          <w:tcPr>
            <w:tcW w:w="4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351C32E1" w14:textId="1ACCAD7B" w:rsidR="00FC2E3F" w:rsidRPr="000A65CF" w:rsidRDefault="00A859CA" w:rsidP="00131BA6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0A65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RESULTADOS DEL MONITOREO</w:t>
            </w:r>
          </w:p>
        </w:tc>
        <w:tc>
          <w:tcPr>
            <w:tcW w:w="3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15D89EBC" w14:textId="4DBB86FD" w:rsidR="00FC2E3F" w:rsidRPr="000A65CF" w:rsidRDefault="00A859CA" w:rsidP="00B32204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0A65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RECOMENDACIONES</w:t>
            </w:r>
          </w:p>
        </w:tc>
      </w:tr>
      <w:tr w:rsidR="00FC2E3F" w:rsidRPr="000A65CF" w14:paraId="71928DE9" w14:textId="77777777" w:rsidTr="00FD7B0A">
        <w:trPr>
          <w:trHeight w:val="2250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2D82B" w14:textId="77777777" w:rsidR="00FC2E3F" w:rsidRPr="000A65CF" w:rsidRDefault="00FC2E3F" w:rsidP="005B4190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Direccionamiento Estratégico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AE700" w14:textId="0D76F98E" w:rsidR="00254C62" w:rsidRPr="000A65CF" w:rsidRDefault="00254C62" w:rsidP="0022118E">
            <w:pPr>
              <w:widowControl/>
              <w:suppressAutoHyphens w:val="0"/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Riesgo: </w:t>
            </w:r>
            <w:r w:rsidR="00B0454A"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Seguimiento  inadecuado en la formulación y ejecución de las metas  institucionales</w:t>
            </w:r>
          </w:p>
          <w:p w14:paraId="2850756C" w14:textId="77777777" w:rsidR="00B0454A" w:rsidRPr="000A65CF" w:rsidRDefault="00B0454A" w:rsidP="0022118E">
            <w:pPr>
              <w:widowControl/>
              <w:suppressAutoHyphens w:val="0"/>
              <w:spacing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</w:pPr>
          </w:p>
          <w:p w14:paraId="6C1D20FC" w14:textId="77777777" w:rsidR="00EE1339" w:rsidRPr="000A65CF" w:rsidRDefault="00786B1D" w:rsidP="0022118E">
            <w:pPr>
              <w:pStyle w:val="Prrafodelista"/>
              <w:widowControl/>
              <w:numPr>
                <w:ilvl w:val="0"/>
                <w:numId w:val="25"/>
              </w:numPr>
              <w:suppressAutoHyphens w:val="0"/>
              <w:spacing w:line="240" w:lineRule="auto"/>
              <w:ind w:left="213" w:hanging="168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</w:t>
            </w:r>
            <w:r w:rsidR="00812B75"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e realizó </w:t>
            </w:r>
            <w:r w:rsidR="006C3A94"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alistamiento </w:t>
            </w:r>
            <w:r w:rsidR="00B0454A"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para el </w:t>
            </w:r>
            <w:r w:rsidR="006C3A94"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proceso de rendición de cuentas, donde se </w:t>
            </w:r>
            <w:r w:rsidR="00FE1C18"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presentó </w:t>
            </w:r>
            <w:r w:rsidR="006C3A94"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el reporte a metas y Planes de Acción Operativos -POA y la entrega de información para los próximos periodos</w:t>
            </w:r>
            <w:r w:rsidR="00812B75"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</w:p>
          <w:p w14:paraId="1EE6C845" w14:textId="0D9FB836" w:rsidR="00EE1339" w:rsidRPr="000A65CF" w:rsidRDefault="00812B75" w:rsidP="0022118E">
            <w:pPr>
              <w:pStyle w:val="Prrafodelista"/>
              <w:widowControl/>
              <w:numPr>
                <w:ilvl w:val="0"/>
                <w:numId w:val="25"/>
              </w:numPr>
              <w:suppressAutoHyphens w:val="0"/>
              <w:spacing w:line="240" w:lineRule="auto"/>
              <w:ind w:left="213" w:hanging="168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Se realizó consolidación, seguimiento y reporte</w:t>
            </w:r>
            <w:r w:rsidR="00F3693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mensual</w:t>
            </w:r>
            <w:r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de metas institucionales </w:t>
            </w:r>
            <w:r w:rsidR="00B0454A"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en PREDIS</w:t>
            </w:r>
            <w:r w:rsidR="00F3693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y se llevó a cabo la actualización del procedimiento de Seguimiento a Proyectos de Inversión</w:t>
            </w:r>
            <w:r w:rsidR="00B0454A"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</w:p>
          <w:p w14:paraId="2B2BE76D" w14:textId="676F5879" w:rsidR="00FE1C18" w:rsidRPr="000A65CF" w:rsidRDefault="00544A2A" w:rsidP="0022118E">
            <w:pPr>
              <w:pStyle w:val="Prrafodelista"/>
              <w:widowControl/>
              <w:numPr>
                <w:ilvl w:val="0"/>
                <w:numId w:val="25"/>
              </w:numPr>
              <w:suppressAutoHyphens w:val="0"/>
              <w:spacing w:line="240" w:lineRule="auto"/>
              <w:ind w:left="213" w:hanging="168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Se</w:t>
            </w:r>
            <w:r w:rsidR="00812B75"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</w:t>
            </w:r>
            <w:r w:rsidR="00FE1C18"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realizó y </w:t>
            </w:r>
            <w:r w:rsidR="00812B75"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presentó el seguimiento a metas financieras, de acuerdo con el</w:t>
            </w:r>
            <w:r w:rsidR="0022118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Plan Anual de Adquisiciones,</w:t>
            </w:r>
            <w:r w:rsidR="00812B75"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</w:t>
            </w:r>
            <w:r w:rsidR="00B0454A"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PAA</w:t>
            </w:r>
            <w:r w:rsidR="00812B75"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F3418" w14:textId="673C5890" w:rsidR="00782980" w:rsidRPr="000A65CF" w:rsidRDefault="00F44260" w:rsidP="0022118E">
            <w:pPr>
              <w:widowControl/>
              <w:suppressAutoHyphens w:val="0"/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En la  identificación y administración de riesgos para la vigencia 2020, se requiere r</w:t>
            </w:r>
            <w:r w:rsidR="00FC2E3F"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evisar la</w:t>
            </w:r>
            <w:r w:rsidR="00812B75"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</w:t>
            </w:r>
            <w:r w:rsidR="00FC2E3F"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</w:t>
            </w:r>
            <w:r w:rsidR="00812B75"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actividades de mitigación definidas y los controles establecidos</w:t>
            </w:r>
            <w:r w:rsidR="00FC2E3F"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ya que muestran similitud</w:t>
            </w:r>
            <w:r w:rsidR="00782980"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</w:p>
          <w:p w14:paraId="71C8A3FD" w14:textId="77777777" w:rsidR="002D0181" w:rsidRPr="000A65CF" w:rsidRDefault="002D0181" w:rsidP="0022118E">
            <w:pPr>
              <w:widowControl/>
              <w:suppressAutoHyphens w:val="0"/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14:paraId="39481041" w14:textId="4F137DDE" w:rsidR="002D0181" w:rsidRPr="000A65CF" w:rsidRDefault="002D0181" w:rsidP="0022118E">
            <w:pPr>
              <w:widowControl/>
              <w:suppressAutoHyphens w:val="0"/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Como acción a establecer se propone que se realice el seguimiento a la batería de indicadores de la entidad.</w:t>
            </w:r>
          </w:p>
          <w:p w14:paraId="7D93CAF2" w14:textId="77777777" w:rsidR="001B147A" w:rsidRPr="000A65CF" w:rsidRDefault="001B147A" w:rsidP="0022118E">
            <w:pPr>
              <w:widowControl/>
              <w:suppressAutoHyphens w:val="0"/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14:paraId="4E5A1989" w14:textId="09E87EB6" w:rsidR="00FC2E3F" w:rsidRPr="000A65CF" w:rsidRDefault="00812B75" w:rsidP="0022118E">
            <w:pPr>
              <w:widowControl/>
              <w:suppressAutoHyphens w:val="0"/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Se recomienda continuar con el  seguimiento a la gestión del </w:t>
            </w:r>
            <w:r w:rsidR="007A2A75"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PAA</w:t>
            </w:r>
            <w:r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y generación de </w:t>
            </w:r>
            <w:r w:rsidR="003629F6"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alertas </w:t>
            </w:r>
            <w:r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metas físicas y financieras, dejando las evidencias correspondientes.</w:t>
            </w:r>
          </w:p>
        </w:tc>
      </w:tr>
      <w:tr w:rsidR="00FC2E3F" w:rsidRPr="000A65CF" w14:paraId="03CBF5B6" w14:textId="77777777" w:rsidTr="00D76252">
        <w:trPr>
          <w:trHeight w:val="2503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B0820" w14:textId="71CFC030" w:rsidR="00FC2E3F" w:rsidRPr="000A65CF" w:rsidRDefault="00FC2E3F" w:rsidP="005B4190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Fortalecimiento del SIG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E3A1E" w14:textId="7608EC55" w:rsidR="003629F6" w:rsidRPr="000A65CF" w:rsidRDefault="00FC2E3F" w:rsidP="0022118E">
            <w:pPr>
              <w:widowControl/>
              <w:suppressAutoHyphens w:val="0"/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El riesgo "Asesoría inadecuada a</w:t>
            </w:r>
            <w:r w:rsidR="00D76252"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los procesos en temas del SIG"</w:t>
            </w:r>
            <w:r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no requiere plan de trabajo</w:t>
            </w:r>
            <w:r w:rsidR="001D35D3"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 Sin embargo,</w:t>
            </w:r>
            <w:r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se han llevado a cabo las actividades de control </w:t>
            </w:r>
            <w:r w:rsidR="003629F6"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definidas obteniendo los siguientes resultados:</w:t>
            </w:r>
          </w:p>
          <w:p w14:paraId="7B84DF67" w14:textId="77777777" w:rsidR="003629F6" w:rsidRPr="000A65CF" w:rsidRDefault="003629F6" w:rsidP="0022118E">
            <w:pPr>
              <w:widowControl/>
              <w:suppressAutoHyphens w:val="0"/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14:paraId="337B656F" w14:textId="0EA51BCB" w:rsidR="003629F6" w:rsidRPr="000A65CF" w:rsidRDefault="003629F6" w:rsidP="0022118E">
            <w:pPr>
              <w:pStyle w:val="Prrafodelista"/>
              <w:widowControl/>
              <w:numPr>
                <w:ilvl w:val="0"/>
                <w:numId w:val="25"/>
              </w:numPr>
              <w:suppressAutoHyphens w:val="0"/>
              <w:spacing w:line="240" w:lineRule="auto"/>
              <w:ind w:left="213" w:hanging="168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En sesión del Comité Institucional de Gestión y Desempeño</w:t>
            </w:r>
            <w:r w:rsidR="00E049D9"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y </w:t>
            </w:r>
            <w:r w:rsidR="00FD7B0A"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por </w:t>
            </w:r>
            <w:r w:rsidR="00E049D9"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correo electrónico, </w:t>
            </w:r>
            <w:r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se dio a conocer el estado de la </w:t>
            </w:r>
            <w:r w:rsidR="00FD7B0A"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documentación</w:t>
            </w:r>
            <w:r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del SIG.</w:t>
            </w:r>
          </w:p>
          <w:p w14:paraId="4842396F" w14:textId="2458A7DF" w:rsidR="003629F6" w:rsidRPr="000A65CF" w:rsidRDefault="00673A4D" w:rsidP="0022118E">
            <w:pPr>
              <w:pStyle w:val="Prrafodelista"/>
              <w:widowControl/>
              <w:numPr>
                <w:ilvl w:val="0"/>
                <w:numId w:val="25"/>
              </w:numPr>
              <w:suppressAutoHyphens w:val="0"/>
              <w:spacing w:line="240" w:lineRule="auto"/>
              <w:ind w:left="213" w:hanging="168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Se realizó </w:t>
            </w:r>
            <w:r w:rsidR="003629F6"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consulta permanente de los lineamientos definidos por el DAFP</w:t>
            </w:r>
            <w:r w:rsidR="00D553AA"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</w:p>
          <w:p w14:paraId="18E575FB" w14:textId="02AA60B7" w:rsidR="00FC2E3F" w:rsidRPr="000A65CF" w:rsidRDefault="00673A4D" w:rsidP="00F3693E">
            <w:pPr>
              <w:pStyle w:val="Prrafodelista"/>
              <w:widowControl/>
              <w:numPr>
                <w:ilvl w:val="0"/>
                <w:numId w:val="25"/>
              </w:numPr>
              <w:suppressAutoHyphens w:val="0"/>
              <w:spacing w:line="240" w:lineRule="auto"/>
              <w:ind w:left="213" w:hanging="168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Se </w:t>
            </w:r>
            <w:r w:rsidR="00F3693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brindó</w:t>
            </w:r>
            <w:r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</w:t>
            </w:r>
            <w:r w:rsidR="00D553AA"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</w:t>
            </w:r>
            <w:r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sesoría y acompañamiento a los procesos del IDPC en la implementación y seguimiento de las prácticas de mejoramiento definidas</w:t>
            </w:r>
            <w:r w:rsidR="00E049D9"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A1BB5" w14:textId="77777777" w:rsidR="00FC2E3F" w:rsidRPr="000A65CF" w:rsidRDefault="003629F6" w:rsidP="0022118E">
            <w:pPr>
              <w:widowControl/>
              <w:suppressAutoHyphens w:val="0"/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Se recomienda validar el contexto del proceso y sus principales actividades con el ánimo de identificar posibles riesgos que no permitan el logro de los objetivos y metas planteados.</w:t>
            </w:r>
          </w:p>
          <w:p w14:paraId="2625A215" w14:textId="77777777" w:rsidR="002D0181" w:rsidRPr="000A65CF" w:rsidRDefault="002D0181" w:rsidP="0022118E">
            <w:pPr>
              <w:widowControl/>
              <w:suppressAutoHyphens w:val="0"/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14:paraId="0EFFBB95" w14:textId="6B4513C2" w:rsidR="002D0181" w:rsidRPr="000A65CF" w:rsidRDefault="002D0181" w:rsidP="00F3693E">
            <w:pPr>
              <w:widowControl/>
              <w:suppressAutoHyphens w:val="0"/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Se propone que se realice una encuesta de satisfacción en línea con el fin de conocer </w:t>
            </w:r>
            <w:r w:rsidR="00F3693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oportunidades de mejora</w:t>
            </w:r>
            <w:r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, </w:t>
            </w:r>
            <w:r w:rsidR="00F3693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e identificar </w:t>
            </w:r>
            <w:r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las prácticas que más reconocen</w:t>
            </w:r>
            <w:r w:rsidR="00B75F32"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los </w:t>
            </w:r>
            <w:r w:rsidR="006D57EF"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colaboradores</w:t>
            </w:r>
            <w:r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, entre otras.</w:t>
            </w:r>
          </w:p>
        </w:tc>
      </w:tr>
      <w:tr w:rsidR="00FC2E3F" w:rsidRPr="000A65CF" w14:paraId="2366E7D1" w14:textId="77777777" w:rsidTr="00FD7B0A">
        <w:trPr>
          <w:trHeight w:val="70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DEB88" w14:textId="2FA23A02" w:rsidR="00FC2E3F" w:rsidRPr="000A65CF" w:rsidRDefault="00FC2E3F" w:rsidP="005B4190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Comunicación Estratégica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1A4E3" w14:textId="4BB9EEB4" w:rsidR="00FC2E3F" w:rsidRPr="000A65CF" w:rsidRDefault="00211AF8" w:rsidP="00F3693E">
            <w:pPr>
              <w:widowControl/>
              <w:suppressAutoHyphens w:val="0"/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Del riesgo “Divulgación inadecuada del patrimonio de la ciudad”</w:t>
            </w:r>
            <w:r w:rsidR="00CB22F9"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, se evidencia que l</w:t>
            </w:r>
            <w:r w:rsidR="005D385A"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</w:t>
            </w:r>
            <w:r w:rsidR="00E049D9"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 solicitudes de comunicación realizadas por los procesos del IDPC</w:t>
            </w:r>
            <w:r w:rsidR="005D385A"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son controladas </w:t>
            </w:r>
            <w:r w:rsidR="00E049D9"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y</w:t>
            </w:r>
            <w:r w:rsidR="008F4190"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gestionadas </w:t>
            </w:r>
            <w:r w:rsidR="005D385A"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 través del “Cuadro de control del plan de trabajo del equipo”</w:t>
            </w:r>
            <w:r w:rsidR="00D76252"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evidenciando </w:t>
            </w:r>
            <w:r w:rsidR="00CB22F9"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una atención del 100% de las solicitudes de comunicación generadas por los procesos del IDPC.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0A84C" w14:textId="4F2724E8" w:rsidR="00DF36F6" w:rsidRPr="000A65CF" w:rsidRDefault="00DF36F6" w:rsidP="0022118E">
            <w:pPr>
              <w:widowControl/>
              <w:suppressAutoHyphens w:val="0"/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Revisar la actividad de mitigación definida y los controles establecidos, ya que </w:t>
            </w:r>
            <w:r w:rsidR="00545BE9"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son similares</w:t>
            </w:r>
            <w:r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</w:p>
          <w:p w14:paraId="00F30A9E" w14:textId="77777777" w:rsidR="00DF36F6" w:rsidRPr="000A65CF" w:rsidRDefault="00DF36F6" w:rsidP="0022118E">
            <w:pPr>
              <w:widowControl/>
              <w:suppressAutoHyphens w:val="0"/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14:paraId="1FFF6232" w14:textId="60EF91E2" w:rsidR="00DF36F6" w:rsidRPr="000A65CF" w:rsidRDefault="00DF36F6" w:rsidP="00F3693E">
            <w:pPr>
              <w:widowControl/>
              <w:suppressAutoHyphens w:val="0"/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Dado que no se logra identificar las variables que generaron la medición del indicador; se recomienda incluir en el análisis cualitativo el </w:t>
            </w:r>
            <w:r w:rsidR="00F3693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número</w:t>
            </w:r>
            <w:r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de estrategias generadas y socializadas y el total de solicitudes recibidas.</w:t>
            </w:r>
          </w:p>
        </w:tc>
      </w:tr>
      <w:tr w:rsidR="00FC2E3F" w:rsidRPr="000A65CF" w14:paraId="45EBDE55" w14:textId="77777777" w:rsidTr="00FD7B0A">
        <w:trPr>
          <w:trHeight w:val="112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7F3A0" w14:textId="30CF5DDC" w:rsidR="00FC2E3F" w:rsidRPr="000A65CF" w:rsidRDefault="00FC2E3F" w:rsidP="005B4190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Atención a la Ciudadanía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1A14B" w14:textId="62816395" w:rsidR="005D385A" w:rsidRPr="000A65CF" w:rsidRDefault="00676760" w:rsidP="0022118E">
            <w:pPr>
              <w:widowControl/>
              <w:suppressAutoHyphens w:val="0"/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</w:t>
            </w:r>
            <w:r w:rsidR="00CB22F9"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iesgo “Generación de  respuesta por fuera de los términos establecidos para atender solicitudes ciudadanas”</w:t>
            </w:r>
          </w:p>
          <w:p w14:paraId="3994817D" w14:textId="77777777" w:rsidR="005D385A" w:rsidRPr="000A65CF" w:rsidRDefault="005D385A" w:rsidP="0022118E">
            <w:pPr>
              <w:widowControl/>
              <w:suppressAutoHyphens w:val="0"/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14:paraId="370490E2" w14:textId="1827ED4C" w:rsidR="00F96BCD" w:rsidRPr="000A65CF" w:rsidRDefault="005D385A" w:rsidP="0022118E">
            <w:pPr>
              <w:pStyle w:val="Prrafodelista"/>
              <w:widowControl/>
              <w:numPr>
                <w:ilvl w:val="0"/>
                <w:numId w:val="25"/>
              </w:numPr>
              <w:suppressAutoHyphens w:val="0"/>
              <w:spacing w:line="240" w:lineRule="auto"/>
              <w:ind w:left="213" w:hanging="168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Elaboración y divulgació</w:t>
            </w:r>
            <w:r w:rsidR="00F3693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 del Protocolo de Atención de d</w:t>
            </w:r>
            <w:r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enuncias por posibles actos de corrupción.</w:t>
            </w:r>
          </w:p>
          <w:p w14:paraId="31AAFEDE" w14:textId="327B19EF" w:rsidR="00F96BCD" w:rsidRPr="000A65CF" w:rsidRDefault="005D385A" w:rsidP="0022118E">
            <w:pPr>
              <w:pStyle w:val="Prrafodelista"/>
              <w:widowControl/>
              <w:numPr>
                <w:ilvl w:val="0"/>
                <w:numId w:val="25"/>
              </w:numPr>
              <w:suppressAutoHyphens w:val="0"/>
              <w:spacing w:line="240" w:lineRule="auto"/>
              <w:ind w:left="213" w:hanging="168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Diseño de la Campaña de Comunicacion</w:t>
            </w:r>
            <w:r w:rsidR="00DA36A0"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 de Atención a la Ciudadanía</w:t>
            </w:r>
            <w:r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</w:p>
          <w:p w14:paraId="20AA0B88" w14:textId="6302CED5" w:rsidR="00F96BCD" w:rsidRPr="000A65CF" w:rsidRDefault="005D385A" w:rsidP="0022118E">
            <w:pPr>
              <w:pStyle w:val="Prrafodelista"/>
              <w:widowControl/>
              <w:numPr>
                <w:ilvl w:val="0"/>
                <w:numId w:val="25"/>
              </w:numPr>
              <w:suppressAutoHyphens w:val="0"/>
              <w:spacing w:line="240" w:lineRule="auto"/>
              <w:ind w:left="213" w:hanging="168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Realización de dos sesiones de capacitación sobre el procedimiento</w:t>
            </w:r>
            <w:r w:rsidR="00F96BCD"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de correspondencia-Orfeo y los </w:t>
            </w:r>
            <w:r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servicios en línea</w:t>
            </w:r>
            <w:r w:rsidR="00EE1339"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2F529" w14:textId="2E395F8C" w:rsidR="008E0F4B" w:rsidRPr="000A65CF" w:rsidRDefault="008E0F4B" w:rsidP="0022118E">
            <w:pPr>
              <w:widowControl/>
              <w:suppressAutoHyphens w:val="0"/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14:paraId="1A63E450" w14:textId="77777777" w:rsidR="00CB22F9" w:rsidRPr="000A65CF" w:rsidRDefault="00CB22F9" w:rsidP="0022118E">
            <w:pPr>
              <w:widowControl/>
              <w:suppressAutoHyphens w:val="0"/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14:paraId="3689220B" w14:textId="4EC73781" w:rsidR="00CB22F9" w:rsidRPr="000A65CF" w:rsidRDefault="00CB22F9" w:rsidP="00F3693E">
            <w:pPr>
              <w:widowControl/>
              <w:suppressAutoHyphens w:val="0"/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Se recomienda analizar la descripción de los controles definidos y validar la efectividad de los mismos </w:t>
            </w:r>
            <w:r w:rsidR="00E9195A"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al momento</w:t>
            </w:r>
            <w:r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de ser aplicados por el proceso.</w:t>
            </w:r>
          </w:p>
        </w:tc>
      </w:tr>
      <w:tr w:rsidR="00FC2E3F" w:rsidRPr="000A65CF" w14:paraId="5DF8BA8C" w14:textId="77777777" w:rsidTr="00E36D73">
        <w:trPr>
          <w:trHeight w:val="70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D30A9" w14:textId="52B24CFB" w:rsidR="00FC2E3F" w:rsidRPr="000A65CF" w:rsidRDefault="00FC2E3F" w:rsidP="000A65CF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s-ES"/>
              </w:rPr>
            </w:pPr>
            <w:r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Protección e </w:t>
            </w:r>
            <w:r w:rsid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</w:t>
            </w:r>
            <w:r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ntervención del Patrimonio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41D87" w14:textId="4BA920DC" w:rsidR="00D56458" w:rsidRPr="000A65CF" w:rsidRDefault="00D56458" w:rsidP="0022118E">
            <w:pPr>
              <w:widowControl/>
              <w:suppressAutoHyphens w:val="0"/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En cuanto a los riesgos de </w:t>
            </w:r>
            <w:r w:rsidR="00173859"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</w:t>
            </w:r>
            <w:r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estión se evidencia ejecución de los controles establecidos y las actividades de mitigación definidas</w:t>
            </w:r>
            <w:r w:rsidR="00F3693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,</w:t>
            </w:r>
            <w:r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obteniendo los siguientes avances:</w:t>
            </w:r>
          </w:p>
          <w:p w14:paraId="58BC79EE" w14:textId="77777777" w:rsidR="00762530" w:rsidRPr="000A65CF" w:rsidRDefault="00762530" w:rsidP="0022118E">
            <w:pPr>
              <w:widowControl/>
              <w:suppressAutoHyphens w:val="0"/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14:paraId="519E7939" w14:textId="366AFAE8" w:rsidR="00762530" w:rsidRPr="000A65CF" w:rsidRDefault="003B7C43" w:rsidP="0022118E">
            <w:pPr>
              <w:widowControl/>
              <w:suppressAutoHyphens w:val="0"/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Del </w:t>
            </w:r>
            <w:r w:rsidR="00762530"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riesgo</w:t>
            </w:r>
            <w:r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: "Aprobar estudios sin el cumplimiento debido de los requisitos y conforme a la normatividad vigente"</w:t>
            </w:r>
            <w:r w:rsidR="00762530"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no requiere plan de trabajo. Sin embargo</w:t>
            </w:r>
            <w:r w:rsidR="00676760"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,</w:t>
            </w:r>
            <w:r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se </w:t>
            </w:r>
            <w:r w:rsidR="005F3C9A"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llevan</w:t>
            </w:r>
            <w:r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a cabo las actividades de control</w:t>
            </w:r>
            <w:r w:rsidR="005F3C9A"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, a través de</w:t>
            </w:r>
            <w:r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:</w:t>
            </w:r>
          </w:p>
          <w:p w14:paraId="2850F398" w14:textId="77777777" w:rsidR="003B7C43" w:rsidRPr="000A65CF" w:rsidRDefault="003B7C43" w:rsidP="0022118E">
            <w:pPr>
              <w:widowControl/>
              <w:suppressAutoHyphens w:val="0"/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14:paraId="6C8D202A" w14:textId="77777777" w:rsidR="003B7C43" w:rsidRPr="000A65CF" w:rsidRDefault="003B7C43" w:rsidP="0022118E">
            <w:pPr>
              <w:pStyle w:val="Prrafodelista"/>
              <w:widowControl/>
              <w:numPr>
                <w:ilvl w:val="0"/>
                <w:numId w:val="25"/>
              </w:numPr>
              <w:suppressAutoHyphens w:val="0"/>
              <w:spacing w:line="240" w:lineRule="auto"/>
              <w:ind w:left="213" w:hanging="168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518 solicitudes fueron verificadas según lista de chequeo.</w:t>
            </w:r>
          </w:p>
          <w:p w14:paraId="2295FEFD" w14:textId="433EB431" w:rsidR="003B7C43" w:rsidRPr="000A65CF" w:rsidRDefault="003B7C43" w:rsidP="0022118E">
            <w:pPr>
              <w:pStyle w:val="Prrafodelista"/>
              <w:widowControl/>
              <w:numPr>
                <w:ilvl w:val="0"/>
                <w:numId w:val="25"/>
              </w:numPr>
              <w:suppressAutoHyphens w:val="0"/>
              <w:spacing w:line="240" w:lineRule="auto"/>
              <w:ind w:left="213" w:hanging="168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Se da uso a los formularios de los diferentes trámites y servicios que presta la Subdirección de Protección e Intervención</w:t>
            </w:r>
            <w:r w:rsidR="00F3693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del Patrimonio</w:t>
            </w:r>
            <w:r w:rsidR="00EE1339"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 </w:t>
            </w:r>
          </w:p>
          <w:p w14:paraId="545E348D" w14:textId="354C8748" w:rsidR="003B7C43" w:rsidRPr="000A65CF" w:rsidRDefault="003B7C43" w:rsidP="0022118E">
            <w:pPr>
              <w:pStyle w:val="Prrafodelista"/>
              <w:widowControl/>
              <w:numPr>
                <w:ilvl w:val="0"/>
                <w:numId w:val="25"/>
              </w:numPr>
              <w:suppressAutoHyphens w:val="0"/>
              <w:spacing w:line="240" w:lineRule="auto"/>
              <w:ind w:left="213" w:hanging="168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lastRenderedPageBreak/>
              <w:t>Se mantiene la base de datos para el registro de las solitudes de anteproyectos y control urbano</w:t>
            </w:r>
            <w:r w:rsidR="00EE1339"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</w:p>
          <w:p w14:paraId="5CC9E9A4" w14:textId="77777777" w:rsidR="003B7C43" w:rsidRPr="000A65CF" w:rsidRDefault="003B7C43" w:rsidP="0022118E">
            <w:pPr>
              <w:widowControl/>
              <w:suppressAutoHyphens w:val="0"/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14:paraId="2822E42C" w14:textId="4A3C4FDA" w:rsidR="00D56458" w:rsidRPr="000A65CF" w:rsidRDefault="003B7C43" w:rsidP="0022118E">
            <w:pPr>
              <w:widowControl/>
              <w:suppressAutoHyphens w:val="0"/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Del riesgo “Incumplimiento en la generación de respuestas oportunas a los trámites presentados por la ciudadanía", se evidencia que:</w:t>
            </w:r>
          </w:p>
          <w:p w14:paraId="48DA901F" w14:textId="77777777" w:rsidR="003B7C43" w:rsidRPr="000A65CF" w:rsidRDefault="003B7C43" w:rsidP="0022118E">
            <w:pPr>
              <w:widowControl/>
              <w:suppressAutoHyphens w:val="0"/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14:paraId="6D2FD20B" w14:textId="4DBF0F6B" w:rsidR="00D56458" w:rsidRPr="000A65CF" w:rsidRDefault="00F3693E" w:rsidP="0022118E">
            <w:pPr>
              <w:pStyle w:val="Prrafodelista"/>
              <w:widowControl/>
              <w:numPr>
                <w:ilvl w:val="0"/>
                <w:numId w:val="25"/>
              </w:numPr>
              <w:suppressAutoHyphens w:val="0"/>
              <w:spacing w:line="240" w:lineRule="auto"/>
              <w:ind w:left="213" w:hanging="168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</w:t>
            </w:r>
            <w:r w:rsidR="00D56458"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l total de solicitudes </w:t>
            </w:r>
            <w:r w:rsidR="00592C16"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de concepto o estudio </w:t>
            </w:r>
            <w:r w:rsidR="00D56458"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recibidas</w:t>
            </w:r>
            <w:r w:rsidR="00592C16"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,</w:t>
            </w:r>
            <w:r w:rsidR="00D56458"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 el 78%  tiene respuesta y el 22% restante corresponde a aquellas solicitudes que aún están dentro de los términos estipulados</w:t>
            </w:r>
            <w:r w:rsidR="00592C16"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</w:p>
          <w:p w14:paraId="2FC43874" w14:textId="77777777" w:rsidR="003B7C43" w:rsidRPr="000A65CF" w:rsidRDefault="003B7C43" w:rsidP="0022118E">
            <w:pPr>
              <w:pStyle w:val="Prrafodelista"/>
              <w:widowControl/>
              <w:suppressAutoHyphens w:val="0"/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14:paraId="529526CA" w14:textId="67028278" w:rsidR="00592C16" w:rsidRPr="000A65CF" w:rsidRDefault="003B7C43" w:rsidP="0022118E">
            <w:pPr>
              <w:widowControl/>
              <w:suppressAutoHyphens w:val="0"/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Del riesgo “Deterioro o p</w:t>
            </w:r>
            <w:r w:rsidR="00F3693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é</w:t>
            </w:r>
            <w:r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rdida de los valores patrimoniales de un Bien de Interés Cultural </w:t>
            </w:r>
            <w:r w:rsidR="00F3693E"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declarado o potencial</w:t>
            </w:r>
            <w:r w:rsidR="00920AE8"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”</w:t>
            </w:r>
            <w:r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, se evidencia que: </w:t>
            </w:r>
          </w:p>
          <w:p w14:paraId="13BA6B03" w14:textId="77777777" w:rsidR="003B7C43" w:rsidRPr="000A65CF" w:rsidRDefault="003B7C43" w:rsidP="0022118E">
            <w:pPr>
              <w:widowControl/>
              <w:suppressAutoHyphens w:val="0"/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14:paraId="57F91E9F" w14:textId="77777777" w:rsidR="00592C16" w:rsidRPr="000A65CF" w:rsidRDefault="00592C16" w:rsidP="0022118E">
            <w:pPr>
              <w:pStyle w:val="Prrafodelista"/>
              <w:widowControl/>
              <w:numPr>
                <w:ilvl w:val="0"/>
                <w:numId w:val="25"/>
              </w:numPr>
              <w:suppressAutoHyphens w:val="0"/>
              <w:spacing w:line="240" w:lineRule="auto"/>
              <w:ind w:left="213" w:hanging="168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un total de  66 documentos se han actualizado a la fecha de corte 6 documentos lo que representa un 9% en el avance de la actividad definida.</w:t>
            </w:r>
          </w:p>
          <w:p w14:paraId="31B57145" w14:textId="77777777" w:rsidR="00592C16" w:rsidRPr="000A65CF" w:rsidRDefault="00592C16" w:rsidP="0022118E">
            <w:pPr>
              <w:pStyle w:val="Prrafodelista"/>
              <w:widowControl/>
              <w:suppressAutoHyphens w:val="0"/>
              <w:spacing w:line="240" w:lineRule="auto"/>
              <w:ind w:left="405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14:paraId="6EF56E4F" w14:textId="538455C3" w:rsidR="003B7C43" w:rsidRPr="000A65CF" w:rsidRDefault="003B7C43" w:rsidP="0022118E">
            <w:pPr>
              <w:widowControl/>
              <w:suppressAutoHyphens w:val="0"/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En cuanto al riesgo “Deterioro de los Bienes de Interés Cultural del Distrito Capital” se evidencia que</w:t>
            </w:r>
            <w:r w:rsidR="00BF6752"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se mantiene el acompañamiento del Plan de Manejo Arqueológico en las obras que tiene a cargo el IDPC (Voto Nacional y Casa Tito). </w:t>
            </w:r>
            <w:r w:rsidR="00BF6752"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Adicionalmente, </w:t>
            </w:r>
            <w:r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se encuentra en pr</w:t>
            </w:r>
            <w:r w:rsidR="00BF6752"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oceso de revisión y aprobación </w:t>
            </w:r>
            <w:r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el informe final de </w:t>
            </w:r>
            <w:r w:rsidR="00F3693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estas</w:t>
            </w:r>
            <w:r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intervenciones por parte del ICANH.</w:t>
            </w:r>
          </w:p>
          <w:p w14:paraId="5895AC3B" w14:textId="77777777" w:rsidR="003B7C43" w:rsidRPr="000A65CF" w:rsidRDefault="003B7C43" w:rsidP="0022118E">
            <w:pPr>
              <w:widowControl/>
              <w:suppressAutoHyphens w:val="0"/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14:paraId="69006556" w14:textId="16DB01B1" w:rsidR="00592C16" w:rsidRPr="000A65CF" w:rsidRDefault="00592C16" w:rsidP="0022118E">
            <w:pPr>
              <w:widowControl/>
              <w:suppressAutoHyphens w:val="0"/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En cuanto a los riesgos de corrupción definidos, se evidencia seguimiento y ejecución de los controles definidos y de las acciones de mitigación. A la fecha no se ha</w:t>
            </w:r>
            <w:r w:rsidR="00F3693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</w:t>
            </w:r>
            <w:r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materializado los riesgos identificados por el proceso.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E2364" w14:textId="4AF9BB40" w:rsidR="00FA7999" w:rsidRPr="000A65CF" w:rsidRDefault="00772D81" w:rsidP="0022118E">
            <w:pPr>
              <w:widowControl/>
              <w:suppressAutoHyphens w:val="0"/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lastRenderedPageBreak/>
              <w:t xml:space="preserve">Para el riesgo: “Incumplimiento en la generación de respuestas oportunas a los trámites presentados por la ciudadanía", </w:t>
            </w:r>
            <w:r w:rsidR="00FA7999"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es importante </w:t>
            </w:r>
            <w:r w:rsidR="00F3693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considerar</w:t>
            </w:r>
            <w:r w:rsidR="00605176"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los demás servicios que están a cargo de la Subdirección como equiparaciones, control urbano</w:t>
            </w:r>
            <w:r w:rsidR="0085164C"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y sobre las cuales </w:t>
            </w:r>
            <w:r w:rsidR="00F3693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se debe realizar </w:t>
            </w:r>
            <w:r w:rsidR="0085164C"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seguimiento</w:t>
            </w:r>
            <w:r w:rsidR="003A0FBD"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a </w:t>
            </w:r>
            <w:r w:rsidR="00F3693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</w:t>
            </w:r>
            <w:r w:rsidR="003A0FBD"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 resp</w:t>
            </w:r>
            <w:r w:rsidR="0085164C"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u</w:t>
            </w:r>
            <w:r w:rsidR="003A0FBD"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</w:t>
            </w:r>
            <w:r w:rsidR="0085164C"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stas.</w:t>
            </w:r>
          </w:p>
          <w:p w14:paraId="46B4CA9E" w14:textId="77777777" w:rsidR="00592C16" w:rsidRPr="000A65CF" w:rsidRDefault="00592C16" w:rsidP="0022118E">
            <w:pPr>
              <w:widowControl/>
              <w:suppressAutoHyphens w:val="0"/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14:paraId="4F3C78F2" w14:textId="4E07C56E" w:rsidR="00592C16" w:rsidRPr="000A65CF" w:rsidRDefault="00DC1C44" w:rsidP="00F3693E">
            <w:pPr>
              <w:widowControl/>
              <w:suppressAutoHyphens w:val="0"/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Para el rie</w:t>
            </w:r>
            <w:r w:rsidR="00F3693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</w:t>
            </w:r>
            <w:r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go “Deterioro o </w:t>
            </w:r>
            <w:r w:rsidR="00E86774"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pérdida</w:t>
            </w:r>
            <w:r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de los valores patrimoniales de un Bien de Interés Cultural Declarado o Potencial”, s</w:t>
            </w:r>
            <w:r w:rsidR="00592C16"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e </w:t>
            </w:r>
            <w:r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requiere </w:t>
            </w:r>
            <w:r w:rsidR="00F3693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continuar</w:t>
            </w:r>
            <w:r w:rsidR="00592C16"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con la actualización de la documentación del proceso.</w:t>
            </w:r>
          </w:p>
        </w:tc>
      </w:tr>
      <w:tr w:rsidR="00FC2E3F" w:rsidRPr="000A65CF" w14:paraId="42572FE1" w14:textId="77777777" w:rsidTr="00FD7B0A">
        <w:trPr>
          <w:trHeight w:val="406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97683" w14:textId="03D7D0D4" w:rsidR="00FC2E3F" w:rsidRPr="000A65CF" w:rsidRDefault="00FC2E3F" w:rsidP="005B4190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s-ES"/>
              </w:rPr>
            </w:pPr>
            <w:r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Divulgación y apropiación social del patrimonio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13297" w14:textId="77777777" w:rsidR="001271DC" w:rsidRPr="000A65CF" w:rsidRDefault="00FC2E3F" w:rsidP="0022118E">
            <w:pPr>
              <w:widowControl/>
              <w:suppressAutoHyphens w:val="0"/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Se evidencia que los 8 riesgos definidos se han </w:t>
            </w:r>
            <w:r w:rsidR="00A34673"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controlado </w:t>
            </w:r>
            <w:r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con la ejecución de los controles establecidos y las actividades de mitigación</w:t>
            </w:r>
            <w:r w:rsidR="001271DC"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</w:p>
          <w:p w14:paraId="750C8143" w14:textId="77777777" w:rsidR="001271DC" w:rsidRPr="00886797" w:rsidRDefault="001271DC" w:rsidP="0022118E">
            <w:pPr>
              <w:widowControl/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lang w:eastAsia="es-ES"/>
              </w:rPr>
            </w:pPr>
          </w:p>
          <w:p w14:paraId="3C58BE72" w14:textId="41E35D92" w:rsidR="001271DC" w:rsidRPr="00886797" w:rsidRDefault="00471B71" w:rsidP="0022118E">
            <w:pPr>
              <w:pStyle w:val="Prrafodelista"/>
              <w:widowControl/>
              <w:numPr>
                <w:ilvl w:val="0"/>
                <w:numId w:val="25"/>
              </w:numPr>
              <w:suppressAutoHyphens w:val="0"/>
              <w:spacing w:line="240" w:lineRule="auto"/>
              <w:ind w:left="213" w:hanging="168"/>
              <w:rPr>
                <w:rFonts w:ascii="Arial" w:eastAsia="Times New Roman" w:hAnsi="Arial" w:cs="Arial"/>
                <w:color w:val="auto"/>
                <w:sz w:val="16"/>
                <w:szCs w:val="16"/>
                <w:lang w:eastAsia="es-ES"/>
              </w:rPr>
            </w:pPr>
            <w:r w:rsidRPr="00886797">
              <w:rPr>
                <w:rFonts w:ascii="Arial" w:eastAsia="Times New Roman" w:hAnsi="Arial" w:cs="Arial"/>
                <w:color w:val="auto"/>
                <w:sz w:val="16"/>
                <w:szCs w:val="16"/>
                <w:lang w:eastAsia="es-ES"/>
              </w:rPr>
              <w:t>D</w:t>
            </w:r>
            <w:r w:rsidR="001271DC" w:rsidRPr="00886797">
              <w:rPr>
                <w:rFonts w:ascii="Arial" w:eastAsia="Times New Roman" w:hAnsi="Arial" w:cs="Arial"/>
                <w:color w:val="auto"/>
                <w:sz w:val="16"/>
                <w:szCs w:val="16"/>
                <w:lang w:eastAsia="es-ES"/>
              </w:rPr>
              <w:t xml:space="preserve">igitalización de 580 </w:t>
            </w:r>
            <w:r w:rsidR="00886797" w:rsidRPr="00886797">
              <w:rPr>
                <w:rFonts w:ascii="Arial" w:eastAsia="Times New Roman" w:hAnsi="Arial" w:cs="Arial"/>
                <w:color w:val="auto"/>
                <w:sz w:val="16"/>
                <w:szCs w:val="16"/>
                <w:lang w:eastAsia="es-ES"/>
              </w:rPr>
              <w:t xml:space="preserve">de 1.200 </w:t>
            </w:r>
            <w:r w:rsidR="001271DC" w:rsidRPr="00886797">
              <w:rPr>
                <w:rFonts w:ascii="Arial" w:eastAsia="Times New Roman" w:hAnsi="Arial" w:cs="Arial"/>
                <w:color w:val="auto"/>
                <w:sz w:val="16"/>
                <w:szCs w:val="16"/>
                <w:lang w:eastAsia="es-ES"/>
              </w:rPr>
              <w:t>imágenes</w:t>
            </w:r>
            <w:r w:rsidR="00886797" w:rsidRPr="00886797">
              <w:rPr>
                <w:rFonts w:ascii="Arial" w:eastAsia="Times New Roman" w:hAnsi="Arial" w:cs="Arial"/>
                <w:color w:val="auto"/>
                <w:sz w:val="16"/>
                <w:szCs w:val="16"/>
                <w:lang w:eastAsia="es-ES"/>
              </w:rPr>
              <w:t>.</w:t>
            </w:r>
          </w:p>
          <w:p w14:paraId="0B3EB36A" w14:textId="20B2C80E" w:rsidR="00EE1339" w:rsidRPr="000A65CF" w:rsidRDefault="00471B71" w:rsidP="0022118E">
            <w:pPr>
              <w:pStyle w:val="Prrafodelista"/>
              <w:widowControl/>
              <w:numPr>
                <w:ilvl w:val="0"/>
                <w:numId w:val="25"/>
              </w:numPr>
              <w:suppressAutoHyphens w:val="0"/>
              <w:spacing w:line="240" w:lineRule="auto"/>
              <w:ind w:left="213" w:hanging="168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</w:t>
            </w:r>
            <w:r w:rsidR="001271DC"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pertura y divulgación de las condiciones según </w:t>
            </w:r>
            <w:r w:rsidR="00B771CE"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el </w:t>
            </w:r>
            <w:r w:rsidR="00F3693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Programa Distrital de Estímulos</w:t>
            </w:r>
            <w:r w:rsidR="001271DC"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</w:p>
          <w:p w14:paraId="04B67E2D" w14:textId="040267CA" w:rsidR="00EE1339" w:rsidRPr="000A65CF" w:rsidRDefault="009B2FDE" w:rsidP="0022118E">
            <w:pPr>
              <w:pStyle w:val="Prrafodelista"/>
              <w:widowControl/>
              <w:numPr>
                <w:ilvl w:val="0"/>
                <w:numId w:val="25"/>
              </w:numPr>
              <w:suppressAutoHyphens w:val="0"/>
              <w:spacing w:line="240" w:lineRule="auto"/>
              <w:ind w:left="213" w:hanging="168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Levantamiento y/o actualización de los estados de conservación de 30 de 120 piezas de la colección en el </w:t>
            </w:r>
            <w:r w:rsidR="00F3693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</w:t>
            </w:r>
            <w:r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istema de colecciones colombianas.</w:t>
            </w:r>
          </w:p>
          <w:p w14:paraId="60A18A19" w14:textId="77777777" w:rsidR="00EE1339" w:rsidRPr="000A65CF" w:rsidRDefault="009B2FDE" w:rsidP="0022118E">
            <w:pPr>
              <w:pStyle w:val="Prrafodelista"/>
              <w:widowControl/>
              <w:numPr>
                <w:ilvl w:val="0"/>
                <w:numId w:val="25"/>
              </w:numPr>
              <w:suppressAutoHyphens w:val="0"/>
              <w:spacing w:line="240" w:lineRule="auto"/>
              <w:ind w:left="213" w:hanging="168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Revisión de la instalación de equipo de medición.</w:t>
            </w:r>
          </w:p>
          <w:p w14:paraId="277230A5" w14:textId="77777777" w:rsidR="00EE1339" w:rsidRPr="000A65CF" w:rsidRDefault="009B2FDE" w:rsidP="0022118E">
            <w:pPr>
              <w:pStyle w:val="Prrafodelista"/>
              <w:widowControl/>
              <w:numPr>
                <w:ilvl w:val="0"/>
                <w:numId w:val="25"/>
              </w:numPr>
              <w:suppressAutoHyphens w:val="0"/>
              <w:spacing w:line="240" w:lineRule="auto"/>
              <w:ind w:left="213" w:hanging="168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Seguimiento al cronograma de exposiciones.</w:t>
            </w:r>
          </w:p>
          <w:p w14:paraId="417B2334" w14:textId="6B546A13" w:rsidR="00EE1339" w:rsidRPr="000A65CF" w:rsidRDefault="009B2FDE" w:rsidP="0022118E">
            <w:pPr>
              <w:pStyle w:val="Prrafodelista"/>
              <w:widowControl/>
              <w:numPr>
                <w:ilvl w:val="0"/>
                <w:numId w:val="25"/>
              </w:numPr>
              <w:suppressAutoHyphens w:val="0"/>
              <w:spacing w:line="240" w:lineRule="auto"/>
              <w:ind w:left="213" w:hanging="168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Seguimiento a la programación mensual de las actividades educativas y culturales</w:t>
            </w:r>
            <w:r w:rsidR="00F3693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</w:p>
          <w:p w14:paraId="2DE4376A" w14:textId="6A134856" w:rsidR="00FC2E3F" w:rsidRPr="000A65CF" w:rsidRDefault="009B2FDE" w:rsidP="0022118E">
            <w:pPr>
              <w:pStyle w:val="Prrafodelista"/>
              <w:widowControl/>
              <w:numPr>
                <w:ilvl w:val="0"/>
                <w:numId w:val="25"/>
              </w:numPr>
              <w:suppressAutoHyphens w:val="0"/>
              <w:spacing w:line="240" w:lineRule="auto"/>
              <w:ind w:left="213" w:hanging="168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Mejoramiento de la página web del IDPC</w:t>
            </w:r>
            <w:r w:rsidR="00EE1339"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57914" w14:textId="7C2EEFC8" w:rsidR="00FC2E3F" w:rsidRPr="000A65CF" w:rsidRDefault="009B2FDE" w:rsidP="0022118E">
            <w:pPr>
              <w:widowControl/>
              <w:suppressAutoHyphens w:val="0"/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La dependencia </w:t>
            </w:r>
            <w:r w:rsidR="004B21F3"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debe </w:t>
            </w:r>
            <w:r w:rsidR="00592C16"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contar con las evidencias</w:t>
            </w:r>
            <w:r w:rsidR="0068495C"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</w:t>
            </w:r>
            <w:r w:rsidR="004B21F3"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organizadas </w:t>
            </w:r>
            <w:r w:rsidR="00592C16"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correspondientes al</w:t>
            </w:r>
            <w:r w:rsidR="004B21F3"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</w:t>
            </w:r>
            <w:r w:rsidR="00592C16"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monitoreo realizado a los riesgos</w:t>
            </w:r>
            <w:r w:rsidR="004B21F3"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</w:p>
          <w:p w14:paraId="3C714631" w14:textId="77777777" w:rsidR="00592C16" w:rsidRPr="000A65CF" w:rsidRDefault="00592C16" w:rsidP="0022118E">
            <w:pPr>
              <w:widowControl/>
              <w:suppressAutoHyphens w:val="0"/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14:paraId="272E9D59" w14:textId="207655DD" w:rsidR="00592C16" w:rsidRPr="000A65CF" w:rsidRDefault="00592C16" w:rsidP="0022118E">
            <w:pPr>
              <w:widowControl/>
              <w:suppressAutoHyphens w:val="0"/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Dado que no se logra identificar las variables que generaron la medición del indicador; se </w:t>
            </w:r>
            <w:r w:rsidR="009B2FDE"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debe </w:t>
            </w:r>
            <w:r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incluir en el análisis cualitativo </w:t>
            </w:r>
            <w:r w:rsidR="00E42461"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los resultados obtenidos durante el cuatrimestre que soportan y generan el resultado del indicador</w:t>
            </w:r>
            <w:r w:rsidR="009B2FDE"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, así como separar la información en la casilla “Resultado del indicador”</w:t>
            </w:r>
            <w:r w:rsidR="00F3693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</w:p>
        </w:tc>
      </w:tr>
      <w:tr w:rsidR="00FC2E3F" w:rsidRPr="000A65CF" w14:paraId="07225DDE" w14:textId="77777777" w:rsidTr="00FD7B0A">
        <w:trPr>
          <w:trHeight w:val="70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4AEB2" w14:textId="55CEAE96" w:rsidR="00FC2E3F" w:rsidRPr="000A65CF" w:rsidRDefault="00FC2E3F" w:rsidP="005B4190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Gestión Talento Humano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18AD4" w14:textId="620A7EB5" w:rsidR="009369DD" w:rsidRPr="000A65CF" w:rsidRDefault="00FC2E3F" w:rsidP="0022118E">
            <w:pPr>
              <w:widowControl/>
              <w:suppressAutoHyphens w:val="0"/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Del riesgo de corrupción "Uso  indebido de la información que administra el  proceso de Gestión del </w:t>
            </w:r>
            <w:r w:rsidR="008E5943"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</w:t>
            </w:r>
            <w:r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alento </w:t>
            </w:r>
            <w:r w:rsidR="008E5943"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</w:t>
            </w:r>
            <w:r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umano para favorecer un i</w:t>
            </w:r>
            <w:r w:rsidR="00F20828"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nterés particular"</w:t>
            </w:r>
            <w:r w:rsidR="00486B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,</w:t>
            </w:r>
            <w:r w:rsidR="00F20828"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se evidencian avances en la actualización de la documentació</w:t>
            </w:r>
            <w:r w:rsidR="00293382"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 del proceso y ejecución de los</w:t>
            </w:r>
            <w:r w:rsidR="00F20828"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controles definidos.</w:t>
            </w:r>
          </w:p>
          <w:p w14:paraId="77C3BF95" w14:textId="77777777" w:rsidR="009369DD" w:rsidRPr="000A65CF" w:rsidRDefault="009369DD" w:rsidP="0022118E">
            <w:pPr>
              <w:widowControl/>
              <w:suppressAutoHyphens w:val="0"/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14:paraId="04BF1BCD" w14:textId="48BDE814" w:rsidR="00F20828" w:rsidRPr="000A65CF" w:rsidRDefault="009369DD" w:rsidP="0022118E">
            <w:pPr>
              <w:widowControl/>
              <w:suppressAutoHyphens w:val="0"/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</w:t>
            </w:r>
            <w:r w:rsidR="00F20828"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 cuanto a los riesgos de gestión se evidencia que se realizaron las siguientes actividades:</w:t>
            </w:r>
          </w:p>
          <w:p w14:paraId="6152F3C4" w14:textId="77777777" w:rsidR="00F20828" w:rsidRPr="000A65CF" w:rsidRDefault="00F20828" w:rsidP="0022118E">
            <w:pPr>
              <w:widowControl/>
              <w:suppressAutoHyphens w:val="0"/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14:paraId="618E7C24" w14:textId="703BC021" w:rsidR="00F20828" w:rsidRPr="000A65CF" w:rsidRDefault="00F20828" w:rsidP="0022118E">
            <w:pPr>
              <w:pStyle w:val="Prrafodelista"/>
              <w:widowControl/>
              <w:numPr>
                <w:ilvl w:val="0"/>
                <w:numId w:val="25"/>
              </w:numPr>
              <w:suppressAutoHyphens w:val="0"/>
              <w:spacing w:line="240" w:lineRule="auto"/>
              <w:ind w:left="213" w:hanging="168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Programación de </w:t>
            </w:r>
            <w:r w:rsidR="00486BE4"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novedades de nómina</w:t>
            </w:r>
            <w:r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</w:p>
          <w:p w14:paraId="633E531E" w14:textId="1462E83E" w:rsidR="00F20828" w:rsidRPr="000A65CF" w:rsidRDefault="00F20828" w:rsidP="0022118E">
            <w:pPr>
              <w:pStyle w:val="Prrafodelista"/>
              <w:widowControl/>
              <w:numPr>
                <w:ilvl w:val="0"/>
                <w:numId w:val="25"/>
              </w:numPr>
              <w:suppressAutoHyphens w:val="0"/>
              <w:spacing w:line="240" w:lineRule="auto"/>
              <w:ind w:left="213" w:hanging="168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Liquidación en el sistema de </w:t>
            </w:r>
            <w:r w:rsidR="00486B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</w:t>
            </w:r>
            <w:r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ómina. </w:t>
            </w:r>
          </w:p>
          <w:p w14:paraId="05C7C424" w14:textId="56BC4801" w:rsidR="00F20828" w:rsidRPr="000A65CF" w:rsidRDefault="00F20828" w:rsidP="0022118E">
            <w:pPr>
              <w:pStyle w:val="Prrafodelista"/>
              <w:widowControl/>
              <w:numPr>
                <w:ilvl w:val="0"/>
                <w:numId w:val="25"/>
              </w:numPr>
              <w:suppressAutoHyphens w:val="0"/>
              <w:spacing w:line="240" w:lineRule="auto"/>
              <w:ind w:left="213" w:hanging="168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Conciliación con el </w:t>
            </w:r>
            <w:r w:rsidR="00486B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equipo</w:t>
            </w:r>
            <w:r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de Presupuesto. </w:t>
            </w:r>
          </w:p>
          <w:p w14:paraId="5BBC5399" w14:textId="77777777" w:rsidR="00F20828" w:rsidRPr="000A65CF" w:rsidRDefault="00F20828" w:rsidP="0022118E">
            <w:pPr>
              <w:widowControl/>
              <w:suppressAutoHyphens w:val="0"/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14:paraId="6B3EA1FA" w14:textId="751668EA" w:rsidR="00FC2E3F" w:rsidRPr="000A65CF" w:rsidRDefault="00F20828" w:rsidP="0022118E">
            <w:pPr>
              <w:widowControl/>
              <w:suppressAutoHyphens w:val="0"/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Adicional a ello</w:t>
            </w:r>
            <w:r w:rsidR="009369DD"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,</w:t>
            </w:r>
            <w:r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se aprobó y publicó el procedimiento de nómina el cual se puede consultar en la Intranet. </w:t>
            </w:r>
            <w:r w:rsidR="00FC2E3F"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8E051" w14:textId="45656939" w:rsidR="00F20828" w:rsidRPr="000A65CF" w:rsidRDefault="002017E3" w:rsidP="00486BE4">
            <w:pPr>
              <w:widowControl/>
              <w:suppressAutoHyphens w:val="0"/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Se</w:t>
            </w:r>
            <w:r w:rsidR="00F20828"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debe</w:t>
            </w:r>
            <w:r w:rsidR="001D773B"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</w:t>
            </w:r>
            <w:r w:rsidR="00F20828"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socializa</w:t>
            </w:r>
            <w:r w:rsidR="001D773B"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</w:t>
            </w:r>
            <w:r w:rsidR="00F20828"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las actualizaciones realizadas a la documentación del proceso a todos los </w:t>
            </w:r>
            <w:r w:rsidR="00486B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servidores públicos</w:t>
            </w:r>
            <w:r w:rsidR="00F20828"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y contratistas del IDPC.</w:t>
            </w:r>
          </w:p>
        </w:tc>
      </w:tr>
      <w:tr w:rsidR="00FC2E3F" w:rsidRPr="000A65CF" w14:paraId="266F8A2B" w14:textId="77777777" w:rsidTr="00FD7B0A">
        <w:trPr>
          <w:trHeight w:val="181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7CA57" w14:textId="329A3794" w:rsidR="00FC2E3F" w:rsidRPr="000A65CF" w:rsidRDefault="00FC2E3F" w:rsidP="005B4190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lastRenderedPageBreak/>
              <w:t>Gestión Jurídica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E95E1" w14:textId="077618B7" w:rsidR="007846C1" w:rsidRPr="000A65CF" w:rsidRDefault="00F67CF0" w:rsidP="0022118E">
            <w:pPr>
              <w:widowControl/>
              <w:suppressAutoHyphens w:val="0"/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</w:t>
            </w:r>
            <w:r w:rsidR="007846C1"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e evidencia que se  reciben requerimientos de los diferentes despachos judiciales a través </w:t>
            </w:r>
            <w:r w:rsidR="002914F0"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del</w:t>
            </w:r>
            <w:r w:rsidR="007846C1"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correo electrónico </w:t>
            </w:r>
            <w:hyperlink r:id="rId10" w:history="1">
              <w:r w:rsidR="002914F0" w:rsidRPr="000A65CF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ES"/>
                </w:rPr>
                <w:t>Notificacionjudicial@idpc.gov.co</w:t>
              </w:r>
            </w:hyperlink>
            <w:r w:rsidR="002914F0"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, </w:t>
            </w:r>
            <w:r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</w:t>
            </w:r>
            <w:r w:rsidR="002914F0"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osteriormente </w:t>
            </w:r>
            <w:r w:rsidR="007846C1"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se realiza registro de las actuaciones judiciales en el sistema SIPROJ DC</w:t>
            </w:r>
            <w:r w:rsidR="00471B71"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</w:p>
          <w:p w14:paraId="6078BB1E" w14:textId="77777777" w:rsidR="007846C1" w:rsidRPr="000A65CF" w:rsidRDefault="007846C1" w:rsidP="0022118E">
            <w:pPr>
              <w:widowControl/>
              <w:suppressAutoHyphens w:val="0"/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14:paraId="12AF5AB3" w14:textId="54666617" w:rsidR="007846C1" w:rsidRPr="000A65CF" w:rsidRDefault="00F67CF0" w:rsidP="0022118E">
            <w:pPr>
              <w:widowControl/>
              <w:suppressAutoHyphens w:val="0"/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</w:t>
            </w:r>
            <w:r w:rsidR="007846C1"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 realiza publicación de la nueva versión del procedimiento Defensa y representación judicial</w:t>
            </w:r>
            <w:r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</w:p>
          <w:p w14:paraId="6C372E9C" w14:textId="77777777" w:rsidR="007846C1" w:rsidRPr="000A65CF" w:rsidRDefault="007846C1" w:rsidP="0022118E">
            <w:pPr>
              <w:widowControl/>
              <w:suppressAutoHyphens w:val="0"/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14:paraId="2A9A4A64" w14:textId="186C2E2A" w:rsidR="007846C1" w:rsidRPr="000A65CF" w:rsidRDefault="00F67CF0" w:rsidP="0022118E">
            <w:pPr>
              <w:widowControl/>
              <w:suppressAutoHyphens w:val="0"/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Durante el cuatrimestre se atienden</w:t>
            </w:r>
            <w:r w:rsidR="007846C1"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18 procesos judiciales  a los cuales se les </w:t>
            </w:r>
            <w:r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da el</w:t>
            </w:r>
            <w:r w:rsidR="007846C1"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trámite correspondiente.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77BF3" w14:textId="77777777" w:rsidR="00F67CF0" w:rsidRPr="000A65CF" w:rsidRDefault="00F67CF0" w:rsidP="0022118E">
            <w:pPr>
              <w:widowControl/>
              <w:suppressAutoHyphens w:val="0"/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14:paraId="7C24AF8C" w14:textId="52E33A83" w:rsidR="00F67CF0" w:rsidRPr="000A65CF" w:rsidRDefault="00D86B27" w:rsidP="00486BE4">
            <w:pPr>
              <w:widowControl/>
              <w:suppressAutoHyphens w:val="0"/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Teniendo</w:t>
            </w:r>
            <w:r w:rsidR="00F67CF0"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en cuenta que se actualiz</w:t>
            </w:r>
            <w:r w:rsidR="00486B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ó</w:t>
            </w:r>
            <w:r w:rsidR="00F67CF0"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el procedimiento de Defensa y representación judicial se </w:t>
            </w:r>
            <w:r w:rsidR="00C050ED"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debe </w:t>
            </w:r>
            <w:r w:rsidR="00F67CF0"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utilizar el formato de procesos </w:t>
            </w:r>
            <w:r w:rsidR="00C050ED"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</w:t>
            </w:r>
            <w:r w:rsidR="00F67CF0"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udiciales</w:t>
            </w:r>
            <w:r w:rsidR="00CE001C"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</w:t>
            </w:r>
            <w:r w:rsidR="00F67CF0"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que fue aprobado con el procedimiento.</w:t>
            </w:r>
          </w:p>
        </w:tc>
      </w:tr>
      <w:tr w:rsidR="00FC2E3F" w:rsidRPr="000A65CF" w14:paraId="58304AC6" w14:textId="77777777" w:rsidTr="00FD7B0A">
        <w:trPr>
          <w:trHeight w:val="2250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45449" w14:textId="2ACF8754" w:rsidR="00FC2E3F" w:rsidRPr="000A65CF" w:rsidRDefault="00FC2E3F" w:rsidP="005B4190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Gestión Contractual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49295" w14:textId="72488855" w:rsidR="00BF6752" w:rsidRPr="000A65CF" w:rsidRDefault="00FC2E3F" w:rsidP="0022118E">
            <w:pPr>
              <w:widowControl/>
              <w:suppressAutoHyphens w:val="0"/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El proceso ha documentado e identificado 5 riesgos</w:t>
            </w:r>
            <w:r w:rsidR="00AD3486"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, sobre los cuales s</w:t>
            </w:r>
            <w:r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 han ejecutado los controles definidos y se han gestionado las actividades de mitigación definidas por el proceso</w:t>
            </w:r>
            <w:r w:rsidR="00AE6EF9"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, evidenciando</w:t>
            </w:r>
            <w:r w:rsidR="00486B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lo siguiente</w:t>
            </w:r>
            <w:r w:rsidR="00BF6752"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:</w:t>
            </w:r>
          </w:p>
          <w:p w14:paraId="77D72BE3" w14:textId="77777777" w:rsidR="00BF6752" w:rsidRPr="000A65CF" w:rsidRDefault="00BF6752" w:rsidP="0022118E">
            <w:pPr>
              <w:widowControl/>
              <w:suppressAutoHyphens w:val="0"/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14:paraId="543B8631" w14:textId="198060B4" w:rsidR="00BF6752" w:rsidRPr="000A65CF" w:rsidRDefault="00BF6752" w:rsidP="0022118E">
            <w:pPr>
              <w:pStyle w:val="Prrafodelista"/>
              <w:widowControl/>
              <w:numPr>
                <w:ilvl w:val="0"/>
                <w:numId w:val="25"/>
              </w:numPr>
              <w:suppressAutoHyphens w:val="0"/>
              <w:spacing w:line="240" w:lineRule="auto"/>
              <w:ind w:left="213" w:hanging="168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Asesoría y acompañamiento en la elaboración de estudios previos de acuerdo </w:t>
            </w:r>
            <w:r w:rsidR="00486B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con </w:t>
            </w:r>
            <w:r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las solicitudes de las  dependencias</w:t>
            </w:r>
            <w:r w:rsidR="00486B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</w:p>
          <w:p w14:paraId="7C092C63" w14:textId="6D0AA631" w:rsidR="00FC2E3F" w:rsidRPr="000A65CF" w:rsidRDefault="00BF6752" w:rsidP="0022118E">
            <w:pPr>
              <w:pStyle w:val="Prrafodelista"/>
              <w:widowControl/>
              <w:numPr>
                <w:ilvl w:val="0"/>
                <w:numId w:val="25"/>
              </w:numPr>
              <w:suppressAutoHyphens w:val="0"/>
              <w:spacing w:line="240" w:lineRule="auto"/>
              <w:ind w:left="213" w:hanging="168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Actualización de un 60% de la documentación del proceso de Gestión contractual</w:t>
            </w:r>
            <w:r w:rsidR="00486B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</w:p>
          <w:p w14:paraId="675BCD5C" w14:textId="712048BA" w:rsidR="00BF6752" w:rsidRPr="000A65CF" w:rsidRDefault="00BF6752" w:rsidP="0022118E">
            <w:pPr>
              <w:pStyle w:val="Prrafodelista"/>
              <w:widowControl/>
              <w:numPr>
                <w:ilvl w:val="0"/>
                <w:numId w:val="25"/>
              </w:numPr>
              <w:suppressAutoHyphens w:val="0"/>
              <w:spacing w:line="240" w:lineRule="auto"/>
              <w:ind w:left="213" w:hanging="168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Realización de un conversatorio y/o capacitación por parte de la Oficina Asesora</w:t>
            </w:r>
            <w:r w:rsidR="00486B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Jurídica</w:t>
            </w:r>
            <w:r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en temas relacionados a las buenas prácticas de supervisión en </w:t>
            </w:r>
            <w:r w:rsidR="00AE6EF9"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SECOP </w:t>
            </w:r>
            <w:r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II.</w:t>
            </w:r>
          </w:p>
          <w:p w14:paraId="06F8D7CA" w14:textId="77777777" w:rsidR="00CE001C" w:rsidRPr="000A65CF" w:rsidRDefault="00CE001C" w:rsidP="0022118E">
            <w:pPr>
              <w:widowControl/>
              <w:suppressAutoHyphens w:val="0"/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14:paraId="46F244FE" w14:textId="2AF0266F" w:rsidR="00CE001C" w:rsidRPr="000A65CF" w:rsidRDefault="00AE6EF9" w:rsidP="0022118E">
            <w:pPr>
              <w:widowControl/>
              <w:suppressAutoHyphens w:val="0"/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</w:t>
            </w:r>
            <w:r w:rsidR="008835F9"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 evidencia ejecución de los controles definidos y gestión de las actividades de mitigación</w:t>
            </w:r>
            <w:r w:rsidR="00654F2C"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45917" w14:textId="77777777" w:rsidR="008835F9" w:rsidRPr="000A65CF" w:rsidRDefault="008835F9" w:rsidP="0022118E">
            <w:pPr>
              <w:widowControl/>
              <w:suppressAutoHyphens w:val="0"/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14:paraId="1CFAAC36" w14:textId="7E930825" w:rsidR="008835F9" w:rsidRPr="000A65CF" w:rsidRDefault="00654F2C" w:rsidP="0022118E">
            <w:pPr>
              <w:widowControl/>
              <w:suppressAutoHyphens w:val="0"/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Es importante que la dependencia </w:t>
            </w:r>
            <w:r w:rsidR="008835F9"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reali</w:t>
            </w:r>
            <w:r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ce</w:t>
            </w:r>
            <w:r w:rsidR="008835F9"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seguimiento</w:t>
            </w:r>
            <w:r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</w:t>
            </w:r>
            <w:r w:rsidR="008835F9"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a la aplicación de los nuevos procedimientos generados por el proceso de Gestión Contractual.</w:t>
            </w:r>
          </w:p>
          <w:p w14:paraId="574DA142" w14:textId="6E89D920" w:rsidR="00FC2E3F" w:rsidRPr="000A65CF" w:rsidRDefault="00FC2E3F" w:rsidP="0022118E">
            <w:pPr>
              <w:widowControl/>
              <w:suppressAutoHyphens w:val="0"/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FC2E3F" w:rsidRPr="000A65CF" w14:paraId="65D19BEC" w14:textId="77777777" w:rsidTr="00FD7B0A">
        <w:trPr>
          <w:trHeight w:val="2249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17A0D" w14:textId="79884CCB" w:rsidR="00FC2E3F" w:rsidRPr="000A65CF" w:rsidRDefault="00FC2E3F" w:rsidP="005B4190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Gestión Documental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0A6FE" w14:textId="2D9F16EC" w:rsidR="009F73D0" w:rsidRPr="000A65CF" w:rsidRDefault="00654F2C" w:rsidP="0022118E">
            <w:pPr>
              <w:widowControl/>
              <w:suppressAutoHyphens w:val="0"/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</w:t>
            </w:r>
            <w:r w:rsidR="00FB16DF"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 realizó un total de 1</w:t>
            </w:r>
            <w:r w:rsidR="00D147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="00FB16DF"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117 préstamos y consultas a usuarios internos correspondientes a los archivos de gestión, archivo central y fondo documental acumulado. </w:t>
            </w:r>
          </w:p>
          <w:p w14:paraId="58E075CA" w14:textId="77777777" w:rsidR="009F73D0" w:rsidRPr="000A65CF" w:rsidRDefault="009F73D0" w:rsidP="0022118E">
            <w:pPr>
              <w:widowControl/>
              <w:suppressAutoHyphens w:val="0"/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14:paraId="5BA37805" w14:textId="37E2CEBF" w:rsidR="008835F9" w:rsidRPr="000A65CF" w:rsidRDefault="00FB16DF" w:rsidP="0022118E">
            <w:pPr>
              <w:widowControl/>
              <w:suppressAutoHyphens w:val="0"/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Se evidencia aplicación del Procedimiento de </w:t>
            </w:r>
            <w:r w:rsidR="009F73D0"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Consulta </w:t>
            </w:r>
            <w:r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y </w:t>
            </w:r>
            <w:r w:rsidR="009F73D0"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Préstamo </w:t>
            </w:r>
            <w:r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de </w:t>
            </w:r>
            <w:r w:rsidR="009F73D0"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Expedientes </w:t>
            </w:r>
            <w:r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del </w:t>
            </w:r>
            <w:r w:rsidR="009F73D0"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Archivo </w:t>
            </w:r>
            <w:r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de </w:t>
            </w:r>
            <w:r w:rsidR="009F73D0"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Bienes </w:t>
            </w:r>
            <w:r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de </w:t>
            </w:r>
            <w:r w:rsidR="009F73D0"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Interés Cultural</w:t>
            </w:r>
            <w:r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” vigente.</w:t>
            </w:r>
          </w:p>
          <w:p w14:paraId="4BDC48F9" w14:textId="77777777" w:rsidR="00FB16DF" w:rsidRPr="000A65CF" w:rsidRDefault="00FB16DF" w:rsidP="0022118E">
            <w:pPr>
              <w:widowControl/>
              <w:suppressAutoHyphens w:val="0"/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14:paraId="66A422AE" w14:textId="533C16F8" w:rsidR="00FC2E3F" w:rsidRPr="000A65CF" w:rsidRDefault="008835F9" w:rsidP="00D147EE">
            <w:pPr>
              <w:widowControl/>
              <w:suppressAutoHyphens w:val="0"/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En cuanto a los riesgos de gestión </w:t>
            </w:r>
            <w:r w:rsidR="00FC2E3F"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se </w:t>
            </w:r>
            <w:r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han ejecutado</w:t>
            </w:r>
            <w:r w:rsidR="00FC2E3F"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los controles definidos y las actividades de mitigación propuestas.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364DF" w14:textId="05B4F871" w:rsidR="00FB16DF" w:rsidRPr="000A65CF" w:rsidRDefault="00FB16DF" w:rsidP="0022118E">
            <w:pPr>
              <w:widowControl/>
              <w:suppressAutoHyphens w:val="0"/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Se recomienda documentar la programación del seguimiento a la gestión documental con el ánimo de identificar si se dio cumplimiento a la meta establecida por el proceso</w:t>
            </w:r>
            <w:r w:rsidR="00D86B27"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</w:p>
        </w:tc>
      </w:tr>
      <w:tr w:rsidR="00FC2E3F" w:rsidRPr="000A65CF" w14:paraId="1CF44CE1" w14:textId="77777777" w:rsidTr="00FD7B0A">
        <w:trPr>
          <w:trHeight w:val="826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78F91" w14:textId="77777777" w:rsidR="00FC2E3F" w:rsidRPr="000A65CF" w:rsidRDefault="00FC2E3F" w:rsidP="005B4190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Administración de Bienes e Infraestructura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FA0EE" w14:textId="4BD2E8E4" w:rsidR="00FC2E3F" w:rsidRPr="000A65CF" w:rsidRDefault="00FC2E3F" w:rsidP="0022118E">
            <w:pPr>
              <w:widowControl/>
              <w:suppressAutoHyphens w:val="0"/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En cuanto al riesgo de corrupción "Incorrecta verificación, asig</w:t>
            </w:r>
            <w:r w:rsidR="00D147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nación o administración de los </w:t>
            </w:r>
            <w:r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activos fijos y elementos de consumo"</w:t>
            </w:r>
            <w:r w:rsidR="00D147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,</w:t>
            </w:r>
            <w:r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se evidencia que el control de los activos se ha realizado a través del sistema SIIGO y las solicitudes de elementos se han realizado a través del sistema de Gestión Documental ORFEO.</w:t>
            </w:r>
          </w:p>
          <w:p w14:paraId="40FDA26D" w14:textId="77777777" w:rsidR="00BF6752" w:rsidRPr="000A65CF" w:rsidRDefault="00BF6752" w:rsidP="0022118E">
            <w:pPr>
              <w:widowControl/>
              <w:suppressAutoHyphens w:val="0"/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14:paraId="7B2B778D" w14:textId="5D4D12E0" w:rsidR="00BF6752" w:rsidRPr="000A65CF" w:rsidRDefault="00BF6752" w:rsidP="0022118E">
            <w:pPr>
              <w:widowControl/>
              <w:suppressAutoHyphens w:val="0"/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los riesgos de gestión se evidencia la ejecución de los controles definidos y de las actividades de mitigación propuestas.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4335B" w14:textId="4B6FBFCA" w:rsidR="00C875C9" w:rsidRPr="000A65CF" w:rsidRDefault="00D147EE" w:rsidP="0022118E">
            <w:pPr>
              <w:widowControl/>
              <w:suppressAutoHyphens w:val="0"/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Se recomienda analizar y re</w:t>
            </w:r>
            <w:r w:rsidR="00B115B5"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definir</w:t>
            </w:r>
            <w:r w:rsidR="00286CAF"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los controles </w:t>
            </w:r>
            <w:r w:rsidR="00B115B5"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establecidos </w:t>
            </w:r>
            <w:r w:rsidR="00286CAF"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y las actividades de mitigación dado que es posible que no se evite</w:t>
            </w:r>
            <w:r w:rsidR="003E0DFE"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el riesgo con estas medidas</w:t>
            </w:r>
            <w:r w:rsidR="00286CAF"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o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que se</w:t>
            </w:r>
            <w:r w:rsidR="00286CAF"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elimine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</w:t>
            </w:r>
            <w:r w:rsidR="00286CAF"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las causas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</w:t>
            </w:r>
            <w:r w:rsidR="00286CAF"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el riesgo.</w:t>
            </w:r>
          </w:p>
          <w:p w14:paraId="3CC09701" w14:textId="77777777" w:rsidR="00C875C9" w:rsidRPr="000A65CF" w:rsidRDefault="00C875C9" w:rsidP="0022118E">
            <w:pPr>
              <w:widowControl/>
              <w:suppressAutoHyphens w:val="0"/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14:paraId="4D96602C" w14:textId="744E0B43" w:rsidR="00B115B5" w:rsidRPr="000A65CF" w:rsidRDefault="0016633F" w:rsidP="0022118E">
            <w:pPr>
              <w:widowControl/>
              <w:suppressAutoHyphens w:val="0"/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</w:t>
            </w:r>
            <w:r w:rsidR="00C875C9"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e recomienda </w:t>
            </w:r>
            <w:r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generar mecanismos que </w:t>
            </w:r>
            <w:r w:rsidR="0015553E"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garanticen</w:t>
            </w:r>
            <w:r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</w:t>
            </w:r>
            <w:r w:rsidR="0015553E"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la </w:t>
            </w:r>
            <w:r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revisión de los elementos adquiridos por el IDPC</w:t>
            </w:r>
            <w:r w:rsidR="0015553E"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, a través de la de elaboración de procedimientos, guías o manuales.</w:t>
            </w:r>
          </w:p>
        </w:tc>
      </w:tr>
      <w:tr w:rsidR="00FC2E3F" w:rsidRPr="000A65CF" w14:paraId="471F7A9B" w14:textId="77777777" w:rsidTr="00FD7B0A">
        <w:trPr>
          <w:trHeight w:val="70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625DC" w14:textId="77777777" w:rsidR="00FC2E3F" w:rsidRPr="000A65CF" w:rsidRDefault="00FC2E3F" w:rsidP="005B4190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Gestión de Sistemas de Información y Tecnología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745C2" w14:textId="1B6C028A" w:rsidR="00FC2E3F" w:rsidRPr="000A65CF" w:rsidRDefault="00D147EE" w:rsidP="00D147EE">
            <w:pPr>
              <w:widowControl/>
              <w:suppressAutoHyphens w:val="0"/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El proceso ha</w:t>
            </w:r>
            <w:r w:rsidR="0016633F"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identificado los riesgos de “Vulnerabilidad y p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é</w:t>
            </w:r>
            <w:r w:rsidR="0016633F"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rdida de información” y </w:t>
            </w:r>
            <w:r w:rsidR="00E70301"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“</w:t>
            </w:r>
            <w:r w:rsidR="0016633F"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Daños, deterioro o pérdida de los recursos tecnológicos” los cuales no se han materializado. Se evidencia que se llevaron a cabo mesas de trabajo para la definición y actualización del procedimiento de BACK UP y se ejecutaron las actividades programadas para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el segundo</w:t>
            </w:r>
            <w:r w:rsidR="0016633F"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cuatrimestre </w:t>
            </w:r>
            <w:r w:rsidR="00DD08CE"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en los planes del proceso.</w:t>
            </w:r>
            <w:r w:rsidR="0016633F"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AC2DE" w14:textId="77777777" w:rsidR="00DD08CE" w:rsidRPr="000A65CF" w:rsidRDefault="00DD08CE" w:rsidP="0022118E">
            <w:pPr>
              <w:widowControl/>
              <w:suppressAutoHyphens w:val="0"/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Se recomienda mejorar la definición de controles y actividades de mitigación con el ánimo de contar con los mecanismos necesarios para evitar la materialización de los riesgos del proceso.</w:t>
            </w:r>
          </w:p>
          <w:p w14:paraId="03AE4CCA" w14:textId="77777777" w:rsidR="00DD08CE" w:rsidRPr="000A65CF" w:rsidRDefault="00DD08CE" w:rsidP="0022118E">
            <w:pPr>
              <w:widowControl/>
              <w:suppressAutoHyphens w:val="0"/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14:paraId="421BFF57" w14:textId="238B6094" w:rsidR="00DD08CE" w:rsidRPr="000A65CF" w:rsidRDefault="00DD08CE" w:rsidP="0022118E">
            <w:pPr>
              <w:widowControl/>
              <w:suppressAutoHyphens w:val="0"/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Se recomienda aplicar los lineamientos definidos en el manual de Gestión de Riesgos del IDPC con el ánimo de identificar los riesgos de Seguridad en la información.  </w:t>
            </w:r>
          </w:p>
        </w:tc>
      </w:tr>
      <w:tr w:rsidR="00FC2E3F" w:rsidRPr="000A65CF" w14:paraId="00240379" w14:textId="77777777" w:rsidTr="00FD7B0A">
        <w:trPr>
          <w:trHeight w:val="1350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F6986" w14:textId="1B08E8C9" w:rsidR="00FC2E3F" w:rsidRPr="000A65CF" w:rsidRDefault="00FC2E3F" w:rsidP="005B4190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lastRenderedPageBreak/>
              <w:t>Control Interno Disciplinario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FEBA8" w14:textId="2AA8345A" w:rsidR="00FC2E3F" w:rsidRPr="000A65CF" w:rsidRDefault="00BF6752" w:rsidP="00307CFD">
            <w:pPr>
              <w:widowControl/>
              <w:suppressAutoHyphens w:val="0"/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De los riesgos de “Pérdida de piezas procesales o del expediente” </w:t>
            </w:r>
            <w:r w:rsidR="00307CF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</w:t>
            </w:r>
            <w:r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“Incumpliendo en las respuestas”, s</w:t>
            </w:r>
            <w:r w:rsidR="00FC2E3F"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 evidencia ejecución de las actividades de mitigación y ejecución de los controles definidos</w:t>
            </w:r>
            <w:r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, garantizando  custodia  de los expedientes y espacios adecuados y seguros para la custodia de la información. Adicionalmente, se cuenta con la base de datos actualizada con la gestión de cada uno de los procesos disciplinarios.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06BC9" w14:textId="70E1E781" w:rsidR="00FC2E3F" w:rsidRPr="000A65CF" w:rsidRDefault="00095C69" w:rsidP="00307CFD">
            <w:pPr>
              <w:widowControl/>
              <w:suppressAutoHyphens w:val="0"/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Se</w:t>
            </w:r>
            <w:r w:rsidR="00DD08CE"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recomienda </w:t>
            </w:r>
            <w:r w:rsidR="00FC2E3F"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definir nuevos riesgos de gestión y corrupción</w:t>
            </w:r>
            <w:r w:rsidR="002840E7"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dado que por el alcance del proceso se pueden presentar </w:t>
            </w:r>
            <w:r w:rsidR="00307CF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situaciones de</w:t>
            </w:r>
            <w:r w:rsidR="00844E6D"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vulneración de la información o incumplimiento en las etapas de los procesos ordinarios.</w:t>
            </w:r>
          </w:p>
        </w:tc>
      </w:tr>
      <w:tr w:rsidR="00FC2E3F" w:rsidRPr="000A65CF" w14:paraId="4A0E6CBA" w14:textId="77777777" w:rsidTr="00FD7B0A">
        <w:trPr>
          <w:trHeight w:val="990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5D968" w14:textId="77777777" w:rsidR="00FC2E3F" w:rsidRPr="000A65CF" w:rsidRDefault="00FC2E3F" w:rsidP="005B4190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Gestión Financiera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69761" w14:textId="257B4084" w:rsidR="00FC2E3F" w:rsidRPr="000A65CF" w:rsidRDefault="00FC2E3F" w:rsidP="0022118E">
            <w:pPr>
              <w:widowControl/>
              <w:suppressAutoHyphens w:val="0"/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Se evidencia aplicación de los controles definidos y ejecución de las actividades de mit</w:t>
            </w:r>
            <w:r w:rsidR="00095C69"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igación correspondientes a los</w:t>
            </w:r>
            <w:r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riesgos de gestión definidos por el proceso</w:t>
            </w:r>
            <w:r w:rsidR="005D25A7"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, evidenciándose lo siguiente: </w:t>
            </w:r>
          </w:p>
          <w:p w14:paraId="3A953325" w14:textId="77777777" w:rsidR="00EE1339" w:rsidRPr="000A65CF" w:rsidRDefault="00EE1339" w:rsidP="0022118E">
            <w:pPr>
              <w:widowControl/>
              <w:suppressAutoHyphens w:val="0"/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14:paraId="514D1509" w14:textId="058AC655" w:rsidR="00EE1339" w:rsidRPr="000A65CF" w:rsidRDefault="005D25A7" w:rsidP="0022118E">
            <w:pPr>
              <w:widowControl/>
              <w:suppressAutoHyphens w:val="0"/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Del riesgo </w:t>
            </w:r>
            <w:r w:rsidR="00EE1339"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“</w:t>
            </w:r>
            <w:r w:rsidR="00095C69"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Incumplimiento en el pago de los bienes y servicios que requiere la entidad</w:t>
            </w:r>
            <w:r w:rsidR="00EE1339"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”,</w:t>
            </w:r>
            <w:r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se actualizó el procedimiento de pagos</w:t>
            </w:r>
            <w:r w:rsidR="00307CF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y se realizó seguimiento del </w:t>
            </w:r>
            <w:r w:rsidR="00307CF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Programa Anual Mensualizado de Caja </w:t>
            </w:r>
            <w:r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PAC</w:t>
            </w:r>
            <w:r w:rsidR="00307CF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,</w:t>
            </w:r>
            <w:r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en los comités de la Subdirección de Gestión Corporativa.</w:t>
            </w:r>
          </w:p>
          <w:p w14:paraId="745EE181" w14:textId="77777777" w:rsidR="00EE1339" w:rsidRPr="000A65CF" w:rsidRDefault="00EE1339" w:rsidP="0022118E">
            <w:pPr>
              <w:widowControl/>
              <w:suppressAutoHyphens w:val="0"/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14:paraId="64589D7F" w14:textId="3C81EC27" w:rsidR="00EE1339" w:rsidRPr="000A65CF" w:rsidRDefault="005D25A7" w:rsidP="0022118E">
            <w:pPr>
              <w:widowControl/>
              <w:suppressAutoHyphens w:val="0"/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Del riesgo “</w:t>
            </w:r>
            <w:r w:rsidR="00095C69"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Información financiera con inconsistencias</w:t>
            </w:r>
            <w:r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” se realizó </w:t>
            </w:r>
            <w:r w:rsidR="00307CF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divulgación</w:t>
            </w:r>
            <w:r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de los procedimientos y políticas contables vigentes y se elaboró</w:t>
            </w:r>
            <w:r w:rsidR="00307CF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el</w:t>
            </w:r>
            <w:r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instructivo de parametrización en inventarios.</w:t>
            </w:r>
          </w:p>
          <w:p w14:paraId="09E5A7C8" w14:textId="77777777" w:rsidR="00EE1339" w:rsidRPr="000A65CF" w:rsidRDefault="00EE1339" w:rsidP="0022118E">
            <w:pPr>
              <w:widowControl/>
              <w:suppressAutoHyphens w:val="0"/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14:paraId="66C44B68" w14:textId="372EE3A9" w:rsidR="00EE1339" w:rsidRPr="000A65CF" w:rsidRDefault="005D25A7" w:rsidP="0022118E">
            <w:pPr>
              <w:widowControl/>
              <w:suppressAutoHyphens w:val="0"/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En cuanto al riesgo “</w:t>
            </w:r>
            <w:r w:rsidR="00095C69"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Incumplimiento en los parámetros establecidos en el SIG-MIPG</w:t>
            </w:r>
            <w:r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”</w:t>
            </w:r>
            <w:r w:rsidRPr="000A65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se actualizaron los procedimientos y formatos del proceso de Gestión Financiera</w:t>
            </w:r>
            <w:r w:rsidR="00EE1339"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</w:p>
          <w:p w14:paraId="40173CEA" w14:textId="77777777" w:rsidR="00EE1339" w:rsidRPr="000A65CF" w:rsidRDefault="00EE1339" w:rsidP="0022118E">
            <w:pPr>
              <w:widowControl/>
              <w:suppressAutoHyphens w:val="0"/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14:paraId="759210D8" w14:textId="78EAA6C9" w:rsidR="00095C69" w:rsidRPr="000A65CF" w:rsidRDefault="00EE1339" w:rsidP="00307CFD">
            <w:pPr>
              <w:widowControl/>
              <w:suppressAutoHyphens w:val="0"/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</w:t>
            </w:r>
            <w:r w:rsidR="00303F96"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el riesgo “</w:t>
            </w:r>
            <w:r w:rsidR="00095C69"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Diferencia entre los reportes generados y los subidos a la plataforma</w:t>
            </w:r>
            <w:r w:rsidR="00303F96"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”, </w:t>
            </w:r>
            <w:r w:rsidR="00307CF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</w:t>
            </w:r>
            <w:r w:rsidR="00303F96"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 realizó control en el cargue de la infor</w:t>
            </w:r>
            <w:r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mación de la plataforma </w:t>
            </w:r>
            <w:proofErr w:type="spellStart"/>
            <w:r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Sivicof</w:t>
            </w:r>
            <w:proofErr w:type="spellEnd"/>
            <w:r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="00303F96"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D212B" w14:textId="6CB3C743" w:rsidR="00FC2E3F" w:rsidRPr="000A65CF" w:rsidRDefault="00095C69" w:rsidP="00307CFD">
            <w:pPr>
              <w:widowControl/>
              <w:suppressAutoHyphens w:val="0"/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Se recomienda m</w:t>
            </w:r>
            <w:r w:rsidR="00FC2E3F"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ejorar la redacción de los riesgos, ajustar la evaluación del riesgo residual y revisar </w:t>
            </w:r>
            <w:r w:rsidR="00844E6D"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los controles de los mismos; ya que la probabilidad de ocurrencia de los riesgos definidos puede ser más alta y en caso de la materialización de alguno de los riesgos su impacto </w:t>
            </w:r>
            <w:r w:rsidR="00307CF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podría ser mayor o catastrófico;</w:t>
            </w:r>
            <w:r w:rsidR="00844E6D"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adicionalmente, es posible que no se evite, controle o elimine</w:t>
            </w:r>
            <w:r w:rsidR="00307CF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</w:t>
            </w:r>
            <w:r w:rsidR="00844E6D"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las causas que generan el riesgo.</w:t>
            </w:r>
          </w:p>
        </w:tc>
      </w:tr>
      <w:tr w:rsidR="00FC2E3F" w:rsidRPr="000A65CF" w14:paraId="3A486FD5" w14:textId="77777777" w:rsidTr="00FD7B0A">
        <w:trPr>
          <w:trHeight w:val="1200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DEA06" w14:textId="138DC04E" w:rsidR="00FC2E3F" w:rsidRPr="000A65CF" w:rsidRDefault="00FC2E3F" w:rsidP="005B4190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Seguimiento y Evaluación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7A279" w14:textId="089EE909" w:rsidR="00FC2E3F" w:rsidRPr="000A65CF" w:rsidRDefault="00FC2E3F" w:rsidP="0022118E">
            <w:pPr>
              <w:widowControl/>
              <w:suppressAutoHyphens w:val="0"/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El proceso ha realizado monitoreo a los dos riesgos de gestión y al riesgo de corrupción; se evidencia que </w:t>
            </w:r>
            <w:r w:rsidR="00095C69"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se ha actualizado</w:t>
            </w:r>
            <w:r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la documentación </w:t>
            </w:r>
            <w:r w:rsidR="00095C69"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del proceso </w:t>
            </w:r>
            <w:r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y se ha dado cumplimiento a lo definido en el Plan Anual de Auditorías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0E1EF" w14:textId="6626343F" w:rsidR="00FC2E3F" w:rsidRPr="000A65CF" w:rsidRDefault="00095C69" w:rsidP="0022118E">
            <w:pPr>
              <w:widowControl/>
              <w:suppressAutoHyphens w:val="0"/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Se recomienda aplicar los lineamientos d</w:t>
            </w:r>
            <w:r w:rsidR="00307CF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el Manual de Gestión del Riesgo</w:t>
            </w:r>
            <w:r w:rsidRPr="000A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del IDPC con el ánimo de complementar o ajustar los riesgos identificados hasta el momento. </w:t>
            </w:r>
          </w:p>
        </w:tc>
      </w:tr>
    </w:tbl>
    <w:p w14:paraId="59B81FE7" w14:textId="77777777" w:rsidR="00782980" w:rsidRPr="00FD7B0A" w:rsidRDefault="00782980" w:rsidP="00FD7B0A">
      <w:pPr>
        <w:pStyle w:val="m7007535857312232601gmail-msolist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</w:p>
    <w:p w14:paraId="34C825B4" w14:textId="742953A0" w:rsidR="008E0F4B" w:rsidRDefault="008E0F4B" w:rsidP="008E0F4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E0F4B">
        <w:rPr>
          <w:rFonts w:ascii="Arial" w:hAnsi="Arial" w:cs="Arial"/>
          <w:sz w:val="20"/>
          <w:szCs w:val="20"/>
        </w:rPr>
        <w:t>Como recomendación general</w:t>
      </w:r>
      <w:r>
        <w:rPr>
          <w:rFonts w:ascii="Arial" w:hAnsi="Arial" w:cs="Arial"/>
          <w:sz w:val="20"/>
          <w:szCs w:val="20"/>
        </w:rPr>
        <w:t xml:space="preserve"> es necesario que el reporte cualitativo para los controles existentes y las acciones de mitigación se realicen de manera separada.</w:t>
      </w:r>
    </w:p>
    <w:p w14:paraId="752A9059" w14:textId="77777777" w:rsidR="008A1279" w:rsidRDefault="008A1279" w:rsidP="008E0F4B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7CF09034" w14:textId="6552C5B9" w:rsidR="008A1279" w:rsidRPr="008E0F4B" w:rsidRDefault="008A1279" w:rsidP="008E0F4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Por otra parte, y teniendo en cuenta las debilidades presentadas al momento de realizar el levantamiento los riesgos y en su monitoreo, el equipo del SIG de la Oficina Asesora de Planeación </w:t>
      </w:r>
      <w:r w:rsidR="00307CFD">
        <w:rPr>
          <w:rFonts w:ascii="Arial" w:hAnsi="Arial" w:cs="Arial"/>
          <w:sz w:val="20"/>
          <w:szCs w:val="20"/>
        </w:rPr>
        <w:t>adelantará</w:t>
      </w:r>
      <w:r>
        <w:rPr>
          <w:rFonts w:ascii="Arial" w:hAnsi="Arial" w:cs="Arial"/>
          <w:sz w:val="20"/>
          <w:szCs w:val="20"/>
        </w:rPr>
        <w:t xml:space="preserve"> </w:t>
      </w:r>
      <w:r w:rsidR="00FD7B0A">
        <w:rPr>
          <w:rFonts w:ascii="Arial" w:hAnsi="Arial" w:cs="Arial"/>
          <w:sz w:val="20"/>
          <w:szCs w:val="20"/>
        </w:rPr>
        <w:t>jornadas de identificación de r</w:t>
      </w:r>
      <w:r w:rsidR="00E86774">
        <w:rPr>
          <w:rFonts w:ascii="Arial" w:hAnsi="Arial" w:cs="Arial"/>
          <w:sz w:val="20"/>
          <w:szCs w:val="20"/>
        </w:rPr>
        <w:t xml:space="preserve">iesgos a través de </w:t>
      </w:r>
      <w:r w:rsidR="00FD7B0A">
        <w:rPr>
          <w:rFonts w:ascii="Arial" w:hAnsi="Arial" w:cs="Arial"/>
          <w:sz w:val="20"/>
          <w:szCs w:val="20"/>
        </w:rPr>
        <w:t>talleres didácticos y</w:t>
      </w:r>
      <w:r w:rsidR="00E8677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mesas de trabajo con los responsables de los procesos</w:t>
      </w:r>
      <w:r w:rsidR="00FD7B0A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con el fin de explicar la metodología de administración de riesgos de acuerdo con el Ma</w:t>
      </w:r>
      <w:r w:rsidR="00FD7B0A">
        <w:rPr>
          <w:rFonts w:ascii="Arial" w:hAnsi="Arial" w:cs="Arial"/>
          <w:sz w:val="20"/>
          <w:szCs w:val="20"/>
        </w:rPr>
        <w:t>nual de Gestión Riesgos vigente y</w:t>
      </w:r>
      <w:r>
        <w:rPr>
          <w:rFonts w:ascii="Arial" w:hAnsi="Arial" w:cs="Arial"/>
          <w:sz w:val="20"/>
          <w:szCs w:val="20"/>
        </w:rPr>
        <w:t xml:space="preserve"> </w:t>
      </w:r>
      <w:r w:rsidR="00307CFD">
        <w:rPr>
          <w:rFonts w:ascii="Arial" w:hAnsi="Arial" w:cs="Arial"/>
          <w:sz w:val="20"/>
          <w:szCs w:val="20"/>
        </w:rPr>
        <w:t xml:space="preserve">orientar </w:t>
      </w:r>
      <w:r>
        <w:rPr>
          <w:rFonts w:ascii="Arial" w:hAnsi="Arial" w:cs="Arial"/>
          <w:sz w:val="20"/>
          <w:szCs w:val="20"/>
        </w:rPr>
        <w:t xml:space="preserve">la definición de los riesgos de corrupción, de gestión y </w:t>
      </w:r>
      <w:r w:rsidR="00307CFD">
        <w:rPr>
          <w:rFonts w:ascii="Arial" w:hAnsi="Arial" w:cs="Arial"/>
          <w:sz w:val="20"/>
          <w:szCs w:val="20"/>
        </w:rPr>
        <w:t xml:space="preserve">de </w:t>
      </w:r>
      <w:r>
        <w:rPr>
          <w:rFonts w:ascii="Arial" w:hAnsi="Arial" w:cs="Arial"/>
          <w:sz w:val="20"/>
          <w:szCs w:val="20"/>
        </w:rPr>
        <w:t>seguridad en la información para la vigencia 2020.</w:t>
      </w:r>
    </w:p>
    <w:p w14:paraId="7D5B3444" w14:textId="77777777" w:rsidR="008E0F4B" w:rsidRPr="00FD7B0A" w:rsidRDefault="008E0F4B" w:rsidP="0068229F">
      <w:pPr>
        <w:pStyle w:val="m7007535857312232601gmail-msolist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</w:p>
    <w:p w14:paraId="27D468D8" w14:textId="77777777" w:rsidR="0068229F" w:rsidRPr="00FD7B0A" w:rsidRDefault="0068229F" w:rsidP="0068229F">
      <w:pPr>
        <w:pStyle w:val="m7007535857312232601gmail-msolist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</w:p>
    <w:p w14:paraId="31C527AF" w14:textId="37AC4F6F" w:rsidR="009E0B85" w:rsidRPr="00FD7B0A" w:rsidRDefault="00FC2E3F" w:rsidP="008E0F4B">
      <w:pPr>
        <w:pStyle w:val="m7007535857312232601gmail-msolistparagraph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426"/>
        <w:jc w:val="both"/>
        <w:rPr>
          <w:rFonts w:ascii="Arial" w:hAnsi="Arial" w:cs="Arial"/>
          <w:b/>
          <w:bCs/>
        </w:rPr>
      </w:pPr>
      <w:r w:rsidRPr="00FD7B0A">
        <w:rPr>
          <w:rFonts w:ascii="Arial" w:hAnsi="Arial" w:cs="Arial"/>
          <w:b/>
          <w:bCs/>
        </w:rPr>
        <w:t>Conclusiones</w:t>
      </w:r>
    </w:p>
    <w:p w14:paraId="0A2EE303" w14:textId="77777777" w:rsidR="00782980" w:rsidRPr="00B85552" w:rsidRDefault="00782980" w:rsidP="00B85552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6AD7DD3E" w14:textId="555B79B1" w:rsidR="0016633F" w:rsidRPr="00F04AB0" w:rsidRDefault="00FC5D88" w:rsidP="00F04AB0">
      <w:pPr>
        <w:pStyle w:val="Prrafodelista"/>
        <w:numPr>
          <w:ilvl w:val="0"/>
          <w:numId w:val="15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16633F" w:rsidRPr="00190E3C">
        <w:rPr>
          <w:rFonts w:ascii="Arial" w:hAnsi="Arial" w:cs="Arial"/>
          <w:sz w:val="20"/>
          <w:szCs w:val="20"/>
        </w:rPr>
        <w:t xml:space="preserve">e evidencia </w:t>
      </w:r>
      <w:r>
        <w:rPr>
          <w:rFonts w:ascii="Arial" w:hAnsi="Arial" w:cs="Arial"/>
          <w:sz w:val="20"/>
          <w:szCs w:val="20"/>
        </w:rPr>
        <w:t>que no se ha</w:t>
      </w:r>
      <w:r w:rsidR="00D553AA">
        <w:rPr>
          <w:rFonts w:ascii="Arial" w:hAnsi="Arial" w:cs="Arial"/>
          <w:sz w:val="20"/>
          <w:szCs w:val="20"/>
        </w:rPr>
        <w:t>n</w:t>
      </w:r>
      <w:r w:rsidR="0016633F" w:rsidRPr="00190E3C">
        <w:rPr>
          <w:rFonts w:ascii="Arial" w:hAnsi="Arial" w:cs="Arial"/>
          <w:sz w:val="20"/>
          <w:szCs w:val="20"/>
        </w:rPr>
        <w:t xml:space="preserve"> materializa</w:t>
      </w:r>
      <w:r>
        <w:rPr>
          <w:rFonts w:ascii="Arial" w:hAnsi="Arial" w:cs="Arial"/>
          <w:sz w:val="20"/>
          <w:szCs w:val="20"/>
        </w:rPr>
        <w:t xml:space="preserve">do </w:t>
      </w:r>
      <w:r w:rsidR="0016633F">
        <w:rPr>
          <w:rFonts w:ascii="Arial" w:hAnsi="Arial" w:cs="Arial"/>
          <w:sz w:val="20"/>
          <w:szCs w:val="20"/>
        </w:rPr>
        <w:t xml:space="preserve">los </w:t>
      </w:r>
      <w:r w:rsidR="0016633F" w:rsidRPr="00190E3C">
        <w:rPr>
          <w:rFonts w:ascii="Arial" w:hAnsi="Arial" w:cs="Arial"/>
          <w:sz w:val="20"/>
          <w:szCs w:val="20"/>
        </w:rPr>
        <w:t>riesgo</w:t>
      </w:r>
      <w:r w:rsidR="0016633F">
        <w:rPr>
          <w:rFonts w:ascii="Arial" w:hAnsi="Arial" w:cs="Arial"/>
          <w:sz w:val="20"/>
          <w:szCs w:val="20"/>
        </w:rPr>
        <w:t>s</w:t>
      </w:r>
      <w:r w:rsidR="0016633F" w:rsidRPr="00190E3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 corrupción </w:t>
      </w:r>
      <w:r w:rsidR="00D553AA">
        <w:rPr>
          <w:rFonts w:ascii="Arial" w:hAnsi="Arial" w:cs="Arial"/>
          <w:sz w:val="20"/>
          <w:szCs w:val="20"/>
        </w:rPr>
        <w:t>y de</w:t>
      </w:r>
      <w:r>
        <w:rPr>
          <w:rFonts w:ascii="Arial" w:hAnsi="Arial" w:cs="Arial"/>
          <w:sz w:val="20"/>
          <w:szCs w:val="20"/>
        </w:rPr>
        <w:t xml:space="preserve"> gestión identificado</w:t>
      </w:r>
      <w:r w:rsidR="00D553AA">
        <w:rPr>
          <w:rFonts w:ascii="Arial" w:hAnsi="Arial" w:cs="Arial"/>
          <w:sz w:val="20"/>
          <w:szCs w:val="20"/>
        </w:rPr>
        <w:t>s</w:t>
      </w:r>
      <w:r w:rsidR="0016633F" w:rsidRPr="00190E3C">
        <w:rPr>
          <w:rFonts w:ascii="Arial" w:hAnsi="Arial" w:cs="Arial"/>
          <w:sz w:val="20"/>
          <w:szCs w:val="20"/>
        </w:rPr>
        <w:t xml:space="preserve">. </w:t>
      </w:r>
    </w:p>
    <w:p w14:paraId="654F1B39" w14:textId="6A635CB1" w:rsidR="000F3B1D" w:rsidRPr="00173859" w:rsidRDefault="00B844B0" w:rsidP="008E0F4B">
      <w:pPr>
        <w:pStyle w:val="Prrafodelista"/>
        <w:numPr>
          <w:ilvl w:val="0"/>
          <w:numId w:val="15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6633F">
        <w:rPr>
          <w:rFonts w:ascii="Arial" w:hAnsi="Arial" w:cs="Arial"/>
          <w:sz w:val="20"/>
          <w:szCs w:val="20"/>
        </w:rPr>
        <w:t xml:space="preserve">Con el presente informe se dan </w:t>
      </w:r>
      <w:r w:rsidR="00D553AA">
        <w:rPr>
          <w:rFonts w:ascii="Arial" w:hAnsi="Arial" w:cs="Arial"/>
          <w:sz w:val="20"/>
          <w:szCs w:val="20"/>
        </w:rPr>
        <w:t xml:space="preserve">las </w:t>
      </w:r>
      <w:r w:rsidRPr="0016633F">
        <w:rPr>
          <w:rFonts w:ascii="Arial" w:hAnsi="Arial" w:cs="Arial"/>
          <w:sz w:val="20"/>
          <w:szCs w:val="20"/>
        </w:rPr>
        <w:t xml:space="preserve">recomendaciones a los </w:t>
      </w:r>
      <w:r w:rsidR="00173859">
        <w:rPr>
          <w:rFonts w:ascii="Arial" w:hAnsi="Arial" w:cs="Arial"/>
          <w:sz w:val="20"/>
          <w:szCs w:val="20"/>
        </w:rPr>
        <w:t xml:space="preserve">responsables de </w:t>
      </w:r>
      <w:r w:rsidRPr="0016633F">
        <w:rPr>
          <w:rFonts w:ascii="Arial" w:hAnsi="Arial" w:cs="Arial"/>
          <w:sz w:val="20"/>
          <w:szCs w:val="20"/>
        </w:rPr>
        <w:t>procesos</w:t>
      </w:r>
      <w:r w:rsidR="00EA0D08" w:rsidRPr="0016633F">
        <w:rPr>
          <w:rFonts w:ascii="Arial" w:hAnsi="Arial" w:cs="Arial"/>
          <w:sz w:val="20"/>
          <w:szCs w:val="20"/>
        </w:rPr>
        <w:t>,</w:t>
      </w:r>
      <w:r w:rsidRPr="0016633F">
        <w:rPr>
          <w:rFonts w:ascii="Arial" w:hAnsi="Arial" w:cs="Arial"/>
          <w:sz w:val="20"/>
          <w:szCs w:val="20"/>
        </w:rPr>
        <w:t xml:space="preserve"> con el fin de que se </w:t>
      </w:r>
      <w:r w:rsidRPr="00173859">
        <w:rPr>
          <w:rFonts w:ascii="Arial" w:hAnsi="Arial" w:cs="Arial"/>
          <w:sz w:val="20"/>
          <w:szCs w:val="20"/>
        </w:rPr>
        <w:t xml:space="preserve">detecten las causas </w:t>
      </w:r>
      <w:r w:rsidR="00EA0D08" w:rsidRPr="00173859">
        <w:rPr>
          <w:rFonts w:ascii="Arial" w:hAnsi="Arial" w:cs="Arial"/>
          <w:sz w:val="20"/>
          <w:szCs w:val="20"/>
        </w:rPr>
        <w:t xml:space="preserve">reales que generan los riesgos </w:t>
      </w:r>
      <w:r w:rsidRPr="00173859">
        <w:rPr>
          <w:rFonts w:ascii="Arial" w:hAnsi="Arial" w:cs="Arial"/>
          <w:sz w:val="20"/>
          <w:szCs w:val="20"/>
        </w:rPr>
        <w:t xml:space="preserve">y </w:t>
      </w:r>
      <w:r w:rsidR="00EA0D08" w:rsidRPr="00173859">
        <w:rPr>
          <w:rFonts w:ascii="Arial" w:hAnsi="Arial" w:cs="Arial"/>
          <w:sz w:val="20"/>
          <w:szCs w:val="20"/>
        </w:rPr>
        <w:t>se</w:t>
      </w:r>
      <w:r w:rsidRPr="00173859">
        <w:rPr>
          <w:rFonts w:ascii="Arial" w:hAnsi="Arial" w:cs="Arial"/>
          <w:sz w:val="20"/>
          <w:szCs w:val="20"/>
        </w:rPr>
        <w:t xml:space="preserve"> formulen actividades de </w:t>
      </w:r>
      <w:r w:rsidR="00EA0D08" w:rsidRPr="00173859">
        <w:rPr>
          <w:rFonts w:ascii="Arial" w:hAnsi="Arial" w:cs="Arial"/>
          <w:sz w:val="20"/>
          <w:szCs w:val="20"/>
        </w:rPr>
        <w:t xml:space="preserve">mejora </w:t>
      </w:r>
      <w:r w:rsidRPr="00173859">
        <w:rPr>
          <w:rFonts w:ascii="Arial" w:hAnsi="Arial" w:cs="Arial"/>
          <w:sz w:val="20"/>
          <w:szCs w:val="20"/>
        </w:rPr>
        <w:t>qu</w:t>
      </w:r>
      <w:r w:rsidR="00EA0D08" w:rsidRPr="00173859">
        <w:rPr>
          <w:rFonts w:ascii="Arial" w:hAnsi="Arial" w:cs="Arial"/>
          <w:sz w:val="20"/>
          <w:szCs w:val="20"/>
        </w:rPr>
        <w:t>e eviten la materialización de los mismos</w:t>
      </w:r>
      <w:r w:rsidR="00A96804">
        <w:rPr>
          <w:rFonts w:ascii="Arial" w:hAnsi="Arial" w:cs="Arial"/>
          <w:sz w:val="20"/>
          <w:szCs w:val="20"/>
        </w:rPr>
        <w:t xml:space="preserve">, </w:t>
      </w:r>
      <w:r w:rsidR="00734A3E">
        <w:rPr>
          <w:rFonts w:ascii="Arial" w:hAnsi="Arial" w:cs="Arial"/>
          <w:sz w:val="20"/>
          <w:szCs w:val="20"/>
        </w:rPr>
        <w:t>y se mejore</w:t>
      </w:r>
      <w:r w:rsidR="00A96804">
        <w:rPr>
          <w:rFonts w:ascii="Arial" w:hAnsi="Arial" w:cs="Arial"/>
          <w:sz w:val="20"/>
          <w:szCs w:val="20"/>
        </w:rPr>
        <w:t xml:space="preserve"> la identificación y definición de riesgos en la vigencia 2020.</w:t>
      </w:r>
    </w:p>
    <w:p w14:paraId="5624C3C4" w14:textId="05229E55" w:rsidR="000F3B1D" w:rsidRPr="00FD7B0A" w:rsidRDefault="00255DF1" w:rsidP="00CB697B">
      <w:pPr>
        <w:pStyle w:val="Prrafodelista"/>
        <w:numPr>
          <w:ilvl w:val="0"/>
          <w:numId w:val="15"/>
        </w:numPr>
        <w:tabs>
          <w:tab w:val="left" w:pos="1095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D7B0A">
        <w:rPr>
          <w:rFonts w:ascii="Arial" w:hAnsi="Arial" w:cs="Arial"/>
          <w:sz w:val="20"/>
          <w:szCs w:val="20"/>
        </w:rPr>
        <w:lastRenderedPageBreak/>
        <w:t xml:space="preserve">Para la identificación de los riesgos </w:t>
      </w:r>
      <w:r w:rsidR="00D553AA" w:rsidRPr="00FD7B0A">
        <w:rPr>
          <w:rFonts w:ascii="Arial" w:hAnsi="Arial" w:cs="Arial"/>
          <w:sz w:val="20"/>
          <w:szCs w:val="20"/>
        </w:rPr>
        <w:t xml:space="preserve">de </w:t>
      </w:r>
      <w:r w:rsidRPr="00FD7B0A">
        <w:rPr>
          <w:rFonts w:ascii="Arial" w:hAnsi="Arial" w:cs="Arial"/>
          <w:sz w:val="20"/>
          <w:szCs w:val="20"/>
        </w:rPr>
        <w:t xml:space="preserve">la próxima vigencia se debe tener en cuenta el resultado de la aplicación de los controles y </w:t>
      </w:r>
      <w:r w:rsidR="00A733E4" w:rsidRPr="00FD7B0A">
        <w:rPr>
          <w:rFonts w:ascii="Arial" w:hAnsi="Arial" w:cs="Arial"/>
          <w:sz w:val="20"/>
          <w:szCs w:val="20"/>
        </w:rPr>
        <w:t>ejecución</w:t>
      </w:r>
      <w:r w:rsidRPr="00FD7B0A">
        <w:rPr>
          <w:rFonts w:ascii="Arial" w:hAnsi="Arial" w:cs="Arial"/>
          <w:sz w:val="20"/>
          <w:szCs w:val="20"/>
        </w:rPr>
        <w:t xml:space="preserve"> de las actividades de </w:t>
      </w:r>
      <w:r w:rsidR="00A733E4" w:rsidRPr="00FD7B0A">
        <w:rPr>
          <w:rFonts w:ascii="Arial" w:hAnsi="Arial" w:cs="Arial"/>
          <w:sz w:val="20"/>
          <w:szCs w:val="20"/>
        </w:rPr>
        <w:t>mitigación</w:t>
      </w:r>
      <w:r w:rsidRPr="00FD7B0A">
        <w:rPr>
          <w:rFonts w:ascii="Arial" w:hAnsi="Arial" w:cs="Arial"/>
          <w:sz w:val="20"/>
          <w:szCs w:val="20"/>
        </w:rPr>
        <w:t xml:space="preserve"> definidas en </w:t>
      </w:r>
      <w:r w:rsidR="00B67292">
        <w:rPr>
          <w:rFonts w:ascii="Arial" w:hAnsi="Arial" w:cs="Arial"/>
          <w:sz w:val="20"/>
          <w:szCs w:val="20"/>
        </w:rPr>
        <w:t xml:space="preserve">2019 </w:t>
      </w:r>
      <w:r w:rsidR="00A733E4" w:rsidRPr="00FD7B0A">
        <w:rPr>
          <w:rFonts w:ascii="Arial" w:hAnsi="Arial" w:cs="Arial"/>
          <w:sz w:val="20"/>
          <w:szCs w:val="20"/>
        </w:rPr>
        <w:t xml:space="preserve">y lo definido en el </w:t>
      </w:r>
      <w:r w:rsidR="00D553AA" w:rsidRPr="00FD7B0A">
        <w:rPr>
          <w:rFonts w:ascii="Arial" w:hAnsi="Arial" w:cs="Arial"/>
          <w:sz w:val="20"/>
          <w:szCs w:val="20"/>
        </w:rPr>
        <w:t>M</w:t>
      </w:r>
      <w:r w:rsidR="00A733E4" w:rsidRPr="00FD7B0A">
        <w:rPr>
          <w:rFonts w:ascii="Arial" w:hAnsi="Arial" w:cs="Arial"/>
          <w:sz w:val="20"/>
          <w:szCs w:val="20"/>
        </w:rPr>
        <w:t xml:space="preserve">anual de Gestión de </w:t>
      </w:r>
      <w:r w:rsidR="00D553AA" w:rsidRPr="00FD7B0A">
        <w:rPr>
          <w:rFonts w:ascii="Arial" w:hAnsi="Arial" w:cs="Arial"/>
          <w:sz w:val="20"/>
          <w:szCs w:val="20"/>
        </w:rPr>
        <w:t>R</w:t>
      </w:r>
      <w:r w:rsidR="00A733E4" w:rsidRPr="00FD7B0A">
        <w:rPr>
          <w:rFonts w:ascii="Arial" w:hAnsi="Arial" w:cs="Arial"/>
          <w:sz w:val="20"/>
          <w:szCs w:val="20"/>
        </w:rPr>
        <w:t xml:space="preserve">iesgos </w:t>
      </w:r>
      <w:r w:rsidR="00D553AA" w:rsidRPr="00FD7B0A">
        <w:rPr>
          <w:rFonts w:ascii="Arial" w:hAnsi="Arial" w:cs="Arial"/>
          <w:sz w:val="20"/>
          <w:szCs w:val="20"/>
        </w:rPr>
        <w:t xml:space="preserve">del IDPC, </w:t>
      </w:r>
      <w:r w:rsidR="00A733E4" w:rsidRPr="00FD7B0A">
        <w:rPr>
          <w:rFonts w:ascii="Arial" w:hAnsi="Arial" w:cs="Arial"/>
          <w:sz w:val="20"/>
          <w:szCs w:val="20"/>
        </w:rPr>
        <w:t>aprob</w:t>
      </w:r>
      <w:r w:rsidR="00D553AA" w:rsidRPr="00FD7B0A">
        <w:rPr>
          <w:rFonts w:ascii="Arial" w:hAnsi="Arial" w:cs="Arial"/>
          <w:sz w:val="20"/>
          <w:szCs w:val="20"/>
        </w:rPr>
        <w:t>ado</w:t>
      </w:r>
      <w:r w:rsidRPr="00FD7B0A">
        <w:rPr>
          <w:rFonts w:ascii="Arial" w:hAnsi="Arial" w:cs="Arial"/>
          <w:sz w:val="20"/>
          <w:szCs w:val="20"/>
        </w:rPr>
        <w:t xml:space="preserve"> </w:t>
      </w:r>
      <w:r w:rsidR="00A733E4" w:rsidRPr="00FD7B0A">
        <w:rPr>
          <w:rFonts w:ascii="Arial" w:hAnsi="Arial" w:cs="Arial"/>
          <w:sz w:val="20"/>
          <w:szCs w:val="20"/>
        </w:rPr>
        <w:t>en agosto de 2019.</w:t>
      </w:r>
    </w:p>
    <w:sectPr w:rsidR="000F3B1D" w:rsidRPr="00FD7B0A" w:rsidSect="004D14C7">
      <w:headerReference w:type="default" r:id="rId11"/>
      <w:footerReference w:type="default" r:id="rId12"/>
      <w:pgSz w:w="12240" w:h="15840" w:code="1"/>
      <w:pgMar w:top="1945" w:right="1701" w:bottom="1418" w:left="1701" w:header="426" w:footer="567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812B87" w14:textId="77777777" w:rsidR="00C03DF2" w:rsidRDefault="00C03DF2">
      <w:pPr>
        <w:spacing w:line="240" w:lineRule="auto"/>
      </w:pPr>
      <w:r>
        <w:separator/>
      </w:r>
    </w:p>
  </w:endnote>
  <w:endnote w:type="continuationSeparator" w:id="0">
    <w:p w14:paraId="4D7480DC" w14:textId="77777777" w:rsidR="00C03DF2" w:rsidRDefault="00C03D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LT condensed light">
    <w:altName w:val="Times New Roman"/>
    <w:charset w:val="01"/>
    <w:family w:val="roman"/>
    <w:pitch w:val="variable"/>
  </w:font>
  <w:font w:name="Andale Sans UI;Arial Unicode MS">
    <w:panose1 w:val="00000000000000000000"/>
    <w:charset w:val="00"/>
    <w:family w:val="roman"/>
    <w:notTrueType/>
    <w:pitch w:val="default"/>
  </w:font>
  <w:font w:name="Lucidasans;Times New Roman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9932A2" w14:textId="77777777" w:rsidR="00BF6752" w:rsidRDefault="00BF6752">
    <w:pPr>
      <w:pStyle w:val="Piedepgina"/>
      <w:tabs>
        <w:tab w:val="center" w:pos="4419"/>
        <w:tab w:val="right" w:pos="8838"/>
        <w:tab w:val="right" w:pos="11340"/>
      </w:tabs>
      <w:rPr>
        <w:rFonts w:ascii="Arial" w:hAnsi="Arial"/>
        <w:sz w:val="12"/>
        <w:szCs w:val="12"/>
      </w:rPr>
    </w:pPr>
    <w:r>
      <w:rPr>
        <w:rFonts w:ascii="Arial" w:hAnsi="Arial"/>
        <w:noProof/>
        <w:sz w:val="12"/>
        <w:szCs w:val="12"/>
        <w:lang w:eastAsia="es-ES"/>
      </w:rPr>
      <mc:AlternateContent>
        <mc:Choice Requires="wps">
          <w:drawing>
            <wp:anchor distT="0" distB="0" distL="0" distR="0" simplePos="0" relativeHeight="251655168" behindDoc="1" locked="0" layoutInCell="1" allowOverlap="1" wp14:anchorId="562BF7E0" wp14:editId="6FD128AF">
              <wp:simplePos x="0" y="0"/>
              <wp:positionH relativeFrom="column">
                <wp:posOffset>2008505</wp:posOffset>
              </wp:positionH>
              <wp:positionV relativeFrom="paragraph">
                <wp:posOffset>73025</wp:posOffset>
              </wp:positionV>
              <wp:extent cx="3175" cy="1905"/>
              <wp:effectExtent l="0" t="0" r="0" b="0"/>
              <wp:wrapNone/>
              <wp:docPr id="2" name="Imag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3240" cy="1800"/>
                      </a:xfrm>
                      <a:prstGeom prst="line">
                        <a:avLst/>
                      </a:prstGeom>
                      <a:ln w="17640">
                        <a:solidFill>
                          <a:srgbClr val="333333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E181436" id="Image1" o:spid="_x0000_s1026" style="position:absolute;flip:x;z-index:-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58.15pt,5.75pt" to="158.4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" strokecolor="#333" strokeweight=".49mm"/>
          </w:pict>
        </mc:Fallback>
      </mc:AlternateContent>
    </w:r>
    <w:r>
      <w:rPr>
        <w:rFonts w:ascii="Arial" w:hAnsi="Arial"/>
        <w:noProof/>
        <w:sz w:val="12"/>
        <w:szCs w:val="12"/>
        <w:lang w:eastAsia="es-ES"/>
      </w:rPr>
      <w:drawing>
        <wp:anchor distT="0" distB="0" distL="0" distR="0" simplePos="0" relativeHeight="251659264" behindDoc="1" locked="0" layoutInCell="1" allowOverlap="1" wp14:anchorId="4612B962" wp14:editId="575ECF86">
          <wp:simplePos x="0" y="0"/>
          <wp:positionH relativeFrom="column">
            <wp:posOffset>4612640</wp:posOffset>
          </wp:positionH>
          <wp:positionV relativeFrom="paragraph">
            <wp:posOffset>42545</wp:posOffset>
          </wp:positionV>
          <wp:extent cx="1000125" cy="749935"/>
          <wp:effectExtent l="0" t="0" r="0" b="0"/>
          <wp:wrapSquare wrapText="largest"/>
          <wp:docPr id="34" name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749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4381858" w14:textId="77777777" w:rsidR="00BF6752" w:rsidRDefault="00BF6752">
    <w:pPr>
      <w:pStyle w:val="Piedepgina"/>
      <w:tabs>
        <w:tab w:val="center" w:pos="4419"/>
        <w:tab w:val="right" w:pos="8838"/>
        <w:tab w:val="right" w:pos="11340"/>
      </w:tabs>
    </w:pPr>
    <w:r>
      <w:rPr>
        <w:rFonts w:ascii="Arial" w:hAnsi="Arial"/>
        <w:sz w:val="18"/>
        <w:szCs w:val="18"/>
      </w:rPr>
      <w:t xml:space="preserve">Calle 8 # 8-52 </w:t>
    </w:r>
  </w:p>
  <w:p w14:paraId="770A90E0" w14:textId="77777777" w:rsidR="00BF6752" w:rsidRDefault="00BF6752">
    <w:pPr>
      <w:pStyle w:val="Piedepgina"/>
      <w:tabs>
        <w:tab w:val="center" w:pos="4419"/>
        <w:tab w:val="right" w:pos="8838"/>
        <w:tab w:val="right" w:pos="11340"/>
      </w:tabs>
    </w:pPr>
    <w:r>
      <w:rPr>
        <w:rFonts w:ascii="Arial" w:hAnsi="Arial"/>
        <w:sz w:val="18"/>
        <w:szCs w:val="18"/>
      </w:rPr>
      <w:t>Teléfono: 355 0800</w:t>
    </w:r>
  </w:p>
  <w:p w14:paraId="6B64E852" w14:textId="77777777" w:rsidR="00BF6752" w:rsidRDefault="00BF6752">
    <w:pPr>
      <w:pStyle w:val="Piedepgina"/>
      <w:tabs>
        <w:tab w:val="center" w:pos="4419"/>
        <w:tab w:val="right" w:pos="8838"/>
        <w:tab w:val="right" w:pos="11340"/>
      </w:tabs>
    </w:pPr>
    <w:r>
      <w:rPr>
        <w:rFonts w:ascii="Arial" w:hAnsi="Arial"/>
        <w:sz w:val="18"/>
        <w:szCs w:val="18"/>
      </w:rPr>
      <w:t xml:space="preserve">www.idpc.gov.co </w:t>
    </w:r>
  </w:p>
  <w:p w14:paraId="193170E0" w14:textId="77777777" w:rsidR="00BF6752" w:rsidRDefault="00BF6752">
    <w:pPr>
      <w:pStyle w:val="Piedepgina"/>
      <w:tabs>
        <w:tab w:val="center" w:pos="4419"/>
        <w:tab w:val="right" w:pos="8838"/>
        <w:tab w:val="right" w:pos="11340"/>
      </w:tabs>
    </w:pPr>
    <w:bookmarkStart w:id="1" w:name="__DdeLink__5600_836831347"/>
    <w:bookmarkEnd w:id="1"/>
    <w:r>
      <w:rPr>
        <w:rFonts w:ascii="Arial" w:hAnsi="Arial"/>
        <w:sz w:val="18"/>
        <w:szCs w:val="18"/>
      </w:rPr>
      <w:t>Información: Línea 195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A78A0C" w14:textId="77777777" w:rsidR="00C03DF2" w:rsidRDefault="00C03DF2">
      <w:pPr>
        <w:spacing w:line="240" w:lineRule="auto"/>
      </w:pPr>
      <w:r>
        <w:separator/>
      </w:r>
    </w:p>
  </w:footnote>
  <w:footnote w:type="continuationSeparator" w:id="0">
    <w:p w14:paraId="29C07D7F" w14:textId="77777777" w:rsidR="00C03DF2" w:rsidRDefault="00C03D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0A811D" w14:textId="77777777" w:rsidR="00BF6752" w:rsidRDefault="00BF6752">
    <w:pPr>
      <w:pStyle w:val="Encabezamiento"/>
      <w:jc w:val="center"/>
      <w:rPr>
        <w:rFonts w:ascii="Arial" w:eastAsia="Arial" w:hAnsi="Arial" w:cs="Arial"/>
        <w:b/>
        <w:bCs/>
        <w:sz w:val="18"/>
        <w:szCs w:val="18"/>
        <w:lang w:eastAsia="es-ES" w:bidi="es-ES"/>
      </w:rPr>
    </w:pPr>
    <w:r>
      <w:rPr>
        <w:rFonts w:ascii="Arial" w:eastAsia="Arial" w:hAnsi="Arial" w:cs="Arial"/>
        <w:b/>
        <w:bCs/>
        <w:noProof/>
        <w:sz w:val="18"/>
        <w:szCs w:val="18"/>
        <w:lang w:eastAsia="es-ES"/>
      </w:rPr>
      <w:drawing>
        <wp:anchor distT="0" distB="0" distL="0" distR="0" simplePos="0" relativeHeight="251663360" behindDoc="1" locked="0" layoutInCell="1" allowOverlap="1" wp14:anchorId="071175D5" wp14:editId="43E2282C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456565" cy="525145"/>
          <wp:effectExtent l="0" t="0" r="0" b="0"/>
          <wp:wrapSquare wrapText="largest"/>
          <wp:docPr id="3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6565" cy="525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D07EFFA" w14:textId="77777777" w:rsidR="00BF6752" w:rsidRDefault="00BF6752">
    <w:pPr>
      <w:pStyle w:val="Encabezamiento"/>
      <w:jc w:val="center"/>
      <w:rPr>
        <w:rFonts w:ascii="Arial" w:eastAsia="Arial" w:hAnsi="Arial" w:cs="Arial"/>
        <w:b/>
        <w:bCs/>
        <w:sz w:val="18"/>
        <w:szCs w:val="18"/>
        <w:lang w:eastAsia="es-ES" w:bidi="es-ES"/>
      </w:rPr>
    </w:pPr>
  </w:p>
  <w:p w14:paraId="348E3DBC" w14:textId="77777777" w:rsidR="00BF6752" w:rsidRDefault="00BF6752">
    <w:pPr>
      <w:pStyle w:val="Encabezamiento"/>
      <w:rPr>
        <w:rFonts w:ascii="Arial" w:eastAsia="Arial" w:hAnsi="Arial" w:cs="Arial"/>
        <w:b/>
        <w:bCs/>
        <w:sz w:val="18"/>
        <w:szCs w:val="18"/>
        <w:lang w:eastAsia="es-ES" w:bidi="es-ES"/>
      </w:rPr>
    </w:pPr>
  </w:p>
  <w:p w14:paraId="4FE32F23" w14:textId="77777777" w:rsidR="00BF6752" w:rsidRDefault="00BF6752">
    <w:pPr>
      <w:pStyle w:val="Encabezamiento"/>
      <w:jc w:val="center"/>
      <w:rPr>
        <w:rFonts w:ascii="Helvetica LT condensed light" w:eastAsia="Andale Sans UI;Arial Unicode MS" w:hAnsi="Helvetica LT condensed light" w:cs="Lucidasans;Times New Roman"/>
        <w:b/>
        <w:bCs/>
        <w:sz w:val="20"/>
        <w:szCs w:val="20"/>
      </w:rPr>
    </w:pPr>
  </w:p>
  <w:p w14:paraId="59942363" w14:textId="77777777" w:rsidR="00BF6752" w:rsidRDefault="00BF6752">
    <w:pPr>
      <w:pStyle w:val="Encabezamiento"/>
      <w:jc w:val="center"/>
      <w:rPr>
        <w:rFonts w:ascii="Arial" w:eastAsia="Andale Sans UI;Arial Unicode MS" w:hAnsi="Arial" w:cs="Lucidasans;Times New Roman"/>
        <w:b/>
        <w:bCs/>
        <w:sz w:val="12"/>
        <w:szCs w:val="12"/>
      </w:rPr>
    </w:pPr>
    <w:r>
      <w:rPr>
        <w:rFonts w:ascii="Arial" w:eastAsia="Andale Sans UI;Arial Unicode MS" w:hAnsi="Arial" w:cs="Lucidasans;Times New Roman"/>
        <w:b/>
        <w:bCs/>
        <w:sz w:val="13"/>
        <w:szCs w:val="13"/>
      </w:rPr>
      <w:t>ALCALDÍA MAYOR</w:t>
    </w:r>
  </w:p>
  <w:p w14:paraId="231E665B" w14:textId="77777777" w:rsidR="00BF6752" w:rsidRDefault="00BF6752">
    <w:pPr>
      <w:pStyle w:val="Encabezamiento"/>
      <w:jc w:val="center"/>
      <w:rPr>
        <w:sz w:val="14"/>
        <w:szCs w:val="14"/>
        <w:u w:val="single"/>
      </w:rPr>
    </w:pPr>
    <w:r>
      <w:rPr>
        <w:rFonts w:ascii="Arial" w:eastAsia="Andale Sans UI;Arial Unicode MS" w:hAnsi="Arial" w:cs="Lucidasans;Times New Roman"/>
        <w:b/>
        <w:bCs/>
        <w:sz w:val="13"/>
        <w:szCs w:val="13"/>
        <w:u w:val="single"/>
      </w:rPr>
      <w:t xml:space="preserve">          DE BOGOTÁ D. C.</w:t>
    </w:r>
    <w:r>
      <w:rPr>
        <w:rFonts w:ascii="Arial" w:eastAsia="Andale Sans UI;Arial Unicode MS" w:hAnsi="Arial" w:cs="Lucidasans;Times New Roman"/>
        <w:b/>
        <w:bCs/>
        <w:sz w:val="14"/>
        <w:szCs w:val="14"/>
        <w:u w:val="single"/>
      </w:rPr>
      <w:t xml:space="preserve">         </w:t>
    </w:r>
  </w:p>
  <w:p w14:paraId="60497F48" w14:textId="77777777" w:rsidR="00BF6752" w:rsidRDefault="00BF6752">
    <w:pPr>
      <w:pStyle w:val="Encabezamiento"/>
      <w:jc w:val="center"/>
      <w:rPr>
        <w:rFonts w:ascii="Arial" w:eastAsia="Andale Sans UI;Arial Unicode MS" w:hAnsi="Arial" w:cs="Lucidasans;Times New Roman"/>
        <w:b/>
        <w:bCs/>
        <w:sz w:val="10"/>
        <w:szCs w:val="10"/>
        <w:u w:val="single"/>
      </w:rPr>
    </w:pPr>
    <w:r>
      <w:rPr>
        <w:rFonts w:ascii="Arial" w:eastAsia="Andale Sans UI;Arial Unicode MS" w:hAnsi="Arial" w:cs="Lucidasans;Times New Roman"/>
        <w:b/>
        <w:bCs/>
        <w:sz w:val="10"/>
        <w:szCs w:val="10"/>
      </w:rPr>
      <w:t xml:space="preserve"> </w:t>
    </w:r>
    <w:r>
      <w:rPr>
        <w:rFonts w:ascii="Arial" w:eastAsia="Andale Sans UI;Arial Unicode MS" w:hAnsi="Arial" w:cs="Lucidasans;Times New Roman"/>
        <w:sz w:val="10"/>
        <w:szCs w:val="10"/>
      </w:rPr>
      <w:t>CULTURA, RECREACIÓN Y DEPORTE</w:t>
    </w:r>
    <w:r>
      <w:rPr>
        <w:rFonts w:ascii="Arial" w:eastAsia="Andale Sans UI;Arial Unicode MS" w:hAnsi="Arial" w:cs="Lucidasans;Times New Roman"/>
        <w:b/>
        <w:bCs/>
        <w:sz w:val="10"/>
        <w:szCs w:val="10"/>
      </w:rPr>
      <w:t xml:space="preserve"> </w:t>
    </w:r>
  </w:p>
  <w:p w14:paraId="466880EA" w14:textId="65263610" w:rsidR="00BF6752" w:rsidRPr="00425456" w:rsidRDefault="00BF6752" w:rsidP="00425456">
    <w:pPr>
      <w:pStyle w:val="Encabezamiento"/>
      <w:jc w:val="center"/>
      <w:rPr>
        <w:rFonts w:ascii="Arial" w:eastAsia="Andale Sans UI;Arial Unicode MS" w:hAnsi="Arial" w:cs="Lucidasans;Times New Roman"/>
        <w:color w:val="000000"/>
        <w:sz w:val="14"/>
        <w:szCs w:val="14"/>
      </w:rPr>
    </w:pPr>
    <w:r>
      <w:rPr>
        <w:rFonts w:ascii="Arial" w:eastAsia="Andale Sans UI;Arial Unicode MS" w:hAnsi="Arial" w:cs="Lucidasans;Times New Roman"/>
        <w:color w:val="000000"/>
        <w:sz w:val="14"/>
        <w:szCs w:val="14"/>
      </w:rPr>
      <w:t>Instituto Distrital de Patrimonio Cultural</w:t>
    </w:r>
    <w:r w:rsidRPr="00547F42">
      <w:rPr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E3E83"/>
    <w:multiLevelType w:val="hybridMultilevel"/>
    <w:tmpl w:val="BEC2B3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21CE5"/>
    <w:multiLevelType w:val="hybridMultilevel"/>
    <w:tmpl w:val="72F221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86244"/>
    <w:multiLevelType w:val="hybridMultilevel"/>
    <w:tmpl w:val="193A39BA"/>
    <w:lvl w:ilvl="0" w:tplc="0EBCB7AC">
      <w:start w:val="6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76A07"/>
    <w:multiLevelType w:val="hybridMultilevel"/>
    <w:tmpl w:val="A22294B6"/>
    <w:lvl w:ilvl="0" w:tplc="ECEA68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83CFC"/>
    <w:multiLevelType w:val="hybridMultilevel"/>
    <w:tmpl w:val="9386276E"/>
    <w:lvl w:ilvl="0" w:tplc="ECEA68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E01B2"/>
    <w:multiLevelType w:val="hybridMultilevel"/>
    <w:tmpl w:val="109442D6"/>
    <w:lvl w:ilvl="0" w:tplc="ECEA68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C225C"/>
    <w:multiLevelType w:val="hybridMultilevel"/>
    <w:tmpl w:val="DC183C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345FDC"/>
    <w:multiLevelType w:val="hybridMultilevel"/>
    <w:tmpl w:val="719A95B4"/>
    <w:lvl w:ilvl="0" w:tplc="7BFE1BA2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23D14107"/>
    <w:multiLevelType w:val="hybridMultilevel"/>
    <w:tmpl w:val="EC588DDC"/>
    <w:lvl w:ilvl="0" w:tplc="0C0A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2501604C"/>
    <w:multiLevelType w:val="hybridMultilevel"/>
    <w:tmpl w:val="38662E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FF2D57"/>
    <w:multiLevelType w:val="hybridMultilevel"/>
    <w:tmpl w:val="3912E2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E6767C"/>
    <w:multiLevelType w:val="hybridMultilevel"/>
    <w:tmpl w:val="7AB4AB7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4C62D9"/>
    <w:multiLevelType w:val="hybridMultilevel"/>
    <w:tmpl w:val="96D29050"/>
    <w:lvl w:ilvl="0" w:tplc="52340B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B85FAA"/>
    <w:multiLevelType w:val="hybridMultilevel"/>
    <w:tmpl w:val="7DEE7D9A"/>
    <w:lvl w:ilvl="0" w:tplc="ECEA68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18325C"/>
    <w:multiLevelType w:val="hybridMultilevel"/>
    <w:tmpl w:val="40708856"/>
    <w:lvl w:ilvl="0" w:tplc="318425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36BB6FD2"/>
    <w:multiLevelType w:val="hybridMultilevel"/>
    <w:tmpl w:val="1CAC3F36"/>
    <w:lvl w:ilvl="0" w:tplc="0C0A0001">
      <w:start w:val="1"/>
      <w:numFmt w:val="bullet"/>
      <w:lvlText w:val=""/>
      <w:lvlJc w:val="left"/>
      <w:pPr>
        <w:ind w:left="85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16" w15:restartNumberingAfterBreak="0">
    <w:nsid w:val="373F393D"/>
    <w:multiLevelType w:val="hybridMultilevel"/>
    <w:tmpl w:val="29A2A322"/>
    <w:lvl w:ilvl="0" w:tplc="0EBCB7AC">
      <w:start w:val="6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BA5410"/>
    <w:multiLevelType w:val="hybridMultilevel"/>
    <w:tmpl w:val="C938F12C"/>
    <w:lvl w:ilvl="0" w:tplc="0EBCB7AC">
      <w:start w:val="6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136B8E"/>
    <w:multiLevelType w:val="hybridMultilevel"/>
    <w:tmpl w:val="E806DB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9B174B"/>
    <w:multiLevelType w:val="hybridMultilevel"/>
    <w:tmpl w:val="8C94B430"/>
    <w:lvl w:ilvl="0" w:tplc="983CE48C">
      <w:start w:val="26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E366A5"/>
    <w:multiLevelType w:val="multilevel"/>
    <w:tmpl w:val="1CD0C6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1" w15:restartNumberingAfterBreak="0">
    <w:nsid w:val="6EFD380F"/>
    <w:multiLevelType w:val="hybridMultilevel"/>
    <w:tmpl w:val="BD1A34D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A756B5"/>
    <w:multiLevelType w:val="hybridMultilevel"/>
    <w:tmpl w:val="61243E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CE0C7A"/>
    <w:multiLevelType w:val="hybridMultilevel"/>
    <w:tmpl w:val="AC76AE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3874AC"/>
    <w:multiLevelType w:val="hybridMultilevel"/>
    <w:tmpl w:val="8778A6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C2A51"/>
    <w:multiLevelType w:val="hybridMultilevel"/>
    <w:tmpl w:val="2C8A2698"/>
    <w:lvl w:ilvl="0" w:tplc="0C0A000F">
      <w:start w:val="1"/>
      <w:numFmt w:val="decimal"/>
      <w:lvlText w:val="%1."/>
      <w:lvlJc w:val="left"/>
      <w:pPr>
        <w:ind w:left="783" w:hanging="360"/>
      </w:pPr>
    </w:lvl>
    <w:lvl w:ilvl="1" w:tplc="0C0A0019" w:tentative="1">
      <w:start w:val="1"/>
      <w:numFmt w:val="lowerLetter"/>
      <w:lvlText w:val="%2."/>
      <w:lvlJc w:val="left"/>
      <w:pPr>
        <w:ind w:left="1503" w:hanging="360"/>
      </w:pPr>
    </w:lvl>
    <w:lvl w:ilvl="2" w:tplc="0C0A001B" w:tentative="1">
      <w:start w:val="1"/>
      <w:numFmt w:val="lowerRoman"/>
      <w:lvlText w:val="%3."/>
      <w:lvlJc w:val="right"/>
      <w:pPr>
        <w:ind w:left="2223" w:hanging="180"/>
      </w:pPr>
    </w:lvl>
    <w:lvl w:ilvl="3" w:tplc="0C0A000F" w:tentative="1">
      <w:start w:val="1"/>
      <w:numFmt w:val="decimal"/>
      <w:lvlText w:val="%4."/>
      <w:lvlJc w:val="left"/>
      <w:pPr>
        <w:ind w:left="2943" w:hanging="360"/>
      </w:pPr>
    </w:lvl>
    <w:lvl w:ilvl="4" w:tplc="0C0A0019" w:tentative="1">
      <w:start w:val="1"/>
      <w:numFmt w:val="lowerLetter"/>
      <w:lvlText w:val="%5."/>
      <w:lvlJc w:val="left"/>
      <w:pPr>
        <w:ind w:left="3663" w:hanging="360"/>
      </w:pPr>
    </w:lvl>
    <w:lvl w:ilvl="5" w:tplc="0C0A001B" w:tentative="1">
      <w:start w:val="1"/>
      <w:numFmt w:val="lowerRoman"/>
      <w:lvlText w:val="%6."/>
      <w:lvlJc w:val="right"/>
      <w:pPr>
        <w:ind w:left="4383" w:hanging="180"/>
      </w:pPr>
    </w:lvl>
    <w:lvl w:ilvl="6" w:tplc="0C0A000F" w:tentative="1">
      <w:start w:val="1"/>
      <w:numFmt w:val="decimal"/>
      <w:lvlText w:val="%7."/>
      <w:lvlJc w:val="left"/>
      <w:pPr>
        <w:ind w:left="5103" w:hanging="360"/>
      </w:pPr>
    </w:lvl>
    <w:lvl w:ilvl="7" w:tplc="0C0A0019" w:tentative="1">
      <w:start w:val="1"/>
      <w:numFmt w:val="lowerLetter"/>
      <w:lvlText w:val="%8."/>
      <w:lvlJc w:val="left"/>
      <w:pPr>
        <w:ind w:left="5823" w:hanging="360"/>
      </w:pPr>
    </w:lvl>
    <w:lvl w:ilvl="8" w:tplc="0C0A001B" w:tentative="1">
      <w:start w:val="1"/>
      <w:numFmt w:val="lowerRoman"/>
      <w:lvlText w:val="%9."/>
      <w:lvlJc w:val="right"/>
      <w:pPr>
        <w:ind w:left="6543" w:hanging="180"/>
      </w:pPr>
    </w:lvl>
  </w:abstractNum>
  <w:num w:numId="1">
    <w:abstractNumId w:val="25"/>
  </w:num>
  <w:num w:numId="2">
    <w:abstractNumId w:val="14"/>
  </w:num>
  <w:num w:numId="3">
    <w:abstractNumId w:val="24"/>
  </w:num>
  <w:num w:numId="4">
    <w:abstractNumId w:val="0"/>
  </w:num>
  <w:num w:numId="5">
    <w:abstractNumId w:val="12"/>
  </w:num>
  <w:num w:numId="6">
    <w:abstractNumId w:val="19"/>
  </w:num>
  <w:num w:numId="7">
    <w:abstractNumId w:val="11"/>
  </w:num>
  <w:num w:numId="8">
    <w:abstractNumId w:val="10"/>
  </w:num>
  <w:num w:numId="9">
    <w:abstractNumId w:val="17"/>
  </w:num>
  <w:num w:numId="10">
    <w:abstractNumId w:val="2"/>
  </w:num>
  <w:num w:numId="11">
    <w:abstractNumId w:val="16"/>
  </w:num>
  <w:num w:numId="12">
    <w:abstractNumId w:val="6"/>
  </w:num>
  <w:num w:numId="13">
    <w:abstractNumId w:val="9"/>
  </w:num>
  <w:num w:numId="14">
    <w:abstractNumId w:val="20"/>
  </w:num>
  <w:num w:numId="15">
    <w:abstractNumId w:val="21"/>
  </w:num>
  <w:num w:numId="16">
    <w:abstractNumId w:val="5"/>
  </w:num>
  <w:num w:numId="17">
    <w:abstractNumId w:val="4"/>
  </w:num>
  <w:num w:numId="18">
    <w:abstractNumId w:val="3"/>
  </w:num>
  <w:num w:numId="19">
    <w:abstractNumId w:val="13"/>
  </w:num>
  <w:num w:numId="20">
    <w:abstractNumId w:val="23"/>
  </w:num>
  <w:num w:numId="21">
    <w:abstractNumId w:val="18"/>
  </w:num>
  <w:num w:numId="22">
    <w:abstractNumId w:val="1"/>
  </w:num>
  <w:num w:numId="23">
    <w:abstractNumId w:val="22"/>
  </w:num>
  <w:num w:numId="24">
    <w:abstractNumId w:val="7"/>
  </w:num>
  <w:num w:numId="25">
    <w:abstractNumId w:val="8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5B4"/>
    <w:rsid w:val="000019BA"/>
    <w:rsid w:val="00015FB3"/>
    <w:rsid w:val="00023B74"/>
    <w:rsid w:val="000326B1"/>
    <w:rsid w:val="00034D7D"/>
    <w:rsid w:val="000467FD"/>
    <w:rsid w:val="000470B8"/>
    <w:rsid w:val="00047AD2"/>
    <w:rsid w:val="00057F94"/>
    <w:rsid w:val="000629B0"/>
    <w:rsid w:val="000703DC"/>
    <w:rsid w:val="00074D82"/>
    <w:rsid w:val="00081BE3"/>
    <w:rsid w:val="00095C69"/>
    <w:rsid w:val="000A1821"/>
    <w:rsid w:val="000A2D20"/>
    <w:rsid w:val="000A65CF"/>
    <w:rsid w:val="000B5E39"/>
    <w:rsid w:val="000B7DD9"/>
    <w:rsid w:val="000C11EF"/>
    <w:rsid w:val="000C7079"/>
    <w:rsid w:val="000E00A7"/>
    <w:rsid w:val="000E0F4C"/>
    <w:rsid w:val="000F3B1D"/>
    <w:rsid w:val="000F5469"/>
    <w:rsid w:val="00101DEE"/>
    <w:rsid w:val="00105629"/>
    <w:rsid w:val="00123200"/>
    <w:rsid w:val="001271DC"/>
    <w:rsid w:val="00131BA6"/>
    <w:rsid w:val="0013622D"/>
    <w:rsid w:val="0015181E"/>
    <w:rsid w:val="0015270A"/>
    <w:rsid w:val="0015553E"/>
    <w:rsid w:val="00160C46"/>
    <w:rsid w:val="00161920"/>
    <w:rsid w:val="0016633F"/>
    <w:rsid w:val="00173859"/>
    <w:rsid w:val="001802B0"/>
    <w:rsid w:val="0018595B"/>
    <w:rsid w:val="00190E3C"/>
    <w:rsid w:val="00194EAD"/>
    <w:rsid w:val="001A00C3"/>
    <w:rsid w:val="001B147A"/>
    <w:rsid w:val="001B4B93"/>
    <w:rsid w:val="001C5023"/>
    <w:rsid w:val="001C5997"/>
    <w:rsid w:val="001D35D3"/>
    <w:rsid w:val="001D773B"/>
    <w:rsid w:val="001E2055"/>
    <w:rsid w:val="001F17F1"/>
    <w:rsid w:val="001F4EE0"/>
    <w:rsid w:val="002017E3"/>
    <w:rsid w:val="00211AF8"/>
    <w:rsid w:val="0022118E"/>
    <w:rsid w:val="00247747"/>
    <w:rsid w:val="00254C62"/>
    <w:rsid w:val="00255DF1"/>
    <w:rsid w:val="00264839"/>
    <w:rsid w:val="00277AAB"/>
    <w:rsid w:val="00280D62"/>
    <w:rsid w:val="00280EE9"/>
    <w:rsid w:val="002840E7"/>
    <w:rsid w:val="00284E97"/>
    <w:rsid w:val="00286CAF"/>
    <w:rsid w:val="00286E9A"/>
    <w:rsid w:val="002914F0"/>
    <w:rsid w:val="002931A7"/>
    <w:rsid w:val="00293382"/>
    <w:rsid w:val="002A5A0E"/>
    <w:rsid w:val="002B67D1"/>
    <w:rsid w:val="002C3020"/>
    <w:rsid w:val="002D0181"/>
    <w:rsid w:val="002F278E"/>
    <w:rsid w:val="00303F96"/>
    <w:rsid w:val="00306117"/>
    <w:rsid w:val="00307CFD"/>
    <w:rsid w:val="003105AC"/>
    <w:rsid w:val="00315E91"/>
    <w:rsid w:val="0031610E"/>
    <w:rsid w:val="00334480"/>
    <w:rsid w:val="00334E93"/>
    <w:rsid w:val="003376B5"/>
    <w:rsid w:val="00341111"/>
    <w:rsid w:val="003540CC"/>
    <w:rsid w:val="00354ED6"/>
    <w:rsid w:val="00362565"/>
    <w:rsid w:val="003629F6"/>
    <w:rsid w:val="003816DB"/>
    <w:rsid w:val="003858CC"/>
    <w:rsid w:val="003A0FBD"/>
    <w:rsid w:val="003A2032"/>
    <w:rsid w:val="003A537E"/>
    <w:rsid w:val="003B7864"/>
    <w:rsid w:val="003B7C43"/>
    <w:rsid w:val="003C477C"/>
    <w:rsid w:val="003D0E34"/>
    <w:rsid w:val="003E0DFE"/>
    <w:rsid w:val="003F5459"/>
    <w:rsid w:val="00402517"/>
    <w:rsid w:val="004234C3"/>
    <w:rsid w:val="00424004"/>
    <w:rsid w:val="0042523F"/>
    <w:rsid w:val="00425456"/>
    <w:rsid w:val="00427B0A"/>
    <w:rsid w:val="004311FE"/>
    <w:rsid w:val="00435639"/>
    <w:rsid w:val="004616E6"/>
    <w:rsid w:val="00471B71"/>
    <w:rsid w:val="00475746"/>
    <w:rsid w:val="004815B4"/>
    <w:rsid w:val="004840BA"/>
    <w:rsid w:val="00486BE4"/>
    <w:rsid w:val="004923D5"/>
    <w:rsid w:val="004B21F3"/>
    <w:rsid w:val="004B5D76"/>
    <w:rsid w:val="004C1C9C"/>
    <w:rsid w:val="004C31A6"/>
    <w:rsid w:val="004C60DA"/>
    <w:rsid w:val="004D0EAF"/>
    <w:rsid w:val="004D14C7"/>
    <w:rsid w:val="004E1B12"/>
    <w:rsid w:val="004E468F"/>
    <w:rsid w:val="004F0991"/>
    <w:rsid w:val="004F3964"/>
    <w:rsid w:val="004F5DB3"/>
    <w:rsid w:val="00504F6E"/>
    <w:rsid w:val="00507D58"/>
    <w:rsid w:val="0051079F"/>
    <w:rsid w:val="00511891"/>
    <w:rsid w:val="00511FBD"/>
    <w:rsid w:val="005126F0"/>
    <w:rsid w:val="005150C5"/>
    <w:rsid w:val="00542077"/>
    <w:rsid w:val="005433BD"/>
    <w:rsid w:val="00544A2A"/>
    <w:rsid w:val="00545BE9"/>
    <w:rsid w:val="00547F42"/>
    <w:rsid w:val="00551DAE"/>
    <w:rsid w:val="005549E6"/>
    <w:rsid w:val="0055615E"/>
    <w:rsid w:val="00561793"/>
    <w:rsid w:val="00567126"/>
    <w:rsid w:val="00570BA7"/>
    <w:rsid w:val="005721C1"/>
    <w:rsid w:val="00574A83"/>
    <w:rsid w:val="005873AE"/>
    <w:rsid w:val="00592C16"/>
    <w:rsid w:val="0059685A"/>
    <w:rsid w:val="005A1D40"/>
    <w:rsid w:val="005A54B0"/>
    <w:rsid w:val="005B2613"/>
    <w:rsid w:val="005B4190"/>
    <w:rsid w:val="005C1FD6"/>
    <w:rsid w:val="005D25A7"/>
    <w:rsid w:val="005D385A"/>
    <w:rsid w:val="005F0551"/>
    <w:rsid w:val="005F3C9A"/>
    <w:rsid w:val="005F4769"/>
    <w:rsid w:val="00605176"/>
    <w:rsid w:val="006053BE"/>
    <w:rsid w:val="00614CFA"/>
    <w:rsid w:val="0061648C"/>
    <w:rsid w:val="006301E7"/>
    <w:rsid w:val="006478A2"/>
    <w:rsid w:val="00653DA5"/>
    <w:rsid w:val="00654F2C"/>
    <w:rsid w:val="006608E1"/>
    <w:rsid w:val="00673A4D"/>
    <w:rsid w:val="00676760"/>
    <w:rsid w:val="0068229F"/>
    <w:rsid w:val="00683674"/>
    <w:rsid w:val="0068495C"/>
    <w:rsid w:val="0069000D"/>
    <w:rsid w:val="00691C23"/>
    <w:rsid w:val="00692CD1"/>
    <w:rsid w:val="006A155C"/>
    <w:rsid w:val="006A19D0"/>
    <w:rsid w:val="006B061C"/>
    <w:rsid w:val="006B08B7"/>
    <w:rsid w:val="006B0B9A"/>
    <w:rsid w:val="006B7078"/>
    <w:rsid w:val="006B75AA"/>
    <w:rsid w:val="006C12BD"/>
    <w:rsid w:val="006C3A94"/>
    <w:rsid w:val="006C71DD"/>
    <w:rsid w:val="006D57EF"/>
    <w:rsid w:val="006D5DE2"/>
    <w:rsid w:val="006E4313"/>
    <w:rsid w:val="006F4A99"/>
    <w:rsid w:val="006F57E6"/>
    <w:rsid w:val="006F5FD3"/>
    <w:rsid w:val="00702564"/>
    <w:rsid w:val="00711375"/>
    <w:rsid w:val="0071400E"/>
    <w:rsid w:val="00730430"/>
    <w:rsid w:val="00734A3E"/>
    <w:rsid w:val="00735AED"/>
    <w:rsid w:val="00745794"/>
    <w:rsid w:val="00762530"/>
    <w:rsid w:val="00772D81"/>
    <w:rsid w:val="00782980"/>
    <w:rsid w:val="00783F2A"/>
    <w:rsid w:val="007846C1"/>
    <w:rsid w:val="00784E5B"/>
    <w:rsid w:val="00786B1D"/>
    <w:rsid w:val="00794D6B"/>
    <w:rsid w:val="007A0490"/>
    <w:rsid w:val="007A2A75"/>
    <w:rsid w:val="007C1C0D"/>
    <w:rsid w:val="007D56E3"/>
    <w:rsid w:val="007D7C70"/>
    <w:rsid w:val="007F3E87"/>
    <w:rsid w:val="00812B75"/>
    <w:rsid w:val="00844E6D"/>
    <w:rsid w:val="0085164C"/>
    <w:rsid w:val="0087767C"/>
    <w:rsid w:val="008835F9"/>
    <w:rsid w:val="00884511"/>
    <w:rsid w:val="00886797"/>
    <w:rsid w:val="008925E3"/>
    <w:rsid w:val="008A11F2"/>
    <w:rsid w:val="008A1279"/>
    <w:rsid w:val="008A2ACD"/>
    <w:rsid w:val="008A683F"/>
    <w:rsid w:val="008C6078"/>
    <w:rsid w:val="008E0F4B"/>
    <w:rsid w:val="008E5943"/>
    <w:rsid w:val="008E62F3"/>
    <w:rsid w:val="008F4190"/>
    <w:rsid w:val="008F6C1B"/>
    <w:rsid w:val="00910F0A"/>
    <w:rsid w:val="00920AE8"/>
    <w:rsid w:val="0092208C"/>
    <w:rsid w:val="00924CB1"/>
    <w:rsid w:val="00926D1C"/>
    <w:rsid w:val="00930B4A"/>
    <w:rsid w:val="00932109"/>
    <w:rsid w:val="00932139"/>
    <w:rsid w:val="009369DD"/>
    <w:rsid w:val="0094563F"/>
    <w:rsid w:val="009460C7"/>
    <w:rsid w:val="0095129B"/>
    <w:rsid w:val="00955D93"/>
    <w:rsid w:val="00955F0A"/>
    <w:rsid w:val="00961C78"/>
    <w:rsid w:val="00964584"/>
    <w:rsid w:val="00975646"/>
    <w:rsid w:val="009848BC"/>
    <w:rsid w:val="009853C4"/>
    <w:rsid w:val="009B2FDE"/>
    <w:rsid w:val="009D03CE"/>
    <w:rsid w:val="009D2D1F"/>
    <w:rsid w:val="009D3FFA"/>
    <w:rsid w:val="009D6A88"/>
    <w:rsid w:val="009E0B85"/>
    <w:rsid w:val="009E412C"/>
    <w:rsid w:val="009F0E0A"/>
    <w:rsid w:val="009F73D0"/>
    <w:rsid w:val="00A02D53"/>
    <w:rsid w:val="00A039BE"/>
    <w:rsid w:val="00A34673"/>
    <w:rsid w:val="00A523C3"/>
    <w:rsid w:val="00A527EE"/>
    <w:rsid w:val="00A61138"/>
    <w:rsid w:val="00A64BE2"/>
    <w:rsid w:val="00A67384"/>
    <w:rsid w:val="00A733E4"/>
    <w:rsid w:val="00A742C8"/>
    <w:rsid w:val="00A859CA"/>
    <w:rsid w:val="00A85CE7"/>
    <w:rsid w:val="00A90425"/>
    <w:rsid w:val="00A92273"/>
    <w:rsid w:val="00A938BF"/>
    <w:rsid w:val="00A96804"/>
    <w:rsid w:val="00AA212B"/>
    <w:rsid w:val="00AB398E"/>
    <w:rsid w:val="00AC1DD9"/>
    <w:rsid w:val="00AC5312"/>
    <w:rsid w:val="00AD3486"/>
    <w:rsid w:val="00AE6EF9"/>
    <w:rsid w:val="00AF4DE0"/>
    <w:rsid w:val="00B0454A"/>
    <w:rsid w:val="00B07E3B"/>
    <w:rsid w:val="00B115B5"/>
    <w:rsid w:val="00B12286"/>
    <w:rsid w:val="00B16CA6"/>
    <w:rsid w:val="00B21CDB"/>
    <w:rsid w:val="00B27B00"/>
    <w:rsid w:val="00B32204"/>
    <w:rsid w:val="00B47276"/>
    <w:rsid w:val="00B51ED3"/>
    <w:rsid w:val="00B533FE"/>
    <w:rsid w:val="00B625F7"/>
    <w:rsid w:val="00B67292"/>
    <w:rsid w:val="00B75F32"/>
    <w:rsid w:val="00B771CE"/>
    <w:rsid w:val="00B8037B"/>
    <w:rsid w:val="00B844B0"/>
    <w:rsid w:val="00B851B0"/>
    <w:rsid w:val="00B85552"/>
    <w:rsid w:val="00B85CD1"/>
    <w:rsid w:val="00B91682"/>
    <w:rsid w:val="00B93676"/>
    <w:rsid w:val="00B9523A"/>
    <w:rsid w:val="00BA090F"/>
    <w:rsid w:val="00BA1B17"/>
    <w:rsid w:val="00BA22DD"/>
    <w:rsid w:val="00BA62D5"/>
    <w:rsid w:val="00BB40FB"/>
    <w:rsid w:val="00BB70DE"/>
    <w:rsid w:val="00BC2DC4"/>
    <w:rsid w:val="00BC43C0"/>
    <w:rsid w:val="00BD444A"/>
    <w:rsid w:val="00BE2D8F"/>
    <w:rsid w:val="00BE3A55"/>
    <w:rsid w:val="00BE574A"/>
    <w:rsid w:val="00BE69A3"/>
    <w:rsid w:val="00BF25E3"/>
    <w:rsid w:val="00BF6752"/>
    <w:rsid w:val="00C01A0A"/>
    <w:rsid w:val="00C03DF2"/>
    <w:rsid w:val="00C050ED"/>
    <w:rsid w:val="00C13CB2"/>
    <w:rsid w:val="00C14417"/>
    <w:rsid w:val="00C21699"/>
    <w:rsid w:val="00C32861"/>
    <w:rsid w:val="00C32F78"/>
    <w:rsid w:val="00C36243"/>
    <w:rsid w:val="00C415FD"/>
    <w:rsid w:val="00C55602"/>
    <w:rsid w:val="00C705EA"/>
    <w:rsid w:val="00C731BA"/>
    <w:rsid w:val="00C85428"/>
    <w:rsid w:val="00C86CDA"/>
    <w:rsid w:val="00C875C9"/>
    <w:rsid w:val="00C9042F"/>
    <w:rsid w:val="00C93894"/>
    <w:rsid w:val="00C945A7"/>
    <w:rsid w:val="00CA0AA1"/>
    <w:rsid w:val="00CB22F9"/>
    <w:rsid w:val="00CC3F09"/>
    <w:rsid w:val="00CD603E"/>
    <w:rsid w:val="00CE001C"/>
    <w:rsid w:val="00CF1DA2"/>
    <w:rsid w:val="00D04FCD"/>
    <w:rsid w:val="00D10BDE"/>
    <w:rsid w:val="00D13097"/>
    <w:rsid w:val="00D147EE"/>
    <w:rsid w:val="00D1692B"/>
    <w:rsid w:val="00D26496"/>
    <w:rsid w:val="00D27F05"/>
    <w:rsid w:val="00D42F56"/>
    <w:rsid w:val="00D553AA"/>
    <w:rsid w:val="00D56458"/>
    <w:rsid w:val="00D56C20"/>
    <w:rsid w:val="00D705E3"/>
    <w:rsid w:val="00D74676"/>
    <w:rsid w:val="00D76252"/>
    <w:rsid w:val="00D86B27"/>
    <w:rsid w:val="00DA36A0"/>
    <w:rsid w:val="00DA6F70"/>
    <w:rsid w:val="00DA79EC"/>
    <w:rsid w:val="00DC1C44"/>
    <w:rsid w:val="00DD08CE"/>
    <w:rsid w:val="00DD19E6"/>
    <w:rsid w:val="00DE7E3A"/>
    <w:rsid w:val="00DF36F6"/>
    <w:rsid w:val="00E049D9"/>
    <w:rsid w:val="00E1675C"/>
    <w:rsid w:val="00E21311"/>
    <w:rsid w:val="00E24622"/>
    <w:rsid w:val="00E36D73"/>
    <w:rsid w:val="00E41C11"/>
    <w:rsid w:val="00E42461"/>
    <w:rsid w:val="00E461FE"/>
    <w:rsid w:val="00E52BFC"/>
    <w:rsid w:val="00E6441F"/>
    <w:rsid w:val="00E65DBD"/>
    <w:rsid w:val="00E66356"/>
    <w:rsid w:val="00E70301"/>
    <w:rsid w:val="00E85F5E"/>
    <w:rsid w:val="00E86774"/>
    <w:rsid w:val="00E86DC5"/>
    <w:rsid w:val="00E9195A"/>
    <w:rsid w:val="00E96278"/>
    <w:rsid w:val="00EA0D08"/>
    <w:rsid w:val="00EA3DA3"/>
    <w:rsid w:val="00EB072B"/>
    <w:rsid w:val="00EB337C"/>
    <w:rsid w:val="00EB345A"/>
    <w:rsid w:val="00EC1A50"/>
    <w:rsid w:val="00ED436B"/>
    <w:rsid w:val="00EE1339"/>
    <w:rsid w:val="00EF39CC"/>
    <w:rsid w:val="00F000F3"/>
    <w:rsid w:val="00F04AB0"/>
    <w:rsid w:val="00F20828"/>
    <w:rsid w:val="00F27CDA"/>
    <w:rsid w:val="00F3693E"/>
    <w:rsid w:val="00F44260"/>
    <w:rsid w:val="00F53C99"/>
    <w:rsid w:val="00F55036"/>
    <w:rsid w:val="00F568C6"/>
    <w:rsid w:val="00F615EC"/>
    <w:rsid w:val="00F6643D"/>
    <w:rsid w:val="00F67CF0"/>
    <w:rsid w:val="00F7105F"/>
    <w:rsid w:val="00F8628F"/>
    <w:rsid w:val="00F958A1"/>
    <w:rsid w:val="00F96BCD"/>
    <w:rsid w:val="00F976E2"/>
    <w:rsid w:val="00FA041D"/>
    <w:rsid w:val="00FA3D1A"/>
    <w:rsid w:val="00FA4122"/>
    <w:rsid w:val="00FA7999"/>
    <w:rsid w:val="00FB16DF"/>
    <w:rsid w:val="00FB5B55"/>
    <w:rsid w:val="00FC151C"/>
    <w:rsid w:val="00FC1F2F"/>
    <w:rsid w:val="00FC2369"/>
    <w:rsid w:val="00FC2E3F"/>
    <w:rsid w:val="00FC5D88"/>
    <w:rsid w:val="00FD7B0A"/>
    <w:rsid w:val="00FE1C18"/>
    <w:rsid w:val="00FF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5402D"/>
  <w15:docId w15:val="{AA5A61D2-E440-4942-92B1-04216A5E2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Cs w:val="24"/>
        <w:lang w:val="es-CO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spacing w:line="100" w:lineRule="atLeast"/>
    </w:pPr>
    <w:rPr>
      <w:rFonts w:ascii="Times New Roman" w:eastAsia="Arial Unicode MS" w:hAnsi="Times New Roman" w:cs="Tahoma"/>
      <w:color w:val="00000A"/>
      <w:sz w:val="24"/>
      <w:lang w:val="es-ES" w:eastAsia="es-CO" w:bidi="ar-SA"/>
    </w:rPr>
  </w:style>
  <w:style w:type="paragraph" w:styleId="Ttulo1">
    <w:name w:val="heading 1"/>
    <w:basedOn w:val="Heading"/>
    <w:qFormat/>
    <w:pPr>
      <w:outlineLvl w:val="0"/>
    </w:pPr>
  </w:style>
  <w:style w:type="paragraph" w:styleId="Ttulo2">
    <w:name w:val="heading 2"/>
    <w:basedOn w:val="Heading"/>
    <w:qFormat/>
    <w:pPr>
      <w:outlineLvl w:val="1"/>
    </w:pPr>
  </w:style>
  <w:style w:type="paragraph" w:styleId="Ttulo3">
    <w:name w:val="heading 3"/>
    <w:basedOn w:val="Heading"/>
    <w:qFormat/>
    <w:pPr>
      <w:outlineLvl w:val="2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qFormat/>
  </w:style>
  <w:style w:type="character" w:customStyle="1" w:styleId="PiedepginaCar">
    <w:name w:val="Pie de página Car"/>
    <w:basedOn w:val="Fuentedeprrafopredeter"/>
    <w:qFormat/>
  </w:style>
  <w:style w:type="character" w:customStyle="1" w:styleId="TextodegloboCar">
    <w:name w:val="Texto de globo Car"/>
    <w:basedOn w:val="Fuentedeprrafopredeter"/>
    <w:qFormat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Liberation Sans" w:hAnsi="Liberation Sans" w:cs="Arial Unicode MS"/>
      <w:sz w:val="28"/>
      <w:szCs w:val="28"/>
    </w:rPr>
  </w:style>
  <w:style w:type="paragraph" w:styleId="Textoindependiente">
    <w:name w:val="Body Text"/>
    <w:basedOn w:val="Normal"/>
    <w:qFormat/>
    <w:pPr>
      <w:spacing w:after="120"/>
    </w:pPr>
  </w:style>
  <w:style w:type="paragraph" w:styleId="Lista">
    <w:name w:val="List"/>
    <w:qFormat/>
    <w:pPr>
      <w:widowControl w:val="0"/>
      <w:suppressAutoHyphens/>
    </w:pPr>
    <w:rPr>
      <w:color w:val="00000A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Encabezado">
    <w:name w:val="header"/>
    <w:basedOn w:val="Normal"/>
  </w:style>
  <w:style w:type="paragraph" w:customStyle="1" w:styleId="Cuerpodetexto">
    <w:name w:val="Cuerpo de texto"/>
    <w:basedOn w:val="Normal"/>
    <w:qFormat/>
    <w:pPr>
      <w:spacing w:after="140" w:line="288" w:lineRule="auto"/>
    </w:pPr>
  </w:style>
  <w:style w:type="paragraph" w:customStyle="1" w:styleId="Pie">
    <w:name w:val="Pie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Encabezamiento">
    <w:name w:val="Encabezamiento"/>
    <w:basedOn w:val="Normal"/>
    <w:qFormat/>
    <w:pPr>
      <w:tabs>
        <w:tab w:val="center" w:pos="4252"/>
        <w:tab w:val="right" w:pos="8504"/>
      </w:tabs>
    </w:pPr>
  </w:style>
  <w:style w:type="paragraph" w:styleId="Piedepgina">
    <w:name w:val="footer"/>
    <w:basedOn w:val="Normal"/>
  </w:style>
  <w:style w:type="paragraph" w:styleId="Textodeglobo">
    <w:name w:val="Balloon Text"/>
    <w:basedOn w:val="Normal"/>
    <w:qFormat/>
    <w:rPr>
      <w:rFonts w:ascii="Tahoma" w:hAnsi="Tahoma"/>
      <w:sz w:val="16"/>
      <w:szCs w:val="16"/>
    </w:rPr>
  </w:style>
  <w:style w:type="paragraph" w:styleId="Sinespaciado">
    <w:name w:val="No Spacing"/>
    <w:qFormat/>
    <w:pPr>
      <w:suppressAutoHyphens/>
      <w:spacing w:line="100" w:lineRule="atLeast"/>
    </w:pPr>
    <w:rPr>
      <w:rFonts w:ascii="Calibri" w:eastAsia="Arial Unicode MS" w:hAnsi="Calibri"/>
      <w:color w:val="00000A"/>
      <w:sz w:val="22"/>
      <w:szCs w:val="22"/>
      <w:lang w:eastAsia="es-CO" w:bidi="ar-SA"/>
    </w:rPr>
  </w:style>
  <w:style w:type="paragraph" w:customStyle="1" w:styleId="Quotations">
    <w:name w:val="Quotations"/>
    <w:basedOn w:val="Normal"/>
    <w:qFormat/>
  </w:style>
  <w:style w:type="paragraph" w:styleId="Puesto">
    <w:name w:val="Title"/>
    <w:basedOn w:val="Heading"/>
    <w:qFormat/>
  </w:style>
  <w:style w:type="paragraph" w:styleId="Subttulo">
    <w:name w:val="Subtitle"/>
    <w:basedOn w:val="Heading"/>
    <w:qFormat/>
  </w:style>
  <w:style w:type="paragraph" w:customStyle="1" w:styleId="PreformattedText">
    <w:name w:val="Preformatted Text"/>
    <w:basedOn w:val="Normal"/>
    <w:qFormat/>
  </w:style>
  <w:style w:type="character" w:styleId="Refdecomentario">
    <w:name w:val="annotation reference"/>
    <w:basedOn w:val="Fuentedeprrafopredeter"/>
    <w:uiPriority w:val="99"/>
    <w:semiHidden/>
    <w:unhideWhenUsed/>
    <w:rsid w:val="00280D6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80D6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80D62"/>
    <w:rPr>
      <w:rFonts w:ascii="Times New Roman" w:eastAsia="Arial Unicode MS" w:hAnsi="Times New Roman" w:cs="Tahoma"/>
      <w:color w:val="00000A"/>
      <w:szCs w:val="20"/>
      <w:lang w:val="es-ES" w:eastAsia="es-CO" w:bidi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80D6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80D62"/>
    <w:rPr>
      <w:rFonts w:ascii="Times New Roman" w:eastAsia="Arial Unicode MS" w:hAnsi="Times New Roman" w:cs="Tahoma"/>
      <w:b/>
      <w:bCs/>
      <w:color w:val="00000A"/>
      <w:szCs w:val="20"/>
      <w:lang w:val="es-ES" w:eastAsia="es-CO" w:bidi="ar-SA"/>
    </w:rPr>
  </w:style>
  <w:style w:type="paragraph" w:styleId="Prrafodelista">
    <w:name w:val="List Paragraph"/>
    <w:basedOn w:val="Normal"/>
    <w:uiPriority w:val="34"/>
    <w:qFormat/>
    <w:rsid w:val="0047574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A5A0E"/>
    <w:rPr>
      <w:color w:val="0563C1" w:themeColor="hyperlink"/>
      <w:u w:val="single"/>
    </w:rPr>
  </w:style>
  <w:style w:type="paragraph" w:customStyle="1" w:styleId="m7007535857312232601gmail-msolistparagraph">
    <w:name w:val="m_7007535857312232601gmail-msolistparagraph"/>
    <w:basedOn w:val="Normal"/>
    <w:rsid w:val="000F5469"/>
    <w:pPr>
      <w:widowControl/>
      <w:suppressAutoHyphens w:val="0"/>
      <w:spacing w:before="100" w:beforeAutospacing="1" w:after="100" w:afterAutospacing="1" w:line="240" w:lineRule="auto"/>
    </w:pPr>
    <w:rPr>
      <w:rFonts w:eastAsia="Times New Roman" w:cs="Times New Roman"/>
      <w:color w:val="auto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2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8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6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6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pc.gov.co/transparencia-y-acceso-a-la-informacion-publica/ley_transparencia_idpc/seguimiento-mapa-riesgos-proceso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Notificacionjudicial@idpc.gov.co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CristianVelasquez\riesgos\riesgos%202019\consolidado%20Riesgos%202019\informe%20s\agosto%2019%20informe\soporte%20informe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7652576577099132"/>
          <c:y val="3.3485540334855401E-2"/>
          <c:w val="0.49148533228926494"/>
          <c:h val="0.86844185572693822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Total riesgos de corrupción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/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Hoja1!$A$2:$A$16</c:f>
              <c:strCache>
                <c:ptCount val="15"/>
                <c:pt idx="0">
                  <c:v>Direccionamiento Estratégico</c:v>
                </c:pt>
                <c:pt idx="1">
                  <c:v>Fortalecimiento del SIG</c:v>
                </c:pt>
                <c:pt idx="2">
                  <c:v>Comunicación Estratégica</c:v>
                </c:pt>
                <c:pt idx="3">
                  <c:v>Atención a la Ciudadanía</c:v>
                </c:pt>
                <c:pt idx="4">
                  <c:v>Protección e intervención del Patrimonio </c:v>
                </c:pt>
                <c:pt idx="5">
                  <c:v>Divulgacion y Apropiacion Social del Patrimonio </c:v>
                </c:pt>
                <c:pt idx="6">
                  <c:v>Gestión Talento Humano</c:v>
                </c:pt>
                <c:pt idx="7">
                  <c:v>Gestión Jurídica</c:v>
                </c:pt>
                <c:pt idx="8">
                  <c:v>Gestión Contractual</c:v>
                </c:pt>
                <c:pt idx="9">
                  <c:v>Gestión Documental</c:v>
                </c:pt>
                <c:pt idx="10">
                  <c:v>Administración de Bienes e Infraestructura</c:v>
                </c:pt>
                <c:pt idx="11">
                  <c:v>Gestión de Sistemas de Información y Tecnología</c:v>
                </c:pt>
                <c:pt idx="12">
                  <c:v>Control Interno Disciplinario</c:v>
                </c:pt>
                <c:pt idx="13">
                  <c:v>Gestión Financiera</c:v>
                </c:pt>
                <c:pt idx="14">
                  <c:v>Seguimiento y Evaluación</c:v>
                </c:pt>
              </c:strCache>
            </c:strRef>
          </c:cat>
          <c:val>
            <c:numRef>
              <c:f>Hoja1!$B$2:$B$16</c:f>
              <c:numCache>
                <c:formatCode>General</c:formatCode>
                <c:ptCount val="15"/>
                <c:pt idx="2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8">
                  <c:v>2</c:v>
                </c:pt>
                <c:pt idx="9">
                  <c:v>1</c:v>
                </c:pt>
                <c:pt idx="10">
                  <c:v>1</c:v>
                </c:pt>
                <c:pt idx="14">
                  <c:v>1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Total riesgos de Gestion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/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Hoja1!$A$2:$A$16</c:f>
              <c:strCache>
                <c:ptCount val="15"/>
                <c:pt idx="0">
                  <c:v>Direccionamiento Estratégico</c:v>
                </c:pt>
                <c:pt idx="1">
                  <c:v>Fortalecimiento del SIG</c:v>
                </c:pt>
                <c:pt idx="2">
                  <c:v>Comunicación Estratégica</c:v>
                </c:pt>
                <c:pt idx="3">
                  <c:v>Atención a la Ciudadanía</c:v>
                </c:pt>
                <c:pt idx="4">
                  <c:v>Protección e intervención del Patrimonio </c:v>
                </c:pt>
                <c:pt idx="5">
                  <c:v>Divulgacion y Apropiacion Social del Patrimonio </c:v>
                </c:pt>
                <c:pt idx="6">
                  <c:v>Gestión Talento Humano</c:v>
                </c:pt>
                <c:pt idx="7">
                  <c:v>Gestión Jurídica</c:v>
                </c:pt>
                <c:pt idx="8">
                  <c:v>Gestión Contractual</c:v>
                </c:pt>
                <c:pt idx="9">
                  <c:v>Gestión Documental</c:v>
                </c:pt>
                <c:pt idx="10">
                  <c:v>Administración de Bienes e Infraestructura</c:v>
                </c:pt>
                <c:pt idx="11">
                  <c:v>Gestión de Sistemas de Información y Tecnología</c:v>
                </c:pt>
                <c:pt idx="12">
                  <c:v>Control Interno Disciplinario</c:v>
                </c:pt>
                <c:pt idx="13">
                  <c:v>Gestión Financiera</c:v>
                </c:pt>
                <c:pt idx="14">
                  <c:v>Seguimiento y Evaluación</c:v>
                </c:pt>
              </c:strCache>
            </c:strRef>
          </c:cat>
          <c:val>
            <c:numRef>
              <c:f>Hoja1!$C$2:$C$16</c:f>
              <c:numCache>
                <c:formatCode>General</c:formatCode>
                <c:ptCount val="1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4</c:v>
                </c:pt>
                <c:pt idx="5">
                  <c:v>7</c:v>
                </c:pt>
                <c:pt idx="6">
                  <c:v>3</c:v>
                </c:pt>
                <c:pt idx="7">
                  <c:v>1</c:v>
                </c:pt>
                <c:pt idx="8">
                  <c:v>3</c:v>
                </c:pt>
                <c:pt idx="9">
                  <c:v>2</c:v>
                </c:pt>
                <c:pt idx="10">
                  <c:v>3</c:v>
                </c:pt>
                <c:pt idx="11">
                  <c:v>2</c:v>
                </c:pt>
                <c:pt idx="12">
                  <c:v>2</c:v>
                </c:pt>
                <c:pt idx="13">
                  <c:v>4</c:v>
                </c:pt>
                <c:pt idx="14">
                  <c:v>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-375108528"/>
        <c:axId val="-375111792"/>
      </c:barChart>
      <c:catAx>
        <c:axId val="-375108528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900"/>
            </a:pPr>
            <a:endParaRPr lang="es-ES"/>
          </a:p>
        </c:txPr>
        <c:crossAx val="-375111792"/>
        <c:crosses val="autoZero"/>
        <c:auto val="1"/>
        <c:lblAlgn val="ctr"/>
        <c:lblOffset val="100"/>
        <c:noMultiLvlLbl val="0"/>
      </c:catAx>
      <c:valAx>
        <c:axId val="-3751117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800"/>
            </a:pPr>
            <a:endParaRPr lang="es-ES"/>
          </a:p>
        </c:txPr>
        <c:crossAx val="-37510852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8943750815678426"/>
          <c:y val="0.94862977744220334"/>
          <c:w val="0.621124790340434"/>
          <c:h val="5.1370222557796712E-2"/>
        </c:manualLayout>
      </c:layout>
      <c:overlay val="0"/>
      <c:txPr>
        <a:bodyPr/>
        <a:lstStyle/>
        <a:p>
          <a:pPr>
            <a:defRPr sz="900"/>
          </a:pPr>
          <a:endParaRPr lang="es-ES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91593-D0EF-4B3E-825C-03181B221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11</Pages>
  <Words>3889</Words>
  <Characters>21392</Characters>
  <Application>Microsoft Office Word</Application>
  <DocSecurity>0</DocSecurity>
  <Lines>178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SISTEMAS</dc:creator>
  <cp:lastModifiedBy>Jose Francisco Rodriguez Tellez</cp:lastModifiedBy>
  <cp:revision>23</cp:revision>
  <cp:lastPrinted>2019-10-24T17:00:00Z</cp:lastPrinted>
  <dcterms:created xsi:type="dcterms:W3CDTF">2019-11-25T17:03:00Z</dcterms:created>
  <dcterms:modified xsi:type="dcterms:W3CDTF">2019-11-29T19:55:00Z</dcterms:modified>
  <dc:language>es-CO</dc:language>
</cp:coreProperties>
</file>