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0875" w14:textId="77777777" w:rsidR="00425456" w:rsidRPr="00DA79EC" w:rsidRDefault="00425456" w:rsidP="00280D62">
      <w:pPr>
        <w:tabs>
          <w:tab w:val="left" w:pos="109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FA5057" w14:textId="77777777" w:rsidR="00425456" w:rsidRPr="00730430" w:rsidRDefault="00425456" w:rsidP="00280D6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6E56C1D4" w14:textId="77777777" w:rsidR="00930B4A" w:rsidRPr="00730430" w:rsidRDefault="00930B4A" w:rsidP="00280D6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30D3F4F7" w14:textId="77777777" w:rsidR="00E1675C" w:rsidRPr="00730430" w:rsidRDefault="00E1675C" w:rsidP="00280D6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667CBEA8" w14:textId="77777777" w:rsidR="00A92273" w:rsidRPr="00730430" w:rsidRDefault="00A92273" w:rsidP="00280D6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33D1B7A8" w14:textId="77777777" w:rsidR="00930B4A" w:rsidRPr="00730430" w:rsidRDefault="00930B4A" w:rsidP="00280D6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1156DB2E" w14:textId="77777777" w:rsidR="00930B4A" w:rsidRPr="00730430" w:rsidRDefault="00930B4A" w:rsidP="00280D6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0A37FC0E" w14:textId="77777777" w:rsidR="00782980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  <w:r w:rsidRPr="00730430">
        <w:rPr>
          <w:rFonts w:ascii="Arial" w:hAnsi="Arial" w:cs="Arial"/>
          <w:b/>
          <w:sz w:val="22"/>
          <w:szCs w:val="22"/>
        </w:rPr>
        <w:t>BALANCE DE LA GESTIÓN DE RIESG</w:t>
      </w:r>
      <w:r w:rsidR="00A92273" w:rsidRPr="00730430">
        <w:rPr>
          <w:rFonts w:ascii="Arial" w:hAnsi="Arial" w:cs="Arial"/>
          <w:b/>
          <w:sz w:val="22"/>
          <w:szCs w:val="22"/>
        </w:rPr>
        <w:t>OS DE CORRUPCIÓN Y DE GESTIÓN  CORRESPONDIENTE AL PRIMER CUATRIMESTRE DE LA VIGENCIA 2019</w:t>
      </w:r>
    </w:p>
    <w:p w14:paraId="4C231C3F" w14:textId="20CD55F1" w:rsidR="00930B4A" w:rsidRPr="00341111" w:rsidRDefault="00A92273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  <w:r w:rsidRPr="00341111">
        <w:rPr>
          <w:rFonts w:ascii="Arial" w:hAnsi="Arial" w:cs="Arial"/>
          <w:b/>
          <w:sz w:val="22"/>
          <w:szCs w:val="22"/>
        </w:rPr>
        <w:t xml:space="preserve"> (ENERO – ABRIL)</w:t>
      </w:r>
    </w:p>
    <w:p w14:paraId="0F7F6481" w14:textId="77777777" w:rsidR="00930B4A" w:rsidRPr="00730430" w:rsidRDefault="00930B4A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79FF80FD" w14:textId="77777777" w:rsidR="00930B4A" w:rsidRPr="00730430" w:rsidRDefault="00930B4A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5A045D86" w14:textId="77777777" w:rsidR="00930B4A" w:rsidRPr="00730430" w:rsidRDefault="00930B4A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7484C201" w14:textId="77777777" w:rsidR="00930B4A" w:rsidRPr="00730430" w:rsidRDefault="00930B4A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7AFFBB55" w14:textId="77777777" w:rsidR="00930B4A" w:rsidRPr="00730430" w:rsidRDefault="00930B4A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3FC292D5" w14:textId="77777777" w:rsidR="00930B4A" w:rsidRPr="00730430" w:rsidRDefault="00930B4A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04D7B611" w14:textId="77777777" w:rsidR="00425456" w:rsidRPr="00730430" w:rsidRDefault="00425456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5AAB1A35" w14:textId="77777777" w:rsidR="00A92273" w:rsidRPr="00730430" w:rsidRDefault="00A92273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711941A9" w14:textId="77777777" w:rsidR="00A92273" w:rsidRPr="00730430" w:rsidRDefault="00A92273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7DE09265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sz w:val="22"/>
          <w:szCs w:val="22"/>
        </w:rPr>
      </w:pPr>
    </w:p>
    <w:p w14:paraId="2B5D1C1D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2E0C3BE9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2663160A" w14:textId="07C3E5B4" w:rsidR="00E1675C" w:rsidRPr="00730430" w:rsidRDefault="00A92273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  <w:r w:rsidRPr="00730430">
        <w:rPr>
          <w:rFonts w:ascii="Arial" w:hAnsi="Arial" w:cs="Arial"/>
          <w:b/>
          <w:sz w:val="22"/>
          <w:szCs w:val="22"/>
        </w:rPr>
        <w:t xml:space="preserve">OFICINA ASESORA DE PLANEACIÓN </w:t>
      </w:r>
    </w:p>
    <w:p w14:paraId="627050FD" w14:textId="31C33617" w:rsidR="00425456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  <w:r w:rsidRPr="00730430">
        <w:rPr>
          <w:rFonts w:ascii="Arial" w:hAnsi="Arial" w:cs="Arial"/>
          <w:b/>
          <w:sz w:val="22"/>
          <w:szCs w:val="22"/>
        </w:rPr>
        <w:t>PROCESO DE FORTALECIMIENTO DEL SIG</w:t>
      </w:r>
    </w:p>
    <w:p w14:paraId="0B2DEE37" w14:textId="77777777" w:rsidR="00A92273" w:rsidRPr="00730430" w:rsidRDefault="00A92273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3F71F0A3" w14:textId="77777777" w:rsidR="00E1675C" w:rsidRPr="00730430" w:rsidRDefault="00E1675C" w:rsidP="006B7078">
      <w:pPr>
        <w:tabs>
          <w:tab w:val="left" w:pos="1095"/>
        </w:tabs>
        <w:rPr>
          <w:rFonts w:ascii="Arial" w:hAnsi="Arial" w:cs="Arial"/>
          <w:b/>
          <w:sz w:val="22"/>
          <w:szCs w:val="22"/>
        </w:rPr>
      </w:pPr>
    </w:p>
    <w:p w14:paraId="11297602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33C8731C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2BF4BF15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67534E29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A6A51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18FD5CBA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4ADB00FF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4EC214AC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069FE2C1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3ECAB88A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02166958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7EA0E791" w14:textId="77777777" w:rsidR="00E1675C" w:rsidRPr="00730430" w:rsidRDefault="00E1675C" w:rsidP="00425456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014FD135" w14:textId="77777777" w:rsidR="00A92273" w:rsidRPr="00730430" w:rsidRDefault="00A92273" w:rsidP="00E1675C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6E19952D" w14:textId="77777777" w:rsidR="00A92273" w:rsidRPr="00730430" w:rsidRDefault="00A92273" w:rsidP="00E1675C">
      <w:pPr>
        <w:tabs>
          <w:tab w:val="left" w:pos="1095"/>
        </w:tabs>
        <w:jc w:val="center"/>
        <w:rPr>
          <w:rFonts w:ascii="Arial" w:hAnsi="Arial" w:cs="Arial"/>
          <w:b/>
          <w:sz w:val="22"/>
          <w:szCs w:val="22"/>
        </w:rPr>
      </w:pPr>
    </w:p>
    <w:p w14:paraId="755E405D" w14:textId="77777777" w:rsidR="00730430" w:rsidRDefault="00E1675C" w:rsidP="00730430">
      <w:pPr>
        <w:pStyle w:val="m7007535857312232601gmail-msolistparagraph"/>
        <w:shd w:val="clear" w:color="auto" w:fill="FFFFFF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730430">
        <w:rPr>
          <w:rFonts w:ascii="Arial" w:hAnsi="Arial" w:cs="Arial"/>
          <w:b/>
          <w:sz w:val="22"/>
          <w:szCs w:val="22"/>
        </w:rPr>
        <w:t>BOGOTÁ D.C.</w:t>
      </w:r>
    </w:p>
    <w:p w14:paraId="6EB03A59" w14:textId="77777777" w:rsidR="00730430" w:rsidRDefault="00730430">
      <w:pPr>
        <w:widowControl/>
        <w:suppressAutoHyphens w:val="0"/>
        <w:spacing w:line="240" w:lineRule="auto"/>
        <w:rPr>
          <w:rFonts w:ascii="Arial" w:eastAsia="Times New Roman" w:hAnsi="Arial" w:cs="Arial"/>
          <w:b/>
          <w:color w:val="auto"/>
          <w:sz w:val="22"/>
          <w:szCs w:val="22"/>
          <w:lang w:eastAsia="es-ES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9BB5F77" w14:textId="77777777" w:rsidR="00730430" w:rsidRDefault="00730430" w:rsidP="00730430">
      <w:pPr>
        <w:pStyle w:val="m7007535857312232601gmail-msolistparagraph"/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sz w:val="28"/>
          <w:szCs w:val="44"/>
        </w:rPr>
      </w:pPr>
    </w:p>
    <w:p w14:paraId="4D47F2D2" w14:textId="3BD8292B" w:rsidR="000F5469" w:rsidRPr="00023B74" w:rsidRDefault="00023B74" w:rsidP="00730430">
      <w:pPr>
        <w:pStyle w:val="m7007535857312232601gmail-msolistparagraph"/>
        <w:shd w:val="clear" w:color="auto" w:fill="FFFFFF"/>
        <w:spacing w:line="300" w:lineRule="atLeast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8"/>
          <w:szCs w:val="44"/>
        </w:rPr>
        <w:t>Introducción</w:t>
      </w:r>
    </w:p>
    <w:p w14:paraId="56ED0C45" w14:textId="77777777" w:rsidR="00782980" w:rsidRDefault="00782980" w:rsidP="00653DA5">
      <w:pPr>
        <w:tabs>
          <w:tab w:val="left" w:pos="1095"/>
        </w:tabs>
        <w:jc w:val="both"/>
        <w:rPr>
          <w:rFonts w:ascii="Arial" w:hAnsi="Arial" w:cs="Arial"/>
          <w:sz w:val="22"/>
          <w:szCs w:val="20"/>
        </w:rPr>
      </w:pPr>
    </w:p>
    <w:p w14:paraId="0D5C1393" w14:textId="498237F4" w:rsidR="00D04FCD" w:rsidRDefault="00D04FCD" w:rsidP="00D04FCD">
      <w:pPr>
        <w:tabs>
          <w:tab w:val="left" w:pos="1095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</w:t>
      </w:r>
      <w:r w:rsidRPr="00730430">
        <w:rPr>
          <w:rFonts w:ascii="Arial" w:hAnsi="Arial" w:cs="Arial"/>
          <w:sz w:val="22"/>
          <w:szCs w:val="20"/>
        </w:rPr>
        <w:t>a Estrategia Anticorrupción y de Atención al Ciudadano define en el primer componente: Gestión del riesgo de corrupción - mapa de riesgos de corrupción, como un Instrumento que permite, analizar y controlar los posibles hechos generadores de corrupción, tanto internos com</w:t>
      </w:r>
      <w:r w:rsidR="005150C5">
        <w:rPr>
          <w:rFonts w:ascii="Arial" w:hAnsi="Arial" w:cs="Arial"/>
          <w:sz w:val="22"/>
          <w:szCs w:val="20"/>
        </w:rPr>
        <w:t>o externos; es por ello que el I</w:t>
      </w:r>
      <w:r w:rsidRPr="00730430">
        <w:rPr>
          <w:rFonts w:ascii="Arial" w:hAnsi="Arial" w:cs="Arial"/>
          <w:sz w:val="22"/>
          <w:szCs w:val="20"/>
        </w:rPr>
        <w:t>nstituto Distrital del Patrimonio Cultural al inicio del año 2019 identifica y documenta los riesgos de corrupción y realiza seguimiento y evaluación de los mismos.</w:t>
      </w:r>
    </w:p>
    <w:p w14:paraId="20679BA9" w14:textId="77777777" w:rsidR="00D04FCD" w:rsidRPr="00730430" w:rsidRDefault="00D04FCD" w:rsidP="00D04FCD">
      <w:pPr>
        <w:tabs>
          <w:tab w:val="left" w:pos="1095"/>
        </w:tabs>
        <w:jc w:val="both"/>
        <w:rPr>
          <w:rFonts w:ascii="Arial" w:hAnsi="Arial" w:cs="Arial"/>
          <w:sz w:val="22"/>
          <w:szCs w:val="20"/>
        </w:rPr>
      </w:pPr>
    </w:p>
    <w:p w14:paraId="613AAC7E" w14:textId="013293F9" w:rsidR="00653DA5" w:rsidRPr="00730430" w:rsidRDefault="00653DA5" w:rsidP="00653DA5">
      <w:pPr>
        <w:tabs>
          <w:tab w:val="left" w:pos="1095"/>
        </w:tabs>
        <w:jc w:val="both"/>
        <w:rPr>
          <w:rFonts w:ascii="Arial" w:hAnsi="Arial" w:cs="Arial"/>
          <w:sz w:val="22"/>
          <w:szCs w:val="20"/>
        </w:rPr>
      </w:pPr>
      <w:r w:rsidRPr="00730430">
        <w:rPr>
          <w:rFonts w:ascii="Arial" w:hAnsi="Arial" w:cs="Arial"/>
          <w:sz w:val="22"/>
          <w:szCs w:val="20"/>
        </w:rPr>
        <w:t xml:space="preserve">De conformidad </w:t>
      </w:r>
      <w:r w:rsidR="00730430">
        <w:rPr>
          <w:rFonts w:ascii="Arial" w:hAnsi="Arial" w:cs="Arial"/>
          <w:sz w:val="22"/>
          <w:szCs w:val="20"/>
        </w:rPr>
        <w:t>con</w:t>
      </w:r>
      <w:r w:rsidRPr="00730430">
        <w:rPr>
          <w:rFonts w:ascii="Arial" w:hAnsi="Arial" w:cs="Arial"/>
          <w:sz w:val="22"/>
          <w:szCs w:val="20"/>
        </w:rPr>
        <w:t xml:space="preserve"> los lineamientos establecidos en la Política de </w:t>
      </w:r>
      <w:r w:rsidR="00730430">
        <w:rPr>
          <w:rFonts w:ascii="Arial" w:hAnsi="Arial" w:cs="Arial"/>
          <w:sz w:val="22"/>
          <w:szCs w:val="20"/>
        </w:rPr>
        <w:t>A</w:t>
      </w:r>
      <w:r w:rsidRPr="00730430">
        <w:rPr>
          <w:rFonts w:ascii="Arial" w:hAnsi="Arial" w:cs="Arial"/>
          <w:sz w:val="22"/>
          <w:szCs w:val="20"/>
        </w:rPr>
        <w:t xml:space="preserve">dministración de </w:t>
      </w:r>
      <w:r w:rsidR="00730430">
        <w:rPr>
          <w:rFonts w:ascii="Arial" w:hAnsi="Arial" w:cs="Arial"/>
          <w:sz w:val="22"/>
          <w:szCs w:val="20"/>
        </w:rPr>
        <w:t>R</w:t>
      </w:r>
      <w:r w:rsidRPr="00730430">
        <w:rPr>
          <w:rFonts w:ascii="Arial" w:hAnsi="Arial" w:cs="Arial"/>
          <w:sz w:val="22"/>
          <w:szCs w:val="20"/>
        </w:rPr>
        <w:t xml:space="preserve">iesgos vigente, en la cual indica que </w:t>
      </w:r>
      <w:r w:rsidRPr="005150C5">
        <w:rPr>
          <w:rFonts w:ascii="Arial" w:hAnsi="Arial" w:cs="Arial"/>
          <w:i/>
          <w:sz w:val="22"/>
          <w:szCs w:val="20"/>
        </w:rPr>
        <w:t>la frecuencia del monitoreo y seguimiento a los planes de manejo es cuatrimestral</w:t>
      </w:r>
      <w:r w:rsidRPr="00730430">
        <w:rPr>
          <w:rFonts w:ascii="Arial" w:hAnsi="Arial" w:cs="Arial"/>
          <w:sz w:val="22"/>
          <w:szCs w:val="20"/>
        </w:rPr>
        <w:t>, el proceso de Fortalecimiento del SIG</w:t>
      </w:r>
      <w:r w:rsidR="00782980">
        <w:rPr>
          <w:rFonts w:ascii="Arial" w:hAnsi="Arial" w:cs="Arial"/>
          <w:sz w:val="22"/>
          <w:szCs w:val="20"/>
        </w:rPr>
        <w:t xml:space="preserve"> de la Oficina Asesora de Planeación</w:t>
      </w:r>
      <w:r w:rsidR="005150C5">
        <w:rPr>
          <w:rFonts w:ascii="Arial" w:hAnsi="Arial" w:cs="Arial"/>
          <w:sz w:val="22"/>
          <w:szCs w:val="20"/>
        </w:rPr>
        <w:t>,</w:t>
      </w:r>
      <w:r w:rsidRPr="00730430">
        <w:rPr>
          <w:rFonts w:ascii="Arial" w:hAnsi="Arial" w:cs="Arial"/>
          <w:sz w:val="22"/>
          <w:szCs w:val="20"/>
        </w:rPr>
        <w:t xml:space="preserve"> </w:t>
      </w:r>
      <w:r w:rsidR="00782980">
        <w:rPr>
          <w:rFonts w:ascii="Arial" w:hAnsi="Arial" w:cs="Arial"/>
          <w:sz w:val="22"/>
          <w:szCs w:val="20"/>
        </w:rPr>
        <w:t>como segunda línea de defensa</w:t>
      </w:r>
      <w:r w:rsidR="005150C5">
        <w:rPr>
          <w:rFonts w:ascii="Arial" w:hAnsi="Arial" w:cs="Arial"/>
          <w:sz w:val="22"/>
          <w:szCs w:val="20"/>
        </w:rPr>
        <w:t>,</w:t>
      </w:r>
      <w:r w:rsidR="00782980">
        <w:rPr>
          <w:rFonts w:ascii="Arial" w:hAnsi="Arial" w:cs="Arial"/>
          <w:sz w:val="22"/>
          <w:szCs w:val="20"/>
        </w:rPr>
        <w:t xml:space="preserve"> </w:t>
      </w:r>
      <w:r w:rsidRPr="00730430">
        <w:rPr>
          <w:rFonts w:ascii="Arial" w:hAnsi="Arial" w:cs="Arial"/>
          <w:sz w:val="22"/>
          <w:szCs w:val="20"/>
        </w:rPr>
        <w:t xml:space="preserve">presenta </w:t>
      </w:r>
      <w:r w:rsidR="00EB345A" w:rsidRPr="00730430">
        <w:rPr>
          <w:rFonts w:ascii="Arial" w:hAnsi="Arial" w:cs="Arial"/>
          <w:sz w:val="22"/>
          <w:szCs w:val="20"/>
        </w:rPr>
        <w:t xml:space="preserve">el </w:t>
      </w:r>
      <w:r w:rsidRPr="00730430">
        <w:rPr>
          <w:rFonts w:ascii="Arial" w:hAnsi="Arial" w:cs="Arial"/>
          <w:sz w:val="22"/>
          <w:szCs w:val="20"/>
        </w:rPr>
        <w:t xml:space="preserve">Balance de la Gestión de los Riesgos de </w:t>
      </w:r>
      <w:r w:rsidR="006F5FD3">
        <w:rPr>
          <w:rFonts w:ascii="Arial" w:hAnsi="Arial" w:cs="Arial"/>
          <w:sz w:val="22"/>
          <w:szCs w:val="20"/>
        </w:rPr>
        <w:t>C</w:t>
      </w:r>
      <w:r w:rsidRPr="00730430">
        <w:rPr>
          <w:rFonts w:ascii="Arial" w:hAnsi="Arial" w:cs="Arial"/>
          <w:sz w:val="22"/>
          <w:szCs w:val="20"/>
        </w:rPr>
        <w:t xml:space="preserve">orrupción y de </w:t>
      </w:r>
      <w:r w:rsidR="006F5FD3">
        <w:rPr>
          <w:rFonts w:ascii="Arial" w:hAnsi="Arial" w:cs="Arial"/>
          <w:sz w:val="22"/>
          <w:szCs w:val="20"/>
        </w:rPr>
        <w:t>G</w:t>
      </w:r>
      <w:r w:rsidRPr="00730430">
        <w:rPr>
          <w:rFonts w:ascii="Arial" w:hAnsi="Arial" w:cs="Arial"/>
          <w:sz w:val="22"/>
          <w:szCs w:val="20"/>
        </w:rPr>
        <w:t xml:space="preserve">estión con corte a </w:t>
      </w:r>
      <w:r w:rsidR="00683674">
        <w:rPr>
          <w:rFonts w:ascii="Arial" w:hAnsi="Arial" w:cs="Arial"/>
          <w:sz w:val="22"/>
          <w:szCs w:val="20"/>
        </w:rPr>
        <w:t>a</w:t>
      </w:r>
      <w:r w:rsidRPr="00730430">
        <w:rPr>
          <w:rFonts w:ascii="Arial" w:hAnsi="Arial" w:cs="Arial"/>
          <w:sz w:val="22"/>
          <w:szCs w:val="20"/>
        </w:rPr>
        <w:t>bril del 2019.</w:t>
      </w:r>
      <w:r w:rsidR="005150C5">
        <w:rPr>
          <w:rFonts w:ascii="Arial" w:hAnsi="Arial" w:cs="Arial"/>
          <w:sz w:val="22"/>
          <w:szCs w:val="20"/>
        </w:rPr>
        <w:t xml:space="preserve"> Este balance</w:t>
      </w:r>
      <w:r w:rsidR="00160C46">
        <w:rPr>
          <w:rFonts w:ascii="Arial" w:hAnsi="Arial" w:cs="Arial"/>
          <w:sz w:val="22"/>
          <w:szCs w:val="20"/>
        </w:rPr>
        <w:t xml:space="preserve"> se presenta </w:t>
      </w:r>
      <w:r w:rsidR="00D04FCD">
        <w:rPr>
          <w:rFonts w:ascii="Arial" w:hAnsi="Arial" w:cs="Arial"/>
          <w:sz w:val="22"/>
          <w:szCs w:val="20"/>
        </w:rPr>
        <w:t xml:space="preserve">mediante tres capítulos; el primero orientado a conocer </w:t>
      </w:r>
      <w:r w:rsidR="00160C46">
        <w:rPr>
          <w:rFonts w:ascii="Arial" w:hAnsi="Arial" w:cs="Arial"/>
          <w:sz w:val="22"/>
          <w:szCs w:val="20"/>
        </w:rPr>
        <w:t>el estado de los riesgos tanto d</w:t>
      </w:r>
      <w:r w:rsidR="00683674">
        <w:rPr>
          <w:rFonts w:ascii="Arial" w:hAnsi="Arial" w:cs="Arial"/>
          <w:sz w:val="22"/>
          <w:szCs w:val="20"/>
        </w:rPr>
        <w:t>e gestión como de corrupción;</w:t>
      </w:r>
      <w:r w:rsidR="00160C46">
        <w:rPr>
          <w:rFonts w:ascii="Arial" w:hAnsi="Arial" w:cs="Arial"/>
          <w:sz w:val="22"/>
          <w:szCs w:val="20"/>
        </w:rPr>
        <w:t xml:space="preserve"> </w:t>
      </w:r>
      <w:r w:rsidR="00D04FCD">
        <w:rPr>
          <w:rFonts w:ascii="Arial" w:hAnsi="Arial" w:cs="Arial"/>
          <w:sz w:val="22"/>
          <w:szCs w:val="20"/>
        </w:rPr>
        <w:t xml:space="preserve">el segundo a conocer </w:t>
      </w:r>
      <w:r w:rsidR="00160C46">
        <w:rPr>
          <w:rFonts w:ascii="Arial" w:hAnsi="Arial" w:cs="Arial"/>
          <w:sz w:val="22"/>
          <w:szCs w:val="20"/>
        </w:rPr>
        <w:t xml:space="preserve">el resultado de </w:t>
      </w:r>
      <w:r w:rsidR="00D04FCD">
        <w:rPr>
          <w:rFonts w:ascii="Arial" w:hAnsi="Arial" w:cs="Arial"/>
          <w:sz w:val="22"/>
          <w:szCs w:val="20"/>
        </w:rPr>
        <w:t>su</w:t>
      </w:r>
      <w:r w:rsidR="00160C46">
        <w:rPr>
          <w:rFonts w:ascii="Arial" w:hAnsi="Arial" w:cs="Arial"/>
          <w:sz w:val="22"/>
          <w:szCs w:val="20"/>
        </w:rPr>
        <w:t xml:space="preserve"> gestión </w:t>
      </w:r>
      <w:r w:rsidR="005150C5">
        <w:rPr>
          <w:rFonts w:ascii="Arial" w:hAnsi="Arial" w:cs="Arial"/>
          <w:sz w:val="22"/>
          <w:szCs w:val="20"/>
        </w:rPr>
        <w:t xml:space="preserve">y </w:t>
      </w:r>
      <w:r w:rsidR="00D04FCD">
        <w:rPr>
          <w:rFonts w:ascii="Arial" w:hAnsi="Arial" w:cs="Arial"/>
          <w:sz w:val="22"/>
          <w:szCs w:val="20"/>
        </w:rPr>
        <w:t>recomendaciones</w:t>
      </w:r>
      <w:r w:rsidR="00683674">
        <w:rPr>
          <w:rFonts w:ascii="Arial" w:hAnsi="Arial" w:cs="Arial"/>
          <w:sz w:val="22"/>
          <w:szCs w:val="20"/>
        </w:rPr>
        <w:t>;</w:t>
      </w:r>
      <w:r w:rsidR="00D04FCD">
        <w:rPr>
          <w:rFonts w:ascii="Arial" w:hAnsi="Arial" w:cs="Arial"/>
          <w:sz w:val="22"/>
          <w:szCs w:val="20"/>
        </w:rPr>
        <w:t xml:space="preserve"> y el tercero </w:t>
      </w:r>
      <w:r w:rsidR="00683674">
        <w:rPr>
          <w:rFonts w:ascii="Arial" w:hAnsi="Arial" w:cs="Arial"/>
          <w:sz w:val="22"/>
          <w:szCs w:val="20"/>
        </w:rPr>
        <w:t>presenta</w:t>
      </w:r>
      <w:r w:rsidR="00D04FCD">
        <w:rPr>
          <w:rFonts w:ascii="Arial" w:hAnsi="Arial" w:cs="Arial"/>
          <w:sz w:val="22"/>
          <w:szCs w:val="20"/>
        </w:rPr>
        <w:t xml:space="preserve"> las conclusiones del balance.</w:t>
      </w:r>
    </w:p>
    <w:p w14:paraId="0C58893B" w14:textId="77777777" w:rsidR="006E4313" w:rsidRPr="00730430" w:rsidRDefault="006E4313" w:rsidP="00653DA5">
      <w:pPr>
        <w:tabs>
          <w:tab w:val="left" w:pos="1095"/>
        </w:tabs>
        <w:jc w:val="both"/>
        <w:rPr>
          <w:rFonts w:ascii="Arial" w:hAnsi="Arial" w:cs="Arial"/>
          <w:sz w:val="22"/>
          <w:szCs w:val="20"/>
        </w:rPr>
      </w:pPr>
    </w:p>
    <w:p w14:paraId="002E50B5" w14:textId="77777777" w:rsidR="00D04FCD" w:rsidRDefault="00D04FCD">
      <w:pPr>
        <w:widowControl/>
        <w:suppressAutoHyphens w:val="0"/>
        <w:spacing w:line="240" w:lineRule="auto"/>
        <w:rPr>
          <w:rFonts w:ascii="Arial" w:hAnsi="Arial" w:cs="Arial"/>
          <w:sz w:val="20"/>
          <w:szCs w:val="20"/>
        </w:rPr>
      </w:pPr>
    </w:p>
    <w:p w14:paraId="45841544" w14:textId="42D77DBC" w:rsidR="00782980" w:rsidRDefault="00782980">
      <w:pPr>
        <w:widowControl/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78CF66" w14:textId="77777777" w:rsidR="00782980" w:rsidRDefault="00782980" w:rsidP="006E4313">
      <w:p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</w:p>
    <w:p w14:paraId="0A62A803" w14:textId="454E5A1D" w:rsidR="006E4313" w:rsidRDefault="000F5469" w:rsidP="00730430">
      <w:pPr>
        <w:pStyle w:val="m7007535857312232601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b/>
          <w:bCs/>
          <w:sz w:val="28"/>
          <w:szCs w:val="44"/>
        </w:rPr>
      </w:pPr>
      <w:r w:rsidRPr="00023B74">
        <w:rPr>
          <w:rFonts w:ascii="Arial" w:hAnsi="Arial" w:cs="Arial"/>
          <w:b/>
          <w:bCs/>
          <w:sz w:val="28"/>
          <w:szCs w:val="44"/>
        </w:rPr>
        <w:t>Estado de los Riesgos  </w:t>
      </w:r>
    </w:p>
    <w:p w14:paraId="51457032" w14:textId="77777777" w:rsidR="00782980" w:rsidRDefault="00782980" w:rsidP="00730430">
      <w:pPr>
        <w:pStyle w:val="m7007535857312232601gmail-mso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sz w:val="28"/>
          <w:szCs w:val="44"/>
        </w:rPr>
      </w:pPr>
    </w:p>
    <w:p w14:paraId="79DC5462" w14:textId="1CEB6AB1" w:rsidR="00782980" w:rsidRDefault="00782980" w:rsidP="00730430">
      <w:pPr>
        <w:pStyle w:val="m7007535857312232601gmail-msolistparagraph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tLeast"/>
        <w:ind w:left="851"/>
        <w:jc w:val="both"/>
        <w:rPr>
          <w:rFonts w:ascii="Arial" w:hAnsi="Arial" w:cs="Arial"/>
          <w:b/>
          <w:bCs/>
          <w:sz w:val="28"/>
          <w:szCs w:val="44"/>
        </w:rPr>
      </w:pPr>
      <w:r>
        <w:rPr>
          <w:rFonts w:ascii="Arial" w:hAnsi="Arial" w:cs="Arial"/>
          <w:b/>
          <w:bCs/>
          <w:sz w:val="28"/>
          <w:szCs w:val="44"/>
        </w:rPr>
        <w:t>Riesgos de corrupción</w:t>
      </w:r>
    </w:p>
    <w:p w14:paraId="72564341" w14:textId="77777777" w:rsidR="00F976E2" w:rsidRDefault="00F976E2" w:rsidP="003A537E">
      <w:pPr>
        <w:tabs>
          <w:tab w:val="left" w:pos="1095"/>
        </w:tabs>
        <w:jc w:val="both"/>
        <w:rPr>
          <w:rFonts w:ascii="Arial" w:hAnsi="Arial" w:cs="Arial"/>
          <w:sz w:val="22"/>
          <w:szCs w:val="20"/>
        </w:rPr>
      </w:pPr>
    </w:p>
    <w:p w14:paraId="65491B65" w14:textId="7731EC1D" w:rsidR="00B16CA6" w:rsidRPr="00730430" w:rsidRDefault="00B16CA6" w:rsidP="003A537E">
      <w:pPr>
        <w:tabs>
          <w:tab w:val="left" w:pos="1095"/>
        </w:tabs>
        <w:jc w:val="both"/>
        <w:rPr>
          <w:rFonts w:ascii="Arial" w:hAnsi="Arial" w:cs="Arial"/>
          <w:sz w:val="22"/>
          <w:szCs w:val="20"/>
        </w:rPr>
      </w:pPr>
      <w:r w:rsidRPr="00730430">
        <w:rPr>
          <w:rFonts w:ascii="Arial" w:hAnsi="Arial" w:cs="Arial"/>
          <w:sz w:val="22"/>
          <w:szCs w:val="20"/>
        </w:rPr>
        <w:t>Durante enero de 2019</w:t>
      </w:r>
      <w:r w:rsidR="00730430">
        <w:rPr>
          <w:rFonts w:ascii="Arial" w:hAnsi="Arial" w:cs="Arial"/>
          <w:sz w:val="22"/>
          <w:szCs w:val="20"/>
        </w:rPr>
        <w:t>,</w:t>
      </w:r>
      <w:r w:rsidRPr="00730430">
        <w:rPr>
          <w:rFonts w:ascii="Arial" w:hAnsi="Arial" w:cs="Arial"/>
          <w:sz w:val="22"/>
          <w:szCs w:val="20"/>
        </w:rPr>
        <w:t xml:space="preserve"> se llevó a cabo</w:t>
      </w:r>
      <w:r w:rsidR="00730430">
        <w:rPr>
          <w:rFonts w:ascii="Arial" w:hAnsi="Arial" w:cs="Arial"/>
          <w:sz w:val="22"/>
          <w:szCs w:val="20"/>
        </w:rPr>
        <w:t xml:space="preserve"> </w:t>
      </w:r>
      <w:r w:rsidR="00341111">
        <w:rPr>
          <w:rFonts w:ascii="Arial" w:hAnsi="Arial" w:cs="Arial"/>
          <w:sz w:val="22"/>
          <w:szCs w:val="20"/>
        </w:rPr>
        <w:t xml:space="preserve">el </w:t>
      </w:r>
      <w:r w:rsidR="00341111" w:rsidRPr="00730430">
        <w:rPr>
          <w:rFonts w:ascii="Arial" w:hAnsi="Arial" w:cs="Arial"/>
          <w:sz w:val="22"/>
          <w:szCs w:val="20"/>
        </w:rPr>
        <w:t>análisis del resultado de la gestión de los riesgos trabajados en la vigencia 2018</w:t>
      </w:r>
      <w:r w:rsidR="00341111">
        <w:rPr>
          <w:rFonts w:ascii="Arial" w:hAnsi="Arial" w:cs="Arial"/>
          <w:sz w:val="22"/>
          <w:szCs w:val="20"/>
        </w:rPr>
        <w:t xml:space="preserve"> y </w:t>
      </w:r>
      <w:r w:rsidR="00730430">
        <w:rPr>
          <w:rFonts w:ascii="Arial" w:hAnsi="Arial" w:cs="Arial"/>
          <w:sz w:val="22"/>
          <w:szCs w:val="20"/>
        </w:rPr>
        <w:t>la</w:t>
      </w:r>
      <w:r w:rsidRPr="00730430">
        <w:rPr>
          <w:rFonts w:ascii="Arial" w:hAnsi="Arial" w:cs="Arial"/>
          <w:sz w:val="22"/>
          <w:szCs w:val="20"/>
        </w:rPr>
        <w:t xml:space="preserve"> identificación de </w:t>
      </w:r>
      <w:r w:rsidR="00034D7D">
        <w:rPr>
          <w:rFonts w:ascii="Arial" w:hAnsi="Arial" w:cs="Arial"/>
          <w:sz w:val="22"/>
          <w:szCs w:val="20"/>
        </w:rPr>
        <w:t>9</w:t>
      </w:r>
      <w:r w:rsidR="00034D7D" w:rsidRPr="00730430">
        <w:rPr>
          <w:rFonts w:ascii="Arial" w:hAnsi="Arial" w:cs="Arial"/>
          <w:sz w:val="22"/>
          <w:szCs w:val="20"/>
        </w:rPr>
        <w:t xml:space="preserve"> </w:t>
      </w:r>
      <w:r w:rsidRPr="00730430">
        <w:rPr>
          <w:rFonts w:ascii="Arial" w:hAnsi="Arial" w:cs="Arial"/>
          <w:sz w:val="22"/>
          <w:szCs w:val="20"/>
        </w:rPr>
        <w:t>riesgos de corrupción</w:t>
      </w:r>
      <w:r w:rsidR="0018595B">
        <w:rPr>
          <w:rFonts w:ascii="Arial" w:hAnsi="Arial" w:cs="Arial"/>
          <w:sz w:val="22"/>
          <w:szCs w:val="20"/>
        </w:rPr>
        <w:t>,</w:t>
      </w:r>
      <w:r w:rsidRPr="00730430">
        <w:rPr>
          <w:rFonts w:ascii="Arial" w:hAnsi="Arial" w:cs="Arial"/>
          <w:sz w:val="22"/>
          <w:szCs w:val="20"/>
        </w:rPr>
        <w:t xml:space="preserve"> a través de reuniones con los equipos de trabajo en la</w:t>
      </w:r>
      <w:r w:rsidR="00683674">
        <w:rPr>
          <w:rFonts w:ascii="Arial" w:hAnsi="Arial" w:cs="Arial"/>
          <w:sz w:val="22"/>
          <w:szCs w:val="20"/>
        </w:rPr>
        <w:t>s</w:t>
      </w:r>
      <w:r w:rsidRPr="00730430">
        <w:rPr>
          <w:rFonts w:ascii="Arial" w:hAnsi="Arial" w:cs="Arial"/>
          <w:sz w:val="22"/>
          <w:szCs w:val="20"/>
        </w:rPr>
        <w:t xml:space="preserve"> que se </w:t>
      </w:r>
      <w:r w:rsidR="00683674">
        <w:rPr>
          <w:rFonts w:ascii="Arial" w:hAnsi="Arial" w:cs="Arial"/>
          <w:sz w:val="22"/>
          <w:szCs w:val="20"/>
        </w:rPr>
        <w:t>revisaron</w:t>
      </w:r>
      <w:r w:rsidR="003A537E">
        <w:rPr>
          <w:rFonts w:ascii="Arial" w:hAnsi="Arial" w:cs="Arial"/>
          <w:sz w:val="22"/>
          <w:szCs w:val="20"/>
        </w:rPr>
        <w:t xml:space="preserve"> </w:t>
      </w:r>
      <w:r w:rsidRPr="00730430">
        <w:rPr>
          <w:rFonts w:ascii="Arial" w:hAnsi="Arial" w:cs="Arial"/>
          <w:sz w:val="22"/>
          <w:szCs w:val="20"/>
        </w:rPr>
        <w:t>l</w:t>
      </w:r>
      <w:r w:rsidR="003A537E">
        <w:rPr>
          <w:rFonts w:ascii="Arial" w:hAnsi="Arial" w:cs="Arial"/>
          <w:sz w:val="22"/>
          <w:szCs w:val="20"/>
        </w:rPr>
        <w:t xml:space="preserve">os </w:t>
      </w:r>
      <w:r w:rsidRPr="00730430">
        <w:rPr>
          <w:rFonts w:ascii="Arial" w:hAnsi="Arial" w:cs="Arial"/>
          <w:sz w:val="22"/>
          <w:szCs w:val="20"/>
        </w:rPr>
        <w:t>proceso</w:t>
      </w:r>
      <w:r w:rsidR="003A537E">
        <w:rPr>
          <w:rFonts w:ascii="Arial" w:hAnsi="Arial" w:cs="Arial"/>
          <w:sz w:val="22"/>
          <w:szCs w:val="20"/>
        </w:rPr>
        <w:t>s</w:t>
      </w:r>
      <w:r w:rsidR="00034D7D">
        <w:rPr>
          <w:rFonts w:ascii="Arial" w:hAnsi="Arial" w:cs="Arial"/>
          <w:sz w:val="22"/>
          <w:szCs w:val="20"/>
        </w:rPr>
        <w:t xml:space="preserve"> y </w:t>
      </w:r>
      <w:r w:rsidR="0018595B">
        <w:rPr>
          <w:rFonts w:ascii="Arial" w:hAnsi="Arial" w:cs="Arial"/>
          <w:sz w:val="22"/>
          <w:szCs w:val="20"/>
        </w:rPr>
        <w:t>respectiva documentación</w:t>
      </w:r>
      <w:r w:rsidR="00034D7D" w:rsidRPr="00730430">
        <w:rPr>
          <w:rFonts w:ascii="Arial" w:hAnsi="Arial" w:cs="Arial"/>
          <w:sz w:val="22"/>
          <w:szCs w:val="20"/>
        </w:rPr>
        <w:t xml:space="preserve"> en el Mapa de Riesgos de Corrupción del Instituto Distrital de Patrimonio Cultural vigencia 2019</w:t>
      </w:r>
      <w:r w:rsidR="00034D7D">
        <w:rPr>
          <w:rFonts w:ascii="Arial" w:hAnsi="Arial" w:cs="Arial"/>
          <w:sz w:val="22"/>
          <w:szCs w:val="20"/>
        </w:rPr>
        <w:t>.</w:t>
      </w:r>
    </w:p>
    <w:p w14:paraId="78C46C11" w14:textId="36C01079" w:rsidR="00EB345A" w:rsidRPr="00730430" w:rsidRDefault="00EB345A" w:rsidP="00653DA5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6C917F00" w14:textId="0144BE17" w:rsidR="00653DA5" w:rsidRPr="00730430" w:rsidRDefault="00EB345A" w:rsidP="00653DA5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 w:rsidRPr="00730430">
        <w:rPr>
          <w:rFonts w:ascii="Arial" w:hAnsi="Arial" w:cs="Arial"/>
          <w:sz w:val="22"/>
          <w:szCs w:val="20"/>
        </w:rPr>
        <w:t>A continuación</w:t>
      </w:r>
      <w:r w:rsidR="008F6C1B">
        <w:rPr>
          <w:rFonts w:ascii="Arial" w:hAnsi="Arial" w:cs="Arial"/>
          <w:sz w:val="22"/>
          <w:szCs w:val="20"/>
        </w:rPr>
        <w:t>,</w:t>
      </w:r>
      <w:r w:rsidRPr="00730430">
        <w:rPr>
          <w:rFonts w:ascii="Arial" w:hAnsi="Arial" w:cs="Arial"/>
          <w:sz w:val="22"/>
          <w:szCs w:val="20"/>
        </w:rPr>
        <w:t xml:space="preserve"> se describen los riesgos y la zona del riesgo en que se encuentran, a saber:</w:t>
      </w:r>
    </w:p>
    <w:p w14:paraId="24C20C34" w14:textId="77777777" w:rsidR="00653DA5" w:rsidRPr="00401D7F" w:rsidRDefault="00653DA5" w:rsidP="00653DA5">
      <w:pPr>
        <w:tabs>
          <w:tab w:val="left" w:pos="1095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80"/>
        <w:gridCol w:w="1900"/>
      </w:tblGrid>
      <w:tr w:rsidR="00C85428" w:rsidRPr="00C85428" w14:paraId="7F866A8D" w14:textId="77777777" w:rsidTr="00C85428">
        <w:trPr>
          <w:trHeight w:val="354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5AA04C" w14:textId="552EFA2D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es-ES"/>
              </w:rPr>
              <w:t xml:space="preserve">Riesgo de Corrupción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C43A3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es-ES"/>
              </w:rPr>
              <w:t>Proceso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FAD33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es-ES"/>
              </w:rPr>
              <w:t>Zona de Riesgo Residual</w:t>
            </w:r>
          </w:p>
        </w:tc>
      </w:tr>
      <w:tr w:rsidR="00C85428" w:rsidRPr="00C85428" w14:paraId="5793CFE1" w14:textId="77777777" w:rsidTr="00C85428">
        <w:trPr>
          <w:trHeight w:val="51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A78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Interés indebido en la celebración de</w:t>
            </w: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br/>
              <w:t>contratos.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772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Gestión Contractual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32167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EXTREMO</w:t>
            </w:r>
          </w:p>
        </w:tc>
      </w:tr>
      <w:tr w:rsidR="00C85428" w:rsidRPr="00C85428" w14:paraId="6230AF52" w14:textId="77777777" w:rsidTr="00C85428">
        <w:trPr>
          <w:trHeight w:val="102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DB0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Ocultar o modificar información del desempeño de los procesos o de la Entidad en favorecimiento propio o de un servidor en particular.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CA4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 xml:space="preserve">Seguimiento y evaluación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6A404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EXTREMO</w:t>
            </w:r>
          </w:p>
        </w:tc>
      </w:tr>
      <w:tr w:rsidR="00C85428" w:rsidRPr="00C85428" w14:paraId="29AAA9F1" w14:textId="77777777" w:rsidTr="00C85428">
        <w:trPr>
          <w:trHeight w:val="51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BA3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Utilización indebida de información oficial</w:t>
            </w: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br/>
              <w:t>privilegiada.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9F4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Gestión Documental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DDA90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ALTO</w:t>
            </w:r>
          </w:p>
        </w:tc>
      </w:tr>
      <w:tr w:rsidR="00C85428" w:rsidRPr="00C85428" w14:paraId="22D5FB61" w14:textId="77777777" w:rsidTr="00C85428">
        <w:trPr>
          <w:trHeight w:val="51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D11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Debilidad en la supervisión e interventoría de contratos con  el fin de favorecer a un tercero.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8D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Gestión Contractual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5EA468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MODERADO</w:t>
            </w:r>
          </w:p>
        </w:tc>
      </w:tr>
      <w:tr w:rsidR="00C85428" w:rsidRPr="00C85428" w14:paraId="7EC5B1EA" w14:textId="77777777" w:rsidTr="00C85428">
        <w:trPr>
          <w:trHeight w:val="76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AA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 xml:space="preserve">Irregularidades en las visitas de control urbano y/o manipulación de los conceptos técnicos a cambio de dádivas.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47B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Protección e Intervención del Patrimonio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20F6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MODERADO</w:t>
            </w:r>
          </w:p>
        </w:tc>
      </w:tr>
      <w:tr w:rsidR="00C85428" w:rsidRPr="00C85428" w14:paraId="750D8128" w14:textId="77777777" w:rsidTr="00C85428">
        <w:trPr>
          <w:trHeight w:val="76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538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Incorrecta verificación, asignación o administración de los  activos fijos y elementos de consumo.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1C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Administración de bienes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03CE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MODERADO</w:t>
            </w:r>
          </w:p>
        </w:tc>
      </w:tr>
      <w:tr w:rsidR="00C85428" w:rsidRPr="00C85428" w14:paraId="09334514" w14:textId="77777777" w:rsidTr="00C85428">
        <w:trPr>
          <w:trHeight w:val="76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135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Uso  indebido de la información que administra el  proceso de Gestión del talento humano para favorecer un interés particular.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638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Gestión del Talento Humano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33118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MODERADO</w:t>
            </w:r>
          </w:p>
        </w:tc>
      </w:tr>
      <w:tr w:rsidR="00C85428" w:rsidRPr="00C85428" w14:paraId="2F35D76B" w14:textId="77777777" w:rsidTr="00C85428">
        <w:trPr>
          <w:trHeight w:val="102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C13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Clientelismo y conflicto de interés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6617" w14:textId="58B043E2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Divulgación y Apropiación  Social del Patrimonio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6E72C6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MODERADO</w:t>
            </w:r>
          </w:p>
        </w:tc>
      </w:tr>
      <w:tr w:rsidR="00C85428" w:rsidRPr="00C85428" w14:paraId="47C3E6AE" w14:textId="77777777" w:rsidTr="00C85428">
        <w:trPr>
          <w:trHeight w:val="51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F445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Ausencia o debilidad en los  canales de</w:t>
            </w: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br/>
              <w:t>comunicación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D115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 xml:space="preserve">Comunicación Estratégica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0A008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20"/>
                <w:lang w:eastAsia="es-ES"/>
              </w:rPr>
              <w:t>MODERADO</w:t>
            </w:r>
          </w:p>
        </w:tc>
      </w:tr>
    </w:tbl>
    <w:p w14:paraId="1B8A13D9" w14:textId="77777777" w:rsidR="00B16CA6" w:rsidRDefault="00B16CA6" w:rsidP="00653D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1B19F29" w14:textId="5633BAFD" w:rsidR="00034D7D" w:rsidRDefault="00034D7D" w:rsidP="00653D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30430">
        <w:rPr>
          <w:rFonts w:ascii="Arial" w:hAnsi="Arial" w:cs="Arial"/>
          <w:sz w:val="22"/>
          <w:szCs w:val="20"/>
        </w:rPr>
        <w:t xml:space="preserve">Al corte de 30 de junio de 2019 no </w:t>
      </w:r>
      <w:r>
        <w:rPr>
          <w:rFonts w:ascii="Arial" w:hAnsi="Arial" w:cs="Arial"/>
          <w:sz w:val="22"/>
          <w:szCs w:val="20"/>
        </w:rPr>
        <w:t xml:space="preserve">se </w:t>
      </w:r>
      <w:r w:rsidRPr="00730430">
        <w:rPr>
          <w:rFonts w:ascii="Arial" w:hAnsi="Arial" w:cs="Arial"/>
          <w:sz w:val="22"/>
          <w:szCs w:val="20"/>
        </w:rPr>
        <w:t>ha presentado materialización de ninguno de los riesgos identificados.</w:t>
      </w:r>
    </w:p>
    <w:p w14:paraId="2AED19D0" w14:textId="77777777" w:rsidR="00FC2E3F" w:rsidRDefault="00FC2E3F" w:rsidP="00653D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4E69F64" w14:textId="77777777" w:rsidR="009F0E0A" w:rsidRDefault="009F0E0A" w:rsidP="00653D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8B2F382" w14:textId="77777777" w:rsidR="0018595B" w:rsidRDefault="0018595B" w:rsidP="00653D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730AF6F" w14:textId="099B2859" w:rsidR="00782980" w:rsidRPr="00730430" w:rsidRDefault="00782980" w:rsidP="00730430">
      <w:pPr>
        <w:pStyle w:val="m7007535857312232601gmail-msolistparagraph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tLeast"/>
        <w:ind w:left="851"/>
        <w:jc w:val="both"/>
        <w:rPr>
          <w:rFonts w:ascii="Arial" w:hAnsi="Arial" w:cs="Arial"/>
          <w:b/>
          <w:bCs/>
          <w:sz w:val="28"/>
          <w:szCs w:val="44"/>
        </w:rPr>
      </w:pPr>
      <w:r w:rsidRPr="00730430">
        <w:rPr>
          <w:rFonts w:ascii="Arial" w:hAnsi="Arial" w:cs="Arial"/>
          <w:b/>
          <w:bCs/>
          <w:sz w:val="28"/>
          <w:szCs w:val="44"/>
        </w:rPr>
        <w:lastRenderedPageBreak/>
        <w:t>Riesgos de gestión</w:t>
      </w:r>
    </w:p>
    <w:p w14:paraId="21C73E72" w14:textId="77777777" w:rsidR="00782980" w:rsidRDefault="00782980" w:rsidP="00F000F3">
      <w:p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</w:p>
    <w:p w14:paraId="65F17F16" w14:textId="7D72E1BF" w:rsidR="00B16CA6" w:rsidRPr="00730430" w:rsidRDefault="00B16CA6" w:rsidP="00F000F3">
      <w:pPr>
        <w:tabs>
          <w:tab w:val="left" w:pos="1095"/>
        </w:tabs>
        <w:jc w:val="both"/>
        <w:rPr>
          <w:rFonts w:ascii="Arial" w:hAnsi="Arial" w:cs="Arial"/>
          <w:sz w:val="22"/>
          <w:szCs w:val="20"/>
        </w:rPr>
      </w:pPr>
      <w:r w:rsidRPr="00730430">
        <w:rPr>
          <w:rFonts w:ascii="Arial" w:hAnsi="Arial" w:cs="Arial"/>
          <w:sz w:val="22"/>
          <w:szCs w:val="20"/>
        </w:rPr>
        <w:t>Entre febrero y marzo de 2019</w:t>
      </w:r>
      <w:r w:rsidR="00341111">
        <w:rPr>
          <w:rFonts w:ascii="Arial" w:hAnsi="Arial" w:cs="Arial"/>
          <w:sz w:val="22"/>
          <w:szCs w:val="20"/>
        </w:rPr>
        <w:t>,</w:t>
      </w:r>
      <w:r w:rsidRPr="00730430">
        <w:rPr>
          <w:rFonts w:ascii="Arial" w:hAnsi="Arial" w:cs="Arial"/>
          <w:sz w:val="22"/>
          <w:szCs w:val="20"/>
        </w:rPr>
        <w:t xml:space="preserve"> los</w:t>
      </w:r>
      <w:r w:rsidR="0018595B">
        <w:rPr>
          <w:rFonts w:ascii="Arial" w:hAnsi="Arial" w:cs="Arial"/>
          <w:sz w:val="22"/>
          <w:szCs w:val="20"/>
        </w:rPr>
        <w:t xml:space="preserve"> responsables de los</w:t>
      </w:r>
      <w:r w:rsidRPr="00730430">
        <w:rPr>
          <w:rFonts w:ascii="Arial" w:hAnsi="Arial" w:cs="Arial"/>
          <w:sz w:val="22"/>
          <w:szCs w:val="20"/>
        </w:rPr>
        <w:t xml:space="preserve"> procesos del IDPC realizaron </w:t>
      </w:r>
      <w:r w:rsidR="00BF25E3">
        <w:rPr>
          <w:rFonts w:ascii="Arial" w:hAnsi="Arial" w:cs="Arial"/>
          <w:sz w:val="22"/>
          <w:szCs w:val="20"/>
        </w:rPr>
        <w:t xml:space="preserve">el </w:t>
      </w:r>
      <w:r w:rsidRPr="00730430">
        <w:rPr>
          <w:rFonts w:ascii="Arial" w:hAnsi="Arial" w:cs="Arial"/>
          <w:sz w:val="22"/>
          <w:szCs w:val="20"/>
        </w:rPr>
        <w:t>cierre del mapa de riesgos trabajado en la vigencia 2018</w:t>
      </w:r>
      <w:r w:rsidR="00BF25E3">
        <w:rPr>
          <w:rFonts w:ascii="Arial" w:hAnsi="Arial" w:cs="Arial"/>
          <w:sz w:val="22"/>
          <w:szCs w:val="20"/>
        </w:rPr>
        <w:t>;</w:t>
      </w:r>
      <w:r w:rsidRPr="00730430">
        <w:rPr>
          <w:rFonts w:ascii="Arial" w:hAnsi="Arial" w:cs="Arial"/>
          <w:sz w:val="22"/>
          <w:szCs w:val="20"/>
        </w:rPr>
        <w:t xml:space="preserve"> </w:t>
      </w:r>
      <w:r w:rsidR="003A537E" w:rsidRPr="0018595B">
        <w:rPr>
          <w:rFonts w:ascii="Arial" w:hAnsi="Arial" w:cs="Arial"/>
          <w:i/>
          <w:sz w:val="22"/>
          <w:szCs w:val="20"/>
        </w:rPr>
        <w:t>adicionalmente, realizaron la revisión y actualización del Mapa de Riesgos de Gestión para la presente vigencia, a partir del análisis de los controles existentes y los resultados de la ejecución de las actividades de mitigación, así como la probabilidad e impacto de los riesgos identificados</w:t>
      </w:r>
    </w:p>
    <w:p w14:paraId="03B6257C" w14:textId="77777777" w:rsidR="00F000F3" w:rsidRPr="00730430" w:rsidRDefault="00F000F3" w:rsidP="00653DA5">
      <w:pPr>
        <w:jc w:val="both"/>
        <w:rPr>
          <w:rFonts w:ascii="Arial" w:hAnsi="Arial" w:cs="Arial"/>
          <w:sz w:val="22"/>
          <w:szCs w:val="20"/>
        </w:rPr>
      </w:pPr>
    </w:p>
    <w:p w14:paraId="4B7D0585" w14:textId="1649A54C" w:rsidR="00C85428" w:rsidRDefault="0018595B" w:rsidP="00C85428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 w:rsidRPr="00730430">
        <w:rPr>
          <w:rFonts w:ascii="Arial" w:hAnsi="Arial" w:cs="Arial"/>
          <w:sz w:val="22"/>
          <w:szCs w:val="20"/>
        </w:rPr>
        <w:t>A continuación</w:t>
      </w:r>
      <w:r>
        <w:rPr>
          <w:rFonts w:ascii="Arial" w:hAnsi="Arial" w:cs="Arial"/>
          <w:sz w:val="22"/>
          <w:szCs w:val="20"/>
        </w:rPr>
        <w:t>,</w:t>
      </w:r>
      <w:r w:rsidRPr="00730430">
        <w:rPr>
          <w:rFonts w:ascii="Arial" w:hAnsi="Arial" w:cs="Arial"/>
          <w:sz w:val="22"/>
          <w:szCs w:val="20"/>
        </w:rPr>
        <w:t xml:space="preserve"> se </w:t>
      </w:r>
      <w:r>
        <w:rPr>
          <w:rFonts w:ascii="Arial" w:hAnsi="Arial" w:cs="Arial"/>
          <w:sz w:val="22"/>
          <w:szCs w:val="20"/>
        </w:rPr>
        <w:t xml:space="preserve">relaciona </w:t>
      </w:r>
      <w:r w:rsidRPr="00730430">
        <w:rPr>
          <w:rFonts w:ascii="Arial" w:hAnsi="Arial" w:cs="Arial"/>
          <w:sz w:val="22"/>
          <w:szCs w:val="20"/>
        </w:rPr>
        <w:t>los riesgos y la zona del riesgo en que se encuentran, a saber:</w:t>
      </w:r>
    </w:p>
    <w:p w14:paraId="19D1BA23" w14:textId="77777777" w:rsidR="00C85428" w:rsidRPr="00C85428" w:rsidRDefault="00C85428" w:rsidP="00C85428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tbl>
      <w:tblPr>
        <w:tblW w:w="8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80"/>
        <w:gridCol w:w="1900"/>
      </w:tblGrid>
      <w:tr w:rsidR="00C85428" w:rsidRPr="00C85428" w14:paraId="4B8F718E" w14:textId="77777777" w:rsidTr="00C85428">
        <w:trPr>
          <w:tblHeader/>
          <w:jc w:val="center"/>
        </w:trPr>
        <w:tc>
          <w:tcPr>
            <w:tcW w:w="4380" w:type="dxa"/>
            <w:shd w:val="clear" w:color="000000" w:fill="DCE6F1"/>
            <w:vAlign w:val="center"/>
            <w:hideMark/>
          </w:tcPr>
          <w:p w14:paraId="51C5C8CB" w14:textId="2E7EFF13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ES"/>
              </w:rPr>
              <w:t xml:space="preserve">Riesgo de Gestión </w:t>
            </w:r>
          </w:p>
        </w:tc>
        <w:tc>
          <w:tcPr>
            <w:tcW w:w="1780" w:type="dxa"/>
            <w:shd w:val="clear" w:color="000000" w:fill="DCE6F1"/>
            <w:vAlign w:val="center"/>
            <w:hideMark/>
          </w:tcPr>
          <w:p w14:paraId="2BB4F32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ES"/>
              </w:rPr>
              <w:t>Proceso</w:t>
            </w:r>
          </w:p>
        </w:tc>
        <w:tc>
          <w:tcPr>
            <w:tcW w:w="1900" w:type="dxa"/>
            <w:shd w:val="clear" w:color="000000" w:fill="DCE6F1"/>
            <w:vAlign w:val="center"/>
            <w:hideMark/>
          </w:tcPr>
          <w:p w14:paraId="57E01B98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ES"/>
              </w:rPr>
              <w:t>Zona de Riesgo Residual</w:t>
            </w:r>
          </w:p>
        </w:tc>
      </w:tr>
      <w:tr w:rsidR="00C85428" w:rsidRPr="00C85428" w14:paraId="7C75A752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59043E8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Incumplimiento en la generación de respuestas oportunas a los trámites presentados por la ciudadanía.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2DFE178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Protección e Intervención del Patrimonio</w:t>
            </w:r>
          </w:p>
        </w:tc>
        <w:tc>
          <w:tcPr>
            <w:tcW w:w="1900" w:type="dxa"/>
            <w:shd w:val="clear" w:color="000000" w:fill="FF0000"/>
            <w:noWrap/>
            <w:vAlign w:val="center"/>
            <w:hideMark/>
          </w:tcPr>
          <w:p w14:paraId="31D967F3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EXTREMO</w:t>
            </w:r>
          </w:p>
        </w:tc>
      </w:tr>
      <w:tr w:rsidR="00C85428" w:rsidRPr="00C85428" w14:paraId="2745D9D1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48A0F105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Interrupción del servicio de la página WEB institucional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4B2CCC" w14:textId="453D19FE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Divulgación y Apropiación  Social del Patrimonio</w:t>
            </w:r>
          </w:p>
        </w:tc>
        <w:tc>
          <w:tcPr>
            <w:tcW w:w="1900" w:type="dxa"/>
            <w:shd w:val="clear" w:color="000000" w:fill="FF0000"/>
            <w:noWrap/>
            <w:vAlign w:val="center"/>
            <w:hideMark/>
          </w:tcPr>
          <w:p w14:paraId="1C02821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EXTREMO</w:t>
            </w:r>
          </w:p>
        </w:tc>
      </w:tr>
      <w:tr w:rsidR="00C85428" w:rsidRPr="00C85428" w14:paraId="1D7FDB52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3DC1ED8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Seguimiento  inadecuado en la formulación y ejecución de las metas  institucionales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3C1721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Direccionamiento Estratégico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3F438CD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345A203F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4D0D94E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Daño significativo en inmuebles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D156F81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Administración de Bienes e Infraestructura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5A6373B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1860649C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0093EDA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Daños, deterioro o pérdida de los recursos tecnológicos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610CE33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de Sistemas de Información y Tecnología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0DC34CA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1805E420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4500622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Deficiente supervisión Contractual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C255D3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Contractual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4C634975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573668AC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350D5234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Desactualización de la información del inventario de Activos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175FA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Administración de Bienes e Infraestructura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2ABE079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02F0E98A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5D5A847F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Desaparición o  hurto de piezas de la colección del Museo de Bogotá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499D932" w14:textId="66D6CDD0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Divulgación y Apropiación  Social del Patrimonio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4D2E43E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2625A40B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6F3C121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Generación de  respuesta por fuera de los términos establecidos para atender solicitudes ciudadanas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E8E2C8F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Atención a la Ciudadanía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5F5049A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7F884915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0D130BD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Generar hallazgos  y/o conceptos que no cuenten con el debido soporte o evidencias del caso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EB93841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Seguimiento y Evaluación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12AFDB9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21129131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2A6895E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Información incompleta y desactualizada en las historias laborales, según lo dispuesto en las TRD.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94C8323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del Talento Humano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574F879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5AA87655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6058C1A4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Inoportunidad en la entrega de informes y recomendaciones para el mejoramiento de los procesos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8099D4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Seguimiento y Evaluación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33E45BF4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4B3CA39E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0BD07AC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Puede suceder que no se conserve la integridad y legibilidad de los documentos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8035E0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Gestión Documental 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143B8A7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3A071F24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705DC5C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Puede suceder que se pierdan documentos que hacen parte de la información institucional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87A4EC5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Gestión Documental 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672CBAC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486B178D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3E428BA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Vulnerabilidad y perdida de información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F4953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de Sistemas de Información y Tecnología</w:t>
            </w:r>
          </w:p>
        </w:tc>
        <w:tc>
          <w:tcPr>
            <w:tcW w:w="1900" w:type="dxa"/>
            <w:shd w:val="clear" w:color="000000" w:fill="FFC000"/>
            <w:noWrap/>
            <w:vAlign w:val="center"/>
            <w:hideMark/>
          </w:tcPr>
          <w:p w14:paraId="570DD32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ALTO</w:t>
            </w:r>
          </w:p>
        </w:tc>
      </w:tr>
      <w:tr w:rsidR="00C85428" w:rsidRPr="00C85428" w14:paraId="31F22AB0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4F734A86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Deterioro de los bienes propiedad del Instituto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FEC96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Administración de Bienes e Infraestructura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0D813C4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6687268F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325C72F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Diferencia entre los reportes generados y los subidos a la plataforma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FB2223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Financiera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0FD7D806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2EFF08CE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69DF279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Divulgación inadecuada del patrimonio  de la ciudad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0FFD94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Comunicación Estratégica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623F3C74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688910AC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0901987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Inconsistencias en el pago de la nómina.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D41ACBF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del Talento Humano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7B8CEDB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626B7121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6D518C58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Incumplimiento   en el pago de  los bienes y servicios que requiere la entidad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820174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Financiera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527EB826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174F79D4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4EDFEB56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Incumplimiento del cronograma de exposiciones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540EB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Divulgación y </w:t>
            </w:r>
            <w:proofErr w:type="spellStart"/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Apropiaciòn</w:t>
            </w:r>
            <w:proofErr w:type="spellEnd"/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 Social del Patrimonio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56C67A5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30563ACE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5F016BE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Incumplimiento en los parámetros establecidos en el SIG-MIPG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495EF2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Financiera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1704DB1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5A91BB3A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771AB9D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Información financiera con inconsistencias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7575D9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Financiera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4DAF566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3ECD77CE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23C880C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Uso de imágenes o material audiovisual sin contar con los derechos de uso y reproducción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E02256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Divulgación y </w:t>
            </w:r>
            <w:proofErr w:type="spellStart"/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Apropiaciòn</w:t>
            </w:r>
            <w:proofErr w:type="spellEnd"/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 Social del Patrimonio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136257C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66233971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6B79FAD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Declaratoria de desierto de las convocatorias ofertadas a través del Programa de Estímulos del IDPC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99F91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Divulgación y </w:t>
            </w:r>
            <w:proofErr w:type="spellStart"/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Apropiaciòn</w:t>
            </w:r>
            <w:proofErr w:type="spellEnd"/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 Social del Patrimonio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4AF64E36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7E846636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705F9D5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Deterioro o perdida de los valores patrimoniales de un Bien de Interés Cultural Declarado o Potencial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F24AF2F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Protección e Intervención del Patrimonio</w:t>
            </w:r>
          </w:p>
        </w:tc>
        <w:tc>
          <w:tcPr>
            <w:tcW w:w="1900" w:type="dxa"/>
            <w:shd w:val="clear" w:color="000000" w:fill="FFFF00"/>
            <w:noWrap/>
            <w:vAlign w:val="center"/>
            <w:hideMark/>
          </w:tcPr>
          <w:p w14:paraId="5D6172F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MODERADO</w:t>
            </w:r>
          </w:p>
        </w:tc>
      </w:tr>
      <w:tr w:rsidR="00C85428" w:rsidRPr="00C85428" w14:paraId="139CFAB5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385228D1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Aprobar estudios sin el cumplimiento debido de los requisitos y conforme a la normatividad vigente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2F4B5D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Protección e Intervención del Patrimonio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40F1B441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12E0DAB7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084AA41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Asesoría inadecuada a los procesos en temas del SIG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867C0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Fortalecimiento del SIG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6C51A2D6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3EEE1E9A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57335268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Bajos nivel de asistencia a las actividades educativas y culturales del Museo de Bogotá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ED34E6" w14:textId="2D492FB9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Divulgación y Apropiación  Social del Patrimonio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35134295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514E8F0B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5018D6E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Deterioro de los Bienes de Interés Cultural del Distrito Capital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FA524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Protección e Intervención del Patrimonio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15329A1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7B66F2A9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4DD26A4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Errores o inconsistencias en estudios previos y expedientes de la etapa precontractual.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449C2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Contractual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0F278D5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5FEF0B9E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37784158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Incumpliendo en las respuestas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6FA1D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Control Interno Disciplinario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24A16D6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7376D822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709D884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Incumplimiento del término establecido en el contrato para liquidar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81405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Contractual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078E26E5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381CED22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314E925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Incumplimiento en los términos de las etapas o actividades para los procesos administrativos y/o judiciales que se adelantan en el IDPC.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E51663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Jurídica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03CBAF9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2D8AD15D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48C1F5B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proveer oportunamente el Talento Humano requerido por la entidad.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3FB2D97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Gestión del Talento Humano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6610CCB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7E3C5A7E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418EB5C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Pérdida de piezas procesales o del expediente.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AE14B39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Control Interno Disciplinario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500F83B3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  <w:tr w:rsidR="00C85428" w:rsidRPr="00C85428" w14:paraId="7B56FA3F" w14:textId="77777777" w:rsidTr="00C85428">
        <w:trPr>
          <w:tblHeader/>
          <w:jc w:val="center"/>
        </w:trPr>
        <w:tc>
          <w:tcPr>
            <w:tcW w:w="4380" w:type="dxa"/>
            <w:shd w:val="clear" w:color="000000" w:fill="FFFFFF"/>
            <w:vAlign w:val="center"/>
            <w:hideMark/>
          </w:tcPr>
          <w:p w14:paraId="6C688643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Daño o alteración total o parcial de las características físicas de las piezas de las colecciones del Museo de Bogotá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F3A72A" w14:textId="22E14D66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Divulgación y Apropiación  Social del Patrimonio</w:t>
            </w:r>
          </w:p>
        </w:tc>
        <w:tc>
          <w:tcPr>
            <w:tcW w:w="1900" w:type="dxa"/>
            <w:shd w:val="clear" w:color="000000" w:fill="70AD47"/>
            <w:noWrap/>
            <w:vAlign w:val="center"/>
            <w:hideMark/>
          </w:tcPr>
          <w:p w14:paraId="1E609C4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</w:t>
            </w:r>
          </w:p>
        </w:tc>
      </w:tr>
    </w:tbl>
    <w:p w14:paraId="37FBD044" w14:textId="36439F39" w:rsidR="00782980" w:rsidRDefault="00BF25E3" w:rsidP="00F8628F">
      <w:pPr>
        <w:pStyle w:val="m7007535857312232601gmail-msolistparagraph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Para el primer cuatrimestre de la vigencia 2019, l</w:t>
      </w:r>
      <w:r w:rsidR="00782980">
        <w:rPr>
          <w:rFonts w:ascii="Arial" w:hAnsi="Arial" w:cs="Arial"/>
          <w:color w:val="222222"/>
          <w:sz w:val="20"/>
        </w:rPr>
        <w:t>os riesgos de gestión no reportan materialización.</w:t>
      </w:r>
    </w:p>
    <w:p w14:paraId="6E10D0AE" w14:textId="77777777" w:rsidR="00C85428" w:rsidRDefault="00C85428" w:rsidP="00F8628F">
      <w:pPr>
        <w:pStyle w:val="m7007535857312232601gmail-msolistparagraph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0"/>
        </w:rPr>
      </w:pPr>
    </w:p>
    <w:p w14:paraId="16228CF0" w14:textId="77777777" w:rsidR="00C85428" w:rsidRDefault="00C85428" w:rsidP="00F8628F">
      <w:pPr>
        <w:pStyle w:val="m7007535857312232601gmail-msolistparagraph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0"/>
        </w:rPr>
      </w:pPr>
    </w:p>
    <w:p w14:paraId="49163A02" w14:textId="076A9A34" w:rsidR="0095129B" w:rsidRPr="00730430" w:rsidRDefault="000F5469" w:rsidP="00730430">
      <w:pPr>
        <w:pStyle w:val="m7007535857312232601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b/>
          <w:bCs/>
          <w:sz w:val="28"/>
          <w:szCs w:val="44"/>
        </w:rPr>
      </w:pPr>
      <w:r w:rsidRPr="00730430">
        <w:rPr>
          <w:rFonts w:ascii="Arial" w:hAnsi="Arial" w:cs="Arial"/>
          <w:b/>
          <w:bCs/>
          <w:sz w:val="28"/>
          <w:szCs w:val="44"/>
        </w:rPr>
        <w:lastRenderedPageBreak/>
        <w:t>Resu</w:t>
      </w:r>
      <w:r w:rsidR="00F8628F" w:rsidRPr="00730430">
        <w:rPr>
          <w:rFonts w:ascii="Arial" w:hAnsi="Arial" w:cs="Arial"/>
          <w:b/>
          <w:bCs/>
          <w:sz w:val="28"/>
          <w:szCs w:val="44"/>
        </w:rPr>
        <w:t xml:space="preserve">ltados de la gestión del </w:t>
      </w:r>
      <w:r w:rsidR="00683674">
        <w:rPr>
          <w:rFonts w:ascii="Arial" w:hAnsi="Arial" w:cs="Arial"/>
          <w:b/>
          <w:bCs/>
          <w:sz w:val="28"/>
          <w:szCs w:val="44"/>
        </w:rPr>
        <w:t>r</w:t>
      </w:r>
      <w:r w:rsidR="00F8628F" w:rsidRPr="00730430">
        <w:rPr>
          <w:rFonts w:ascii="Arial" w:hAnsi="Arial" w:cs="Arial"/>
          <w:b/>
          <w:bCs/>
          <w:sz w:val="28"/>
          <w:szCs w:val="44"/>
        </w:rPr>
        <w:t>iesgo</w:t>
      </w:r>
      <w:r w:rsidRPr="00730430">
        <w:rPr>
          <w:rFonts w:ascii="Arial" w:hAnsi="Arial" w:cs="Arial"/>
          <w:b/>
          <w:bCs/>
          <w:sz w:val="28"/>
          <w:szCs w:val="44"/>
        </w:rPr>
        <w:t> </w:t>
      </w:r>
    </w:p>
    <w:p w14:paraId="1345532F" w14:textId="0634A2DB" w:rsidR="00341111" w:rsidRDefault="000E00A7" w:rsidP="00BE574A">
      <w:pPr>
        <w:pStyle w:val="m7007535857312232601gmail-msolistparagraph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>L</w:t>
      </w:r>
      <w:r w:rsidR="00B51ED3">
        <w:rPr>
          <w:rFonts w:ascii="Arial" w:hAnsi="Arial" w:cs="Arial"/>
          <w:color w:val="222222"/>
          <w:sz w:val="22"/>
        </w:rPr>
        <w:t xml:space="preserve">a Entidad </w:t>
      </w:r>
      <w:r w:rsidR="00341111" w:rsidRPr="00730430">
        <w:rPr>
          <w:rFonts w:ascii="Arial" w:hAnsi="Arial" w:cs="Arial"/>
          <w:color w:val="222222"/>
          <w:sz w:val="22"/>
        </w:rPr>
        <w:t>cuenta con</w:t>
      </w:r>
      <w:r w:rsidR="00341111" w:rsidRPr="00782980">
        <w:rPr>
          <w:rFonts w:ascii="Arial" w:hAnsi="Arial" w:cs="Arial"/>
          <w:color w:val="222222"/>
          <w:sz w:val="22"/>
        </w:rPr>
        <w:t xml:space="preserve"> un total de 9 riesgos de corrupción y 37 riesgos de gestión para </w:t>
      </w:r>
      <w:r w:rsidR="00341111">
        <w:rPr>
          <w:rFonts w:ascii="Arial" w:hAnsi="Arial" w:cs="Arial"/>
          <w:color w:val="222222"/>
          <w:sz w:val="22"/>
        </w:rPr>
        <w:t>u</w:t>
      </w:r>
      <w:r w:rsidR="00341111" w:rsidRPr="00782980">
        <w:rPr>
          <w:rFonts w:ascii="Arial" w:hAnsi="Arial" w:cs="Arial"/>
          <w:color w:val="222222"/>
          <w:sz w:val="22"/>
        </w:rPr>
        <w:t>n to</w:t>
      </w:r>
      <w:r w:rsidR="00341111">
        <w:rPr>
          <w:rFonts w:ascii="Arial" w:hAnsi="Arial" w:cs="Arial"/>
          <w:color w:val="222222"/>
          <w:sz w:val="22"/>
        </w:rPr>
        <w:t>t</w:t>
      </w:r>
      <w:r w:rsidR="00341111" w:rsidRPr="00782980">
        <w:rPr>
          <w:rFonts w:ascii="Arial" w:hAnsi="Arial" w:cs="Arial"/>
          <w:color w:val="222222"/>
          <w:sz w:val="22"/>
        </w:rPr>
        <w:t xml:space="preserve">al de 46 </w:t>
      </w:r>
      <w:r w:rsidR="00341111" w:rsidRPr="00730430">
        <w:rPr>
          <w:rFonts w:ascii="Arial" w:hAnsi="Arial" w:cs="Arial"/>
          <w:color w:val="222222"/>
          <w:sz w:val="22"/>
        </w:rPr>
        <w:t>r</w:t>
      </w:r>
      <w:r w:rsidR="00341111" w:rsidRPr="00782980">
        <w:rPr>
          <w:rFonts w:ascii="Arial" w:hAnsi="Arial" w:cs="Arial"/>
          <w:color w:val="222222"/>
          <w:sz w:val="22"/>
        </w:rPr>
        <w:t xml:space="preserve">iesgos, los cuales se </w:t>
      </w:r>
      <w:r>
        <w:rPr>
          <w:rFonts w:ascii="Arial" w:hAnsi="Arial" w:cs="Arial"/>
          <w:color w:val="222222"/>
          <w:sz w:val="22"/>
        </w:rPr>
        <w:t xml:space="preserve">relacionan a continuación </w:t>
      </w:r>
      <w:r w:rsidR="00341111" w:rsidRPr="00782980">
        <w:rPr>
          <w:rFonts w:ascii="Arial" w:hAnsi="Arial" w:cs="Arial"/>
          <w:color w:val="222222"/>
          <w:sz w:val="22"/>
        </w:rPr>
        <w:t xml:space="preserve">por zona de riesgos </w:t>
      </w:r>
      <w:r>
        <w:rPr>
          <w:rFonts w:ascii="Arial" w:hAnsi="Arial" w:cs="Arial"/>
          <w:color w:val="222222"/>
          <w:sz w:val="22"/>
        </w:rPr>
        <w:t>y por proceso</w:t>
      </w:r>
      <w:r w:rsidR="00341111" w:rsidRPr="00782980">
        <w:rPr>
          <w:rFonts w:ascii="Arial" w:hAnsi="Arial" w:cs="Arial"/>
          <w:color w:val="222222"/>
          <w:sz w:val="22"/>
        </w:rPr>
        <w:t>:</w:t>
      </w:r>
    </w:p>
    <w:tbl>
      <w:tblPr>
        <w:tblW w:w="3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218"/>
        <w:gridCol w:w="973"/>
      </w:tblGrid>
      <w:tr w:rsidR="00C85428" w:rsidRPr="00C85428" w14:paraId="68A86C3D" w14:textId="77777777" w:rsidTr="009F0E0A">
        <w:trPr>
          <w:trHeight w:val="258"/>
          <w:jc w:val="center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988E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246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Corrupción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443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Gestión </w:t>
            </w:r>
          </w:p>
        </w:tc>
      </w:tr>
      <w:tr w:rsidR="00C85428" w:rsidRPr="00C85428" w14:paraId="16BC642A" w14:textId="77777777" w:rsidTr="009F0E0A">
        <w:trPr>
          <w:trHeight w:val="25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4D5414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Extremo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36A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8D3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C85428" w:rsidRPr="00C85428" w14:paraId="5E7B00A5" w14:textId="77777777" w:rsidTr="009F0E0A">
        <w:trPr>
          <w:trHeight w:val="258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5B6D1B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Alto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A7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800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C85428" w:rsidRPr="00C85428" w14:paraId="2383BFC3" w14:textId="77777777" w:rsidTr="009F0E0A">
        <w:trPr>
          <w:trHeight w:val="258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D4A012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Moderado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9C1F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2FA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C85428" w:rsidRPr="00C85428" w14:paraId="6205CC33" w14:textId="77777777" w:rsidTr="009F0E0A">
        <w:trPr>
          <w:trHeight w:val="258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60657F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Bajo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1D1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101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C85428" w:rsidRPr="00C85428" w14:paraId="55F09F5D" w14:textId="77777777" w:rsidTr="009F0E0A">
        <w:trPr>
          <w:trHeight w:val="258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C0D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B4C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4E1" w14:textId="77777777" w:rsidR="00C85428" w:rsidRPr="00C85428" w:rsidRDefault="00C85428" w:rsidP="00C8542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8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</w:tr>
    </w:tbl>
    <w:p w14:paraId="7D67CD0A" w14:textId="331B46F1" w:rsidR="000E00A7" w:rsidRPr="000E00A7" w:rsidRDefault="000E00A7" w:rsidP="000E00A7">
      <w:pPr>
        <w:pStyle w:val="m7007535857312232601gmail-msolistparagraph"/>
        <w:shd w:val="clear" w:color="auto" w:fill="FFFFFF"/>
        <w:spacing w:line="293" w:lineRule="atLeast"/>
        <w:ind w:left="720"/>
        <w:rPr>
          <w:rFonts w:ascii="Arial" w:hAnsi="Arial" w:cs="Arial"/>
          <w:color w:val="222222"/>
          <w:sz w:val="22"/>
          <w:szCs w:val="22"/>
        </w:rPr>
      </w:pPr>
      <w:r w:rsidRPr="000E00A7">
        <w:rPr>
          <w:rFonts w:ascii="Arial" w:hAnsi="Arial" w:cs="Arial"/>
          <w:color w:val="222222"/>
          <w:sz w:val="22"/>
          <w:szCs w:val="22"/>
        </w:rPr>
        <w:t>Relación de riesgos de gestión y de corrupción por proceso</w:t>
      </w:r>
    </w:p>
    <w:p w14:paraId="07E66BFC" w14:textId="77777777" w:rsidR="00341111" w:rsidRDefault="00341111" w:rsidP="000E00A7">
      <w:pPr>
        <w:pStyle w:val="m7007535857312232601gmail-msolistparagraph"/>
        <w:shd w:val="clear" w:color="auto" w:fill="FFFFFF"/>
        <w:spacing w:line="293" w:lineRule="atLeast"/>
        <w:ind w:left="720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4F0F8C80" wp14:editId="15573190">
            <wp:extent cx="4619625" cy="492442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6E7462" w14:textId="475EA6DA" w:rsidR="0095129B" w:rsidRPr="00730430" w:rsidRDefault="00FC2E3F" w:rsidP="0095129B">
      <w:pPr>
        <w:pStyle w:val="m7007535857312232601gmail-msolistparagraph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2"/>
        </w:rPr>
      </w:pPr>
      <w:r w:rsidRPr="00730430">
        <w:rPr>
          <w:rFonts w:ascii="Arial" w:hAnsi="Arial" w:cs="Arial"/>
          <w:color w:val="222222"/>
          <w:sz w:val="22"/>
        </w:rPr>
        <w:lastRenderedPageBreak/>
        <w:t xml:space="preserve">De acuerdo </w:t>
      </w:r>
      <w:r w:rsidR="00683674">
        <w:rPr>
          <w:rFonts w:ascii="Arial" w:hAnsi="Arial" w:cs="Arial"/>
          <w:color w:val="222222"/>
          <w:sz w:val="22"/>
        </w:rPr>
        <w:t xml:space="preserve">con el </w:t>
      </w:r>
      <w:r w:rsidRPr="00730430">
        <w:rPr>
          <w:rFonts w:ascii="Arial" w:hAnsi="Arial" w:cs="Arial"/>
          <w:color w:val="222222"/>
          <w:sz w:val="22"/>
        </w:rPr>
        <w:t xml:space="preserve">monitoreo realizado </w:t>
      </w:r>
      <w:r w:rsidR="000E00A7" w:rsidRPr="00730430">
        <w:rPr>
          <w:rFonts w:ascii="Arial" w:hAnsi="Arial" w:cs="Arial"/>
          <w:color w:val="222222"/>
          <w:sz w:val="22"/>
        </w:rPr>
        <w:t xml:space="preserve">a la gestión de los riesgos </w:t>
      </w:r>
      <w:r w:rsidRPr="00730430">
        <w:rPr>
          <w:rFonts w:ascii="Arial" w:hAnsi="Arial" w:cs="Arial"/>
          <w:color w:val="222222"/>
          <w:sz w:val="22"/>
        </w:rPr>
        <w:t>en mayo del 2019 por</w:t>
      </w:r>
      <w:r w:rsidR="009853C4">
        <w:rPr>
          <w:rFonts w:ascii="Arial" w:hAnsi="Arial" w:cs="Arial"/>
          <w:color w:val="222222"/>
          <w:sz w:val="22"/>
        </w:rPr>
        <w:t xml:space="preserve"> los</w:t>
      </w:r>
      <w:r w:rsidRPr="00730430">
        <w:rPr>
          <w:rFonts w:ascii="Arial" w:hAnsi="Arial" w:cs="Arial"/>
          <w:color w:val="222222"/>
          <w:sz w:val="22"/>
        </w:rPr>
        <w:t xml:space="preserve"> </w:t>
      </w:r>
      <w:r w:rsidR="00730430">
        <w:rPr>
          <w:rFonts w:ascii="Arial" w:hAnsi="Arial" w:cs="Arial"/>
          <w:color w:val="222222"/>
          <w:sz w:val="22"/>
        </w:rPr>
        <w:t xml:space="preserve">responsables de </w:t>
      </w:r>
      <w:r w:rsidRPr="00730430">
        <w:rPr>
          <w:rFonts w:ascii="Arial" w:hAnsi="Arial" w:cs="Arial"/>
          <w:color w:val="222222"/>
          <w:sz w:val="22"/>
        </w:rPr>
        <w:t>los procesos, se presenta</w:t>
      </w:r>
      <w:r w:rsidR="00730430">
        <w:rPr>
          <w:rFonts w:ascii="Arial" w:hAnsi="Arial" w:cs="Arial"/>
          <w:color w:val="222222"/>
          <w:sz w:val="22"/>
        </w:rPr>
        <w:t>n</w:t>
      </w:r>
      <w:r w:rsidRPr="00730430">
        <w:rPr>
          <w:rFonts w:ascii="Arial" w:hAnsi="Arial" w:cs="Arial"/>
          <w:color w:val="222222"/>
          <w:sz w:val="22"/>
        </w:rPr>
        <w:t xml:space="preserve"> </w:t>
      </w:r>
      <w:r w:rsidR="00730430">
        <w:rPr>
          <w:rFonts w:ascii="Arial" w:hAnsi="Arial" w:cs="Arial"/>
          <w:color w:val="222222"/>
          <w:sz w:val="22"/>
        </w:rPr>
        <w:t xml:space="preserve">los </w:t>
      </w:r>
      <w:r w:rsidRPr="00730430">
        <w:rPr>
          <w:rFonts w:ascii="Arial" w:hAnsi="Arial" w:cs="Arial"/>
          <w:color w:val="222222"/>
          <w:sz w:val="22"/>
        </w:rPr>
        <w:t>siguiente</w:t>
      </w:r>
      <w:r w:rsidR="00730430">
        <w:rPr>
          <w:rFonts w:ascii="Arial" w:hAnsi="Arial" w:cs="Arial"/>
          <w:color w:val="222222"/>
          <w:sz w:val="22"/>
        </w:rPr>
        <w:t>s</w:t>
      </w:r>
      <w:r w:rsidRPr="00730430">
        <w:rPr>
          <w:rFonts w:ascii="Arial" w:hAnsi="Arial" w:cs="Arial"/>
          <w:color w:val="222222"/>
          <w:sz w:val="22"/>
        </w:rPr>
        <w:t xml:space="preserve"> </w:t>
      </w:r>
      <w:r w:rsidR="00730430">
        <w:rPr>
          <w:rFonts w:ascii="Arial" w:hAnsi="Arial" w:cs="Arial"/>
          <w:color w:val="222222"/>
          <w:sz w:val="22"/>
        </w:rPr>
        <w:t>resultados y recomendaciones</w:t>
      </w:r>
      <w:r w:rsidRPr="00730430">
        <w:rPr>
          <w:rFonts w:ascii="Arial" w:hAnsi="Arial" w:cs="Arial"/>
          <w:color w:val="222222"/>
          <w:sz w:val="22"/>
        </w:rPr>
        <w:t>:</w:t>
      </w:r>
    </w:p>
    <w:tbl>
      <w:tblPr>
        <w:tblW w:w="9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118"/>
        <w:gridCol w:w="4352"/>
      </w:tblGrid>
      <w:tr w:rsidR="00FF29AB" w:rsidRPr="00FF29AB" w14:paraId="324E403B" w14:textId="77777777" w:rsidTr="00E21311">
        <w:trPr>
          <w:trHeight w:val="60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2016EC" w14:textId="46DFA595" w:rsidR="00FC2E3F" w:rsidRPr="00FC2E3F" w:rsidRDefault="00FC2E3F" w:rsidP="00FF29AB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Proceso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1C32E1" w14:textId="06800147" w:rsidR="00FC2E3F" w:rsidRPr="00FC2E3F" w:rsidRDefault="00FC2E3F" w:rsidP="000E00A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Resultados del monitoreo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D89EBC" w14:textId="0CE01096" w:rsidR="00FC2E3F" w:rsidRPr="00FC2E3F" w:rsidRDefault="00FC2E3F" w:rsidP="00FF29AB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Recomendaciones</w:t>
            </w:r>
          </w:p>
        </w:tc>
      </w:tr>
      <w:tr w:rsidR="00FC2E3F" w:rsidRPr="00FC2E3F" w14:paraId="71928DE9" w14:textId="77777777" w:rsidTr="00E21311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82B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Direccionamiento Estratégico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E76D" w14:textId="7E8AC4F7" w:rsidR="00FC2E3F" w:rsidRPr="00FC2E3F" w:rsidRDefault="00FC2E3F" w:rsidP="00FC2E3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En cuanto al riesgo "Seguimiento  inadecuado en la formulación y ejecución de las metas  institucionales" se evidencia que no se ha materializado el riesgo. Como resultado de la ejecución de los controles definidos, se </w:t>
            </w:r>
            <w:r w:rsidRPr="00FF29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llevó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cabo presentación de los planes institucionales por parte del líder responsable del mismo y estos fueron aprobados por la alta dirección en el comité respectivo; de las actividades de mitigación se evidencia avances en el seguimiento a metas institucionales y ejecución del PAA (Plan Anual de Adquisiciones).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418" w14:textId="565CDACA" w:rsidR="00782980" w:rsidRDefault="00782980" w:rsidP="0078298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evisar la actividad "Consolidar y verificar mensualmente el seguimiento a metas institucionales"  y los controles definidos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ya que estos muestran similitud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  <w:p w14:paraId="7D93CAF2" w14:textId="77777777" w:rsidR="001B147A" w:rsidRDefault="001B147A" w:rsidP="0078298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4E5A1989" w14:textId="51EF742F" w:rsidR="00FC2E3F" w:rsidRPr="00FC2E3F" w:rsidRDefault="00A61138" w:rsidP="00A6113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evisar las hojas de vida de indicadores de proceso ya que estos se definen en el mapa como un control</w:t>
            </w:r>
            <w:r w:rsidR="007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</w:t>
            </w:r>
            <w:r w:rsidR="007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validar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si los indicadores definidos miden el objetivó del proceso o son un control de la ejecución de metas y planes.  </w:t>
            </w:r>
          </w:p>
        </w:tc>
      </w:tr>
      <w:tr w:rsidR="00FC2E3F" w:rsidRPr="00FC2E3F" w14:paraId="03CBF5B6" w14:textId="77777777" w:rsidTr="00E21311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0820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Fortalecimiento del SIG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7D6E" w14:textId="612A334D" w:rsidR="00FC2E3F" w:rsidRPr="00FC2E3F" w:rsidRDefault="00FC2E3F" w:rsidP="00FC2E3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riesgo relacionado "Asesoría inadecuada a los procesos en temas del SIG"  no requiere plan de trabajo y se han llevado a cabo las actividades de control tendientes a</w:t>
            </w:r>
            <w:r w:rsidR="000E0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seguimiento al equipo de trabajo, consulta permanente de los lineamientos definidos por el DAFP y se cuentan con los registros de las asesorías dadas a los procesos del IDPC.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B95" w14:textId="16A15818" w:rsidR="00FC2E3F" w:rsidRPr="00FC2E3F" w:rsidRDefault="00FF29AB" w:rsidP="00FC2E3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29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Validar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 calificación de probabilidad e impacto y revisar si el proceso podría tener nuevos riesgos relacionados con la implementación del MIPG y la gestión ambiental.</w:t>
            </w:r>
          </w:p>
        </w:tc>
      </w:tr>
      <w:tr w:rsidR="00FC2E3F" w:rsidRPr="00FC2E3F" w14:paraId="2366E7D1" w14:textId="77777777" w:rsidTr="00E21311">
        <w:trPr>
          <w:trHeight w:val="13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B88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Comunicación Estratégica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A4E3" w14:textId="714433D5" w:rsidR="00FC2E3F" w:rsidRPr="00FC2E3F" w:rsidRDefault="00FC2E3F" w:rsidP="000E00A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riesgo de corrupción "Ausencia o debilidad en los  canales de comunicación" y el Riesgo de Gestión "Divulgación inadecuada del patrimonio  de la ciudad" se evidencia ejecución de las actividades de mitigación y ejecución de los controles definidos.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6232" w14:textId="60856997" w:rsidR="00FC2E3F" w:rsidRPr="00FC2E3F" w:rsidRDefault="00782980" w:rsidP="0078298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evisar los controles y las actividades de mitigación dado que tienen similitud y posiblemente no se evita o elimina las causas que generan el riesgo.</w:t>
            </w:r>
          </w:p>
        </w:tc>
      </w:tr>
      <w:tr w:rsidR="00FC2E3F" w:rsidRPr="00FC2E3F" w14:paraId="45EBDE55" w14:textId="77777777" w:rsidTr="00E21311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3A0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Atención a la Ciudadanía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0B88" w14:textId="605A59DB" w:rsidR="00FC2E3F" w:rsidRPr="00FC2E3F" w:rsidRDefault="00FC2E3F" w:rsidP="00A6113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 evidencia la ejecución de los controles establecidos, avance de las capacitaciones programadas</w:t>
            </w:r>
            <w:r w:rsidR="00A61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220B" w14:textId="595FC1DA" w:rsidR="00FC2E3F" w:rsidRPr="00FC2E3F" w:rsidRDefault="00782980" w:rsidP="00FC2E3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evisar y complementar las causas del riesgo de gestión identificado  y ajustar  la redacción de los controles, especialmente se debe analizar si el control definido como “aplicación del indicador de oportunidad de atención de PQRS” es realmente un control.</w:t>
            </w:r>
          </w:p>
        </w:tc>
      </w:tr>
      <w:tr w:rsidR="00FC2E3F" w:rsidRPr="00FC2E3F" w14:paraId="5DF8BA8C" w14:textId="77777777" w:rsidTr="00E21311">
        <w:trPr>
          <w:trHeight w:val="23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0A9" w14:textId="219AC9A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Protección e intervención del Patrimonio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BB1C" w14:textId="77777777" w:rsidR="00A61138" w:rsidRDefault="00FC2E3F" w:rsidP="00FC2E3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 el mapa de riesgos de gestión y de corrupción se evidencia que la documentación de los riesgos se ha realizado para la protección e intervención del patrimonio cultural  como procesos separados.</w:t>
            </w:r>
          </w:p>
          <w:p w14:paraId="69006556" w14:textId="1B682945" w:rsidR="00FC2E3F" w:rsidRPr="00FC2E3F" w:rsidRDefault="00FC2E3F" w:rsidP="00A61138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Se evidencia que se han ejecutado los controles y actividades de mitigación definidas en los mapas de riesgos</w:t>
            </w:r>
            <w:r w:rsidR="00A61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4F0" w14:textId="09A6D587" w:rsidR="00782980" w:rsidRDefault="00782980" w:rsidP="0078298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alidar la definición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riesgo </w:t>
            </w:r>
            <w:r w:rsidR="00A61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establecido 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para intervención del patrimonio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cual se observa que 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es similar  al riesgo definido en la protección del </w:t>
            </w:r>
            <w:r w:rsidR="00AD3486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patrimonio</w:t>
            </w:r>
            <w:r w:rsidR="00AD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adicionalmente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</w:t>
            </w:r>
            <w:r w:rsidR="00A02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justar la calificación realizada teniendo en cuenta que la probabilidad de ocurrencia puede ser posible y en caso de la materialización del riesgo</w:t>
            </w:r>
            <w:r w:rsidR="00E21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su impacto podría ser moderado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</w:p>
          <w:p w14:paraId="691C154A" w14:textId="77777777" w:rsidR="00782980" w:rsidRDefault="00782980" w:rsidP="0078298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4F3C78F2" w14:textId="5CA3C87A" w:rsidR="00FC2E3F" w:rsidRPr="00FC2E3F" w:rsidRDefault="00782980" w:rsidP="00A34673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justar </w:t>
            </w:r>
            <w:r w:rsidR="00A02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redacción y/o definición de 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los riesgos con el fin de dar mayor claridad</w:t>
            </w:r>
            <w:r w:rsidR="00A34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así como 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mejorar la definición de las causas.</w:t>
            </w:r>
          </w:p>
        </w:tc>
      </w:tr>
      <w:tr w:rsidR="00FC2E3F" w:rsidRPr="00FC2E3F" w14:paraId="42572FE1" w14:textId="77777777" w:rsidTr="00E21311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683" w14:textId="4A36DD44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Divulgación y apropiación social del patrimonio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76A" w14:textId="611EAAEA" w:rsidR="00FC2E3F" w:rsidRPr="00FC2E3F" w:rsidRDefault="00FC2E3F" w:rsidP="00A34673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evidencia que los 8 riesgos definidos se han </w:t>
            </w:r>
            <w:r w:rsidR="00A34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controlado</w:t>
            </w:r>
            <w:r w:rsidR="00A34673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con la ejecución de los controles establecidos y las actividades de mitigación; por lo cual se </w:t>
            </w:r>
            <w:r w:rsidRPr="00FF29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validó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el jurado definido para los estímulos no tiene  algún conflicto de interés, se realizó levantamiento y/o actualización de los estados de conservación y se </w:t>
            </w:r>
            <w:r w:rsidRPr="00FF29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realizó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seguimiento a los cronogramas de exposiciones temporales.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CFB" w14:textId="3B802D83" w:rsidR="00CC3F09" w:rsidRDefault="00CC3F09" w:rsidP="00CC3F09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evisar y mejorar la redacción de los controles definidos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 el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riesgo “Bajo nivel de asistencia a las actividades educativas y culturales del Museo de Bogotá”</w:t>
            </w:r>
            <w:r w:rsid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dado que los controles deben hacer referencia a una m</w:t>
            </w:r>
            <w:r w:rsidR="001B147A" w:rsidRP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edida que modifica</w:t>
            </w:r>
            <w:r w:rsid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mitiga y/o evita </w:t>
            </w:r>
            <w:r w:rsidR="001B147A" w:rsidRP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riesgo</w:t>
            </w:r>
            <w:r w:rsid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="001B147A" w:rsidRP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14:paraId="61C065DE" w14:textId="77777777" w:rsidR="00CC3F09" w:rsidRDefault="00CC3F09" w:rsidP="00CC3F09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272E9D59" w14:textId="4DBFCCCC" w:rsidR="00FC2E3F" w:rsidRPr="00FC2E3F" w:rsidRDefault="00CC3F09" w:rsidP="001B147A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erificar los resultados de la calificación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dicho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riesgo  y  de ser pertinente establecer plan de tratamiento para la mitigación del riesgo. </w:t>
            </w:r>
            <w:r w:rsidR="00730430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dicionalmente</w:t>
            </w:r>
            <w:r w:rsidR="00730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revisar la definición de los riesgos establecidos</w:t>
            </w:r>
            <w:r w:rsid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dado que su definición es muy general y no especifica la situación a prevenir.</w:t>
            </w:r>
          </w:p>
        </w:tc>
      </w:tr>
      <w:tr w:rsidR="00FC2E3F" w:rsidRPr="00FC2E3F" w14:paraId="07225DDE" w14:textId="77777777" w:rsidTr="00E21311">
        <w:trPr>
          <w:trHeight w:val="25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AEB2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Gestión Talento Humano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1FA" w14:textId="0DCA2AF0" w:rsidR="00FC2E3F" w:rsidRPr="00FC2E3F" w:rsidRDefault="00FC2E3F" w:rsidP="00FC2E3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Del riesgo de corrupción "Uso  indebido de la información que administra el  proceso de Gestión del </w:t>
            </w:r>
            <w:r w:rsidR="008E5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alento </w:t>
            </w:r>
            <w:r w:rsidR="008E5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umano para favorecer un interés particular" se evidencia ejecución de las actividades de mitigación y los controles definidos.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 xml:space="preserve">En cuanto al riesgo de gestión "Información incompleta y desactualizada en las historias laborales, según lo dispuesto en las TRD" se han organizado algunos expedientes laborales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6FDE" w14:textId="77777777" w:rsidR="00BE574A" w:rsidRDefault="00362565" w:rsidP="00362565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dentifica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documenta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otros riesgos relacionados a la aplicación de evaluaciones de desempeño laboral oportunamente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el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AD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ncumplimiento en el Plan Estratégico de Talento Humano (capacitación, bienestar, </w:t>
            </w:r>
            <w:r w:rsidR="00AD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alud en el trabajo).</w:t>
            </w:r>
          </w:p>
          <w:p w14:paraId="52209C8E" w14:textId="29614048" w:rsidR="001B147A" w:rsidRDefault="00FC2E3F" w:rsidP="00362565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="00362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evisar los controles definidos  y la  valoración </w:t>
            </w:r>
            <w:r w:rsid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final de los riesgos, dado que los controles deben hacer referencia a una m</w:t>
            </w:r>
            <w:r w:rsidR="001B147A" w:rsidRP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edida que modifica</w:t>
            </w:r>
            <w:r w:rsid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mitiga y/o evita </w:t>
            </w:r>
            <w:r w:rsidR="001B147A" w:rsidRP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riesgo</w:t>
            </w:r>
            <w:r w:rsid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esto es un parámetro a tener en cuenta en la calificación final del impacto y la probabilidad del riesgo.</w:t>
            </w:r>
          </w:p>
          <w:p w14:paraId="5CD8E051" w14:textId="12EBDD41" w:rsidR="00FC2E3F" w:rsidRPr="00FC2E3F" w:rsidRDefault="00FC2E3F" w:rsidP="00362565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="003625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etallar la gestión realizada en los futuros seguimientos a los riesgos de gestión y corrupción.</w:t>
            </w:r>
          </w:p>
        </w:tc>
      </w:tr>
      <w:tr w:rsidR="00FC2E3F" w:rsidRPr="00FC2E3F" w14:paraId="266F8A2B" w14:textId="77777777" w:rsidTr="00E21311">
        <w:trPr>
          <w:trHeight w:val="18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CA57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Gestión Jurídica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4A64" w14:textId="50779D21" w:rsidR="00FC2E3F" w:rsidRPr="00FC2E3F" w:rsidRDefault="00FC2E3F" w:rsidP="00AD3486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riesgo "Incumplimiento en los términos de las etapas o actividades para los procesos administrativos y/o judiciales que se adelantan en el IDPC" se evidencia que se presentan  15 procesos judiciales</w:t>
            </w:r>
            <w:r w:rsidR="00AD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6 denuncias ante fiscalía y 8 tutelas; a los cuales se les realiza revisión y </w:t>
            </w:r>
            <w:r w:rsidR="00AD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trámite correspondiente.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AF8C" w14:textId="5A8DDFE0" w:rsidR="00FC2E3F" w:rsidRPr="00FC2E3F" w:rsidRDefault="00362565" w:rsidP="00286CA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evisar y ajustar la calificación y tipo de tratamiento al riesgo</w:t>
            </w:r>
            <w:r w:rsidR="001B1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teniendo en cuenta que la probabilidad de ocurrencia puede ser posible y en caso de la materialización del riesgo su impacto podría ser </w:t>
            </w:r>
            <w:r w:rsidR="00286C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moderado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adicionalmente identificar otros riesgos relacionados con la defensa judicial e identificación de la normatividad vigente.</w:t>
            </w:r>
          </w:p>
        </w:tc>
      </w:tr>
      <w:tr w:rsidR="00FC2E3F" w:rsidRPr="00FC2E3F" w14:paraId="58304AC6" w14:textId="77777777" w:rsidTr="00E21311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449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Gestión Contractual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4FE" w14:textId="4E85FE15" w:rsidR="00FC2E3F" w:rsidRPr="00FC2E3F" w:rsidRDefault="00FC2E3F" w:rsidP="00AD3486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proceso de Gestión Contractual ha documentado e identificado 5 riesgos</w:t>
            </w:r>
            <w:r w:rsidR="00AD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sobre los cuales s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 han ejecutado los controles definidos y se han gestionado las actividades de mitigación definidas por el proceso.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1C8" w14:textId="653B017F" w:rsidR="004616E6" w:rsidRDefault="00362565" w:rsidP="00362565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dentificar y analizar posibles riesgos relacionados con </w:t>
            </w:r>
            <w:r w:rsidR="00461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presentación de 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ofertas sin el cumplimiento de  los requisitos según lo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descrito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los pliegos de condiciones, </w:t>
            </w:r>
            <w:r w:rsidR="00461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y para los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xpedientes  incompletos y desorganizados.</w:t>
            </w:r>
          </w:p>
          <w:p w14:paraId="767658DA" w14:textId="2AF9ABDF" w:rsidR="00286CAF" w:rsidRPr="00FC2E3F" w:rsidRDefault="00FC2E3F" w:rsidP="00286CA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="00286C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286CA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evisar los controles y las actividades de mitigación dado </w:t>
            </w:r>
            <w:r w:rsidR="00286C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ya </w:t>
            </w:r>
            <w:r w:rsidR="00286CA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que </w:t>
            </w:r>
            <w:r w:rsidR="00286C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es </w:t>
            </w:r>
            <w:r w:rsidR="00286CA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posible</w:t>
            </w:r>
            <w:r w:rsidR="00286C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r w:rsidR="00286CA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se evit</w:t>
            </w:r>
            <w:r w:rsidR="00286C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 o elimine</w:t>
            </w:r>
            <w:r w:rsidR="00286CA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las causas que generan el riesgo.</w:t>
            </w:r>
          </w:p>
          <w:p w14:paraId="574DA142" w14:textId="6E89D920" w:rsidR="00FC2E3F" w:rsidRPr="00FC2E3F" w:rsidRDefault="00FC2E3F" w:rsidP="00362565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2E3F" w:rsidRPr="00FC2E3F" w14:paraId="65D19BEC" w14:textId="77777777" w:rsidTr="00E21311">
        <w:trPr>
          <w:trHeight w:val="29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A0D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Gestión Documental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22AE" w14:textId="6023052C" w:rsidR="00FC2E3F" w:rsidRPr="00FC2E3F" w:rsidRDefault="00FC2E3F" w:rsidP="00B47276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evidencian 3 riesgos asociados al proceso </w:t>
            </w:r>
            <w:r w:rsidR="00B47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sobre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los cuales se evidencia </w:t>
            </w:r>
            <w:r w:rsidR="00B47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ejecución de los controles definidos y de las actividades de mitigación propuestas.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1DE" w14:textId="77777777" w:rsidR="002840E7" w:rsidRDefault="00362565" w:rsidP="00B47276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evisar y ajustar las causas definidas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las cuales se pueden complementar con aspectos relacionados a préstamos de documentos sin el adecuado control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conservación documental,  entre otros aspectos.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ejorar la definición de los riesgos, analizar los controles y evaluar la pertinencia e impacto de las actividades de mitigación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ya que son muy parecidas.</w:t>
            </w:r>
          </w:p>
          <w:p w14:paraId="41D364DF" w14:textId="6843DAA9" w:rsidR="00FC2E3F" w:rsidRPr="00FC2E3F" w:rsidRDefault="00FC2E3F" w:rsidP="00B47276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="00284E97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importante que se identifiquen nuevos riesgos referentes al deterioro de los documentos, ausencia de TRD </w:t>
            </w:r>
            <w:r w:rsidR="00B47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</w:t>
            </w:r>
            <w:r w:rsidR="00B47276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desactualización de las mismas.</w:t>
            </w:r>
          </w:p>
        </w:tc>
      </w:tr>
      <w:tr w:rsidR="00FC2E3F" w:rsidRPr="00FC2E3F" w14:paraId="1CF44CE1" w14:textId="77777777" w:rsidTr="00E21311">
        <w:trPr>
          <w:trHeight w:val="82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F91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Administración de Bienes e Infraestructura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491" w14:textId="77777777" w:rsidR="005A1D40" w:rsidRDefault="00FC2E3F" w:rsidP="005A1D4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 cuanto al riesgo de corrupción "Incorrecta verificación, asignación o administración de los  activos fijos y elementos de consumo" se evidencia que el control de los activos se ha realizado a través del sistema SIIGO y las solicitudes de elementos se han realizado a través del sistema de Gestión Documental ORFEO.</w:t>
            </w:r>
          </w:p>
          <w:p w14:paraId="41AA8662" w14:textId="77777777" w:rsidR="00286CAF" w:rsidRDefault="00286CAF" w:rsidP="005A1D4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7B2B778D" w14:textId="065BE34C" w:rsidR="00FC2E3F" w:rsidRPr="00FC2E3F" w:rsidRDefault="00FC2E3F" w:rsidP="005A1D4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 los riesgos de gestión </w:t>
            </w:r>
            <w:r w:rsidR="00286CA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evidencia </w:t>
            </w:r>
            <w:r w:rsidR="00286C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</w:t>
            </w:r>
            <w:r w:rsidR="00286CA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ejecución de los controles definidos y de las actividades de mitigación propuestas.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602C" w14:textId="52F62740" w:rsidR="00FC2E3F" w:rsidRPr="00FC2E3F" w:rsidRDefault="00286CAF" w:rsidP="00362565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evisar los controles y las actividades de mitigación dado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ya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que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es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posible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se evit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e, controle o elimine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las causas que generan el riesgo.</w:t>
            </w:r>
          </w:p>
        </w:tc>
      </w:tr>
      <w:tr w:rsidR="00FC2E3F" w:rsidRPr="00FC2E3F" w14:paraId="471F7A9B" w14:textId="77777777" w:rsidTr="00E21311">
        <w:trPr>
          <w:trHeight w:val="14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25DC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Gestión de Sistemas de Información y Tecnología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5C2" w14:textId="2D6EF60A" w:rsidR="00FC2E3F" w:rsidRPr="00FC2E3F" w:rsidRDefault="00FC2E3F" w:rsidP="00FC2E3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 evidencia seguimiento a los planes definidos por el proceso, de acuerdo a la actividad de mitigación definida; sin embargo</w:t>
            </w:r>
            <w:r w:rsidR="005A1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 definición de la estrategia o actividades para cumplir los lineamientos de los planes del proceso no es clara y no permite evidenciar  el grado de avance y estado de los mismos.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FF57" w14:textId="28DC8587" w:rsidR="00FC2E3F" w:rsidRPr="00FC2E3F" w:rsidRDefault="00362565" w:rsidP="002840E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</w:t>
            </w:r>
            <w:r w:rsidR="00284E97" w:rsidRPr="00284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ejorar </w:t>
            </w:r>
            <w:r w:rsidR="00284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redacción de los controles definidos, </w:t>
            </w:r>
            <w:r w:rsidR="00284E97" w:rsidRPr="00284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tipo de tr</w:t>
            </w:r>
            <w:r w:rsidR="00284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atamiento y acciones de mejoras ya </w:t>
            </w:r>
            <w:r w:rsidR="002840E7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que </w:t>
            </w:r>
            <w:r w:rsidR="00284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probabilidad de ocurrencia puede ser probable y en caso de la materialización del riesgo su impacto podría ser mayor, adicionalmente, es </w:t>
            </w:r>
            <w:r w:rsidR="002840E7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posible</w:t>
            </w:r>
            <w:r w:rsidR="00284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r w:rsidR="002840E7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se evit</w:t>
            </w:r>
            <w:r w:rsidR="00284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e, controle o elimine</w:t>
            </w:r>
            <w:r w:rsidR="002840E7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las causas que generan el riesgo.</w:t>
            </w:r>
            <w:r w:rsidR="00284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C2E3F" w:rsidRPr="00FC2E3F" w14:paraId="00240379" w14:textId="77777777" w:rsidTr="00E21311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986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Control Interno Disciplinario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BA8" w14:textId="77777777" w:rsidR="00FC2E3F" w:rsidRPr="00FC2E3F" w:rsidRDefault="00FC2E3F" w:rsidP="00FC2E3F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 los riesgos "Pérdida de piezas procesales o del expediente" y "Incumpliendo en las respuestas" se evidencia ejecución de las actividades de mitigación y ejecución de los controles definidos.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BC9" w14:textId="622D42EE" w:rsidR="00FC2E3F" w:rsidRPr="00FC2E3F" w:rsidRDefault="00362565" w:rsidP="00844E6D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evisar el contexto del proceso y </w:t>
            </w:r>
            <w:r w:rsidR="005A1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analizar la pertinencia de 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definir nuevos riesgos de gestión y corrupción</w:t>
            </w:r>
            <w:r w:rsidR="00284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dado que por el alcance del proceso se pueden presentar el riesgo de </w:t>
            </w:r>
            <w:r w:rsidR="00844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vulneración de la información o incumplimiento en las etapas de los procesos ordinarios.</w:t>
            </w:r>
          </w:p>
        </w:tc>
      </w:tr>
      <w:tr w:rsidR="00FC2E3F" w:rsidRPr="00FC2E3F" w14:paraId="4A0E6CBA" w14:textId="77777777" w:rsidTr="00E21311">
        <w:trPr>
          <w:trHeight w:val="9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968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Gestión Financiera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10D8" w14:textId="4B7CE952" w:rsidR="00FC2E3F" w:rsidRPr="00FC2E3F" w:rsidRDefault="00FC2E3F" w:rsidP="002931A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 evidencia aplicación de los controles definidos y ejecución de las actividades de mitigación correspondientes a los 4 riesgos de gestión definidos por el proceso.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212B" w14:textId="42BDD9C2" w:rsidR="00FC2E3F" w:rsidRPr="00FC2E3F" w:rsidRDefault="00362565" w:rsidP="00844E6D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ejorar la redacción de los riesgos, ajustar la evaluación del riesgo residual  y revisar </w:t>
            </w:r>
            <w:r w:rsidR="00844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los controles de los mismos; ya </w:t>
            </w:r>
            <w:r w:rsidR="00844E6D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que </w:t>
            </w:r>
            <w:r w:rsidR="00844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probabilidad de ocurrencia de los riesgos definidos  puede ser más alta  y en caso de la materialización de alguno de los riesgos su impacto podría ser mayor o catastrófico, adicionalmente, es </w:t>
            </w:r>
            <w:r w:rsidR="00844E6D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posible</w:t>
            </w:r>
            <w:r w:rsidR="00844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r w:rsidR="00844E6D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se evit</w:t>
            </w:r>
            <w:r w:rsidR="00844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e, controle o elimine</w:t>
            </w:r>
            <w:r w:rsidR="00844E6D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las causas que generan el riesgo.</w:t>
            </w:r>
          </w:p>
        </w:tc>
      </w:tr>
      <w:tr w:rsidR="00FC2E3F" w:rsidRPr="00FC2E3F" w14:paraId="3A486FD5" w14:textId="77777777" w:rsidTr="00E21311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A06" w14:textId="77777777" w:rsidR="00FC2E3F" w:rsidRPr="00FC2E3F" w:rsidRDefault="00FC2E3F" w:rsidP="00E6635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Seguimiento y Evaluación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279" w14:textId="3D831AB7" w:rsidR="00FC2E3F" w:rsidRPr="00FC2E3F" w:rsidRDefault="00FC2E3F" w:rsidP="000C7079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proceso </w:t>
            </w:r>
            <w:r w:rsidRPr="00FF29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realizado monitoreo a los dos riesgos de gestión y al riesgo de corrupción; se evidencia que </w:t>
            </w:r>
            <w:r w:rsidRPr="00FF29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está</w:t>
            </w:r>
            <w:r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proceso la actualización de la documentación  y se ha dado cumplimiento a lo definido en el Plan Anual de Auditorías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1EF" w14:textId="6FB2D891" w:rsidR="00FC2E3F" w:rsidRPr="00FC2E3F" w:rsidRDefault="00362565" w:rsidP="00844E6D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</w:t>
            </w:r>
            <w:r w:rsidR="00FC2E3F" w:rsidRPr="00FC2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evisar el contexto del proceso y así definir nuevos </w:t>
            </w:r>
            <w:r w:rsidR="00844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riesgos de gestión y corrupción dado que por el alcance del proceso se pueden presentar diferentes riesgos en la ejecución del Plan Anual de Auditorias y en la evaluación de la gestión de la entidad.</w:t>
            </w:r>
          </w:p>
        </w:tc>
      </w:tr>
    </w:tbl>
    <w:p w14:paraId="6690BD39" w14:textId="77777777" w:rsidR="00782980" w:rsidRDefault="00782980" w:rsidP="00730430">
      <w:pPr>
        <w:pStyle w:val="m7007535857312232601gmail-msolistparagraph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b/>
          <w:bCs/>
          <w:sz w:val="28"/>
          <w:szCs w:val="44"/>
        </w:rPr>
      </w:pPr>
    </w:p>
    <w:p w14:paraId="59B81FE7" w14:textId="77777777" w:rsidR="00782980" w:rsidRDefault="00782980" w:rsidP="00730430">
      <w:pPr>
        <w:pStyle w:val="m7007535857312232601gmail-msolistparagraph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b/>
          <w:bCs/>
          <w:sz w:val="28"/>
          <w:szCs w:val="44"/>
        </w:rPr>
      </w:pPr>
    </w:p>
    <w:p w14:paraId="31C527AF" w14:textId="37AC4F6F" w:rsidR="009E0B85" w:rsidRPr="00730430" w:rsidRDefault="00FC2E3F" w:rsidP="00730430">
      <w:pPr>
        <w:pStyle w:val="m7007535857312232601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b/>
          <w:bCs/>
          <w:sz w:val="28"/>
          <w:szCs w:val="44"/>
        </w:rPr>
      </w:pPr>
      <w:r w:rsidRPr="00730430">
        <w:rPr>
          <w:rFonts w:ascii="Arial" w:hAnsi="Arial" w:cs="Arial"/>
          <w:b/>
          <w:bCs/>
          <w:sz w:val="28"/>
          <w:szCs w:val="44"/>
        </w:rPr>
        <w:t>Conclusiones</w:t>
      </w:r>
    </w:p>
    <w:p w14:paraId="07ACC5DA" w14:textId="77777777" w:rsidR="00782980" w:rsidRDefault="00782980" w:rsidP="0073043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0A2EE303" w14:textId="77777777" w:rsidR="00782980" w:rsidRDefault="00782980" w:rsidP="0073043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763DC4E" w14:textId="1247F29B" w:rsidR="000F3B1D" w:rsidRDefault="000F3B1D" w:rsidP="0068367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F3B1D">
        <w:rPr>
          <w:rFonts w:ascii="Arial" w:hAnsi="Arial" w:cs="Arial"/>
          <w:sz w:val="20"/>
          <w:szCs w:val="20"/>
        </w:rPr>
        <w:t xml:space="preserve">Para la vigencia 2019 se identificaron y documentaron 9 riesgos de corrupción y 37 riesgos de gestión a los que se les realizó seguimiento </w:t>
      </w:r>
      <w:r w:rsidR="000E00A7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el primer cuatrimestre del año.</w:t>
      </w:r>
    </w:p>
    <w:p w14:paraId="6D32EBCA" w14:textId="77777777" w:rsidR="000326B1" w:rsidRPr="000326B1" w:rsidRDefault="000326B1" w:rsidP="000326B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03DC0F9" w14:textId="51FBC048" w:rsidR="000326B1" w:rsidRPr="000326B1" w:rsidRDefault="000F3B1D" w:rsidP="0068367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A79EC">
        <w:rPr>
          <w:rFonts w:ascii="Arial" w:hAnsi="Arial" w:cs="Arial"/>
          <w:sz w:val="20"/>
          <w:szCs w:val="20"/>
        </w:rPr>
        <w:t xml:space="preserve">Con el fin de evitar la materialización de los riesgos identificados se definieron en el </w:t>
      </w:r>
      <w:r>
        <w:rPr>
          <w:rFonts w:ascii="Arial" w:hAnsi="Arial" w:cs="Arial"/>
          <w:sz w:val="20"/>
          <w:szCs w:val="20"/>
        </w:rPr>
        <w:t>mapa de riesgos de corrupción 16</w:t>
      </w:r>
      <w:r w:rsidRPr="00DA79EC">
        <w:rPr>
          <w:rFonts w:ascii="Arial" w:hAnsi="Arial" w:cs="Arial"/>
          <w:sz w:val="20"/>
          <w:szCs w:val="20"/>
        </w:rPr>
        <w:t xml:space="preserve"> actividades de mejora y/o prevención y en </w:t>
      </w:r>
      <w:r>
        <w:rPr>
          <w:rFonts w:ascii="Arial" w:hAnsi="Arial" w:cs="Arial"/>
          <w:sz w:val="20"/>
          <w:szCs w:val="20"/>
        </w:rPr>
        <w:t>el mapa de riesgos de proceso 44</w:t>
      </w:r>
      <w:r w:rsidRPr="00DA79EC">
        <w:rPr>
          <w:rFonts w:ascii="Arial" w:hAnsi="Arial" w:cs="Arial"/>
          <w:sz w:val="20"/>
          <w:szCs w:val="20"/>
        </w:rPr>
        <w:t xml:space="preserve"> actividades</w:t>
      </w:r>
      <w:r w:rsidR="000E00A7">
        <w:rPr>
          <w:rFonts w:ascii="Arial" w:hAnsi="Arial" w:cs="Arial"/>
          <w:sz w:val="20"/>
          <w:szCs w:val="20"/>
        </w:rPr>
        <w:t>,</w:t>
      </w:r>
      <w:r w:rsidRPr="00DA79EC">
        <w:rPr>
          <w:rFonts w:ascii="Arial" w:hAnsi="Arial" w:cs="Arial"/>
          <w:sz w:val="20"/>
          <w:szCs w:val="20"/>
        </w:rPr>
        <w:t xml:space="preserve"> con el ánimo de contribuir a la mejora continua de los procesos.</w:t>
      </w:r>
    </w:p>
    <w:p w14:paraId="5CB11111" w14:textId="77777777" w:rsidR="000F3B1D" w:rsidRPr="00DA79EC" w:rsidRDefault="000F3B1D" w:rsidP="000F3B1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0FE89472" w14:textId="5142F9CB" w:rsidR="000F3B1D" w:rsidRDefault="000F3B1D" w:rsidP="0068367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90E3C">
        <w:rPr>
          <w:rFonts w:ascii="Arial" w:hAnsi="Arial" w:cs="Arial"/>
          <w:sz w:val="20"/>
          <w:szCs w:val="20"/>
        </w:rPr>
        <w:t xml:space="preserve">Durante la vigencia 2019 no se evidencia la materialización de </w:t>
      </w:r>
      <w:r w:rsidR="00782980">
        <w:rPr>
          <w:rFonts w:ascii="Arial" w:hAnsi="Arial" w:cs="Arial"/>
          <w:sz w:val="20"/>
          <w:szCs w:val="20"/>
        </w:rPr>
        <w:t xml:space="preserve">los </w:t>
      </w:r>
      <w:r w:rsidRPr="00190E3C">
        <w:rPr>
          <w:rFonts w:ascii="Arial" w:hAnsi="Arial" w:cs="Arial"/>
          <w:sz w:val="20"/>
          <w:szCs w:val="20"/>
        </w:rPr>
        <w:t>riesgo</w:t>
      </w:r>
      <w:r w:rsidR="00782980">
        <w:rPr>
          <w:rFonts w:ascii="Arial" w:hAnsi="Arial" w:cs="Arial"/>
          <w:sz w:val="20"/>
          <w:szCs w:val="20"/>
        </w:rPr>
        <w:t>s</w:t>
      </w:r>
      <w:r w:rsidRPr="00190E3C">
        <w:rPr>
          <w:rFonts w:ascii="Arial" w:hAnsi="Arial" w:cs="Arial"/>
          <w:sz w:val="20"/>
          <w:szCs w:val="20"/>
        </w:rPr>
        <w:t xml:space="preserve"> </w:t>
      </w:r>
      <w:r w:rsidR="00782980">
        <w:rPr>
          <w:rFonts w:ascii="Arial" w:hAnsi="Arial" w:cs="Arial"/>
          <w:sz w:val="20"/>
          <w:szCs w:val="20"/>
        </w:rPr>
        <w:t>identificados</w:t>
      </w:r>
      <w:r w:rsidRPr="00190E3C">
        <w:rPr>
          <w:rFonts w:ascii="Arial" w:hAnsi="Arial" w:cs="Arial"/>
          <w:sz w:val="20"/>
          <w:szCs w:val="20"/>
        </w:rPr>
        <w:t xml:space="preserve">. </w:t>
      </w:r>
    </w:p>
    <w:p w14:paraId="475119B0" w14:textId="77777777" w:rsidR="00B844B0" w:rsidRPr="00B844B0" w:rsidRDefault="00B844B0" w:rsidP="00B844B0">
      <w:pPr>
        <w:pStyle w:val="Prrafodelista"/>
        <w:rPr>
          <w:rFonts w:ascii="Arial" w:hAnsi="Arial" w:cs="Arial"/>
          <w:sz w:val="20"/>
          <w:szCs w:val="20"/>
        </w:rPr>
      </w:pPr>
    </w:p>
    <w:p w14:paraId="50577C87" w14:textId="619A9970" w:rsidR="00B844B0" w:rsidRDefault="00B844B0" w:rsidP="0068367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el presente informe se dan recomendaciones a los procesos que hacen parte del IDPC</w:t>
      </w:r>
      <w:r w:rsidR="00EA0D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el fin de que se detecten las causas </w:t>
      </w:r>
      <w:r w:rsidR="00EA0D08">
        <w:rPr>
          <w:rFonts w:ascii="Arial" w:hAnsi="Arial" w:cs="Arial"/>
          <w:sz w:val="20"/>
          <w:szCs w:val="20"/>
        </w:rPr>
        <w:t xml:space="preserve">reales que generan los riesgos </w:t>
      </w:r>
      <w:r>
        <w:rPr>
          <w:rFonts w:ascii="Arial" w:hAnsi="Arial" w:cs="Arial"/>
          <w:sz w:val="20"/>
          <w:szCs w:val="20"/>
        </w:rPr>
        <w:t xml:space="preserve">y </w:t>
      </w:r>
      <w:r w:rsidR="00EA0D08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formulen actividades de </w:t>
      </w:r>
      <w:r w:rsidR="00EA0D08">
        <w:rPr>
          <w:rFonts w:ascii="Arial" w:hAnsi="Arial" w:cs="Arial"/>
          <w:sz w:val="20"/>
          <w:szCs w:val="20"/>
        </w:rPr>
        <w:t xml:space="preserve">mejora </w:t>
      </w:r>
      <w:r>
        <w:rPr>
          <w:rFonts w:ascii="Arial" w:hAnsi="Arial" w:cs="Arial"/>
          <w:sz w:val="20"/>
          <w:szCs w:val="20"/>
        </w:rPr>
        <w:t>qu</w:t>
      </w:r>
      <w:r w:rsidR="00EA0D08">
        <w:rPr>
          <w:rFonts w:ascii="Arial" w:hAnsi="Arial" w:cs="Arial"/>
          <w:sz w:val="20"/>
          <w:szCs w:val="20"/>
        </w:rPr>
        <w:t>e eviten la materialización de los mismos.</w:t>
      </w:r>
    </w:p>
    <w:p w14:paraId="373D22D9" w14:textId="77777777" w:rsidR="000F3B1D" w:rsidRPr="000F3B1D" w:rsidRDefault="000F3B1D" w:rsidP="000F3B1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C1C2264" w14:textId="77777777" w:rsidR="000326B1" w:rsidRDefault="000F3B1D" w:rsidP="0068367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13CB2">
        <w:rPr>
          <w:rFonts w:ascii="Arial" w:hAnsi="Arial" w:cs="Arial"/>
          <w:sz w:val="20"/>
          <w:szCs w:val="20"/>
        </w:rPr>
        <w:t>Se deben identificar y documentar los riesgos relacionados al proceso de Gestión Territorial del Patrimonio</w:t>
      </w:r>
      <w:r w:rsidR="00782980">
        <w:rPr>
          <w:rFonts w:ascii="Arial" w:hAnsi="Arial" w:cs="Arial"/>
          <w:sz w:val="20"/>
          <w:szCs w:val="20"/>
        </w:rPr>
        <w:t>.</w:t>
      </w:r>
    </w:p>
    <w:p w14:paraId="6A305E49" w14:textId="77777777" w:rsidR="000326B1" w:rsidRPr="000326B1" w:rsidRDefault="000326B1" w:rsidP="000326B1">
      <w:pPr>
        <w:pStyle w:val="Prrafodelista"/>
        <w:rPr>
          <w:rFonts w:ascii="Arial" w:hAnsi="Arial" w:cs="Arial"/>
          <w:sz w:val="20"/>
          <w:szCs w:val="20"/>
        </w:rPr>
      </w:pPr>
    </w:p>
    <w:p w14:paraId="654F1B39" w14:textId="1E6029CD" w:rsidR="000F3B1D" w:rsidRPr="000326B1" w:rsidRDefault="00782980" w:rsidP="0068367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326B1">
        <w:rPr>
          <w:rFonts w:ascii="Arial" w:hAnsi="Arial" w:cs="Arial"/>
          <w:sz w:val="20"/>
          <w:szCs w:val="20"/>
        </w:rPr>
        <w:t>Los procesos deberían atender las recomendaciones citadas en este documento con el fin de evitar la materialización de los riesgos identificados.</w:t>
      </w:r>
    </w:p>
    <w:p w14:paraId="5624C3C4" w14:textId="77777777" w:rsidR="000F3B1D" w:rsidRPr="000F3B1D" w:rsidRDefault="000F3B1D" w:rsidP="000F3B1D">
      <w:p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</w:p>
    <w:sectPr w:rsidR="000F3B1D" w:rsidRPr="000F3B1D" w:rsidSect="00FC2E3F">
      <w:headerReference w:type="default" r:id="rId10"/>
      <w:footerReference w:type="default" r:id="rId11"/>
      <w:pgSz w:w="12240" w:h="15840" w:code="1"/>
      <w:pgMar w:top="1559" w:right="1701" w:bottom="680" w:left="1701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3BE0A" w14:textId="77777777" w:rsidR="004E1793" w:rsidRDefault="004E1793">
      <w:pPr>
        <w:spacing w:line="240" w:lineRule="auto"/>
      </w:pPr>
      <w:r>
        <w:separator/>
      </w:r>
    </w:p>
  </w:endnote>
  <w:endnote w:type="continuationSeparator" w:id="0">
    <w:p w14:paraId="0F063D9E" w14:textId="77777777" w:rsidR="004E1793" w:rsidRDefault="004E1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LT condensed light">
    <w:altName w:val="Times New Roman"/>
    <w:charset w:val="01"/>
    <w:family w:val="roman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932A2" w14:textId="77777777" w:rsidR="001B147A" w:rsidRDefault="001B147A">
    <w:pPr>
      <w:pStyle w:val="Piedepgina"/>
      <w:tabs>
        <w:tab w:val="center" w:pos="4419"/>
        <w:tab w:val="right" w:pos="8838"/>
        <w:tab w:val="right" w:pos="11340"/>
      </w:tabs>
      <w:rPr>
        <w:rFonts w:ascii="Arial" w:hAnsi="Arial"/>
        <w:sz w:val="12"/>
        <w:szCs w:val="12"/>
      </w:rPr>
    </w:pPr>
    <w:r>
      <w:rPr>
        <w:rFonts w:ascii="Arial" w:hAnsi="Arial"/>
        <w:noProof/>
        <w:sz w:val="12"/>
        <w:szCs w:val="12"/>
        <w:lang w:eastAsia="es-ES"/>
      </w:rPr>
      <mc:AlternateContent>
        <mc:Choice Requires="wps">
          <w:drawing>
            <wp:anchor distT="0" distB="0" distL="0" distR="0" simplePos="0" relativeHeight="2" behindDoc="1" locked="0" layoutInCell="1" allowOverlap="1" wp14:anchorId="562BF7E0" wp14:editId="6FD128AF">
              <wp:simplePos x="0" y="0"/>
              <wp:positionH relativeFrom="column">
                <wp:posOffset>2008505</wp:posOffset>
              </wp:positionH>
              <wp:positionV relativeFrom="paragraph">
                <wp:posOffset>73025</wp:posOffset>
              </wp:positionV>
              <wp:extent cx="3175" cy="1905"/>
              <wp:effectExtent l="0" t="0" r="0" b="0"/>
              <wp:wrapNone/>
              <wp:docPr id="2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240" cy="1800"/>
                      </a:xfrm>
                      <a:prstGeom prst="line">
                        <a:avLst/>
                      </a:prstGeom>
                      <a:ln w="17640">
                        <a:solidFill>
                          <a:srgbClr val="333333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CB8C426" id="Image1" o:spid="_x0000_s1026" style="position:absolute;flip:x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8.15pt,5.75pt" to="158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" strokecolor="#333" strokeweight=".49mm"/>
          </w:pict>
        </mc:Fallback>
      </mc:AlternateContent>
    </w:r>
    <w:r>
      <w:rPr>
        <w:rFonts w:ascii="Arial" w:hAnsi="Arial"/>
        <w:noProof/>
        <w:sz w:val="12"/>
        <w:szCs w:val="12"/>
        <w:lang w:eastAsia="es-ES"/>
      </w:rPr>
      <w:drawing>
        <wp:anchor distT="0" distB="0" distL="0" distR="0" simplePos="0" relativeHeight="4" behindDoc="1" locked="0" layoutInCell="1" allowOverlap="1" wp14:anchorId="4612B962" wp14:editId="575ECF86">
          <wp:simplePos x="0" y="0"/>
          <wp:positionH relativeFrom="column">
            <wp:posOffset>4612640</wp:posOffset>
          </wp:positionH>
          <wp:positionV relativeFrom="paragraph">
            <wp:posOffset>42545</wp:posOffset>
          </wp:positionV>
          <wp:extent cx="1000125" cy="749935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381858" w14:textId="77777777" w:rsidR="001B147A" w:rsidRDefault="001B147A">
    <w:pPr>
      <w:pStyle w:val="Piedepgina"/>
      <w:tabs>
        <w:tab w:val="center" w:pos="4419"/>
        <w:tab w:val="right" w:pos="8838"/>
        <w:tab w:val="right" w:pos="11340"/>
      </w:tabs>
    </w:pPr>
    <w:r>
      <w:rPr>
        <w:rFonts w:ascii="Arial" w:hAnsi="Arial"/>
        <w:sz w:val="18"/>
        <w:szCs w:val="18"/>
      </w:rPr>
      <w:t xml:space="preserve">Calle 8 # 8-52 </w:t>
    </w:r>
  </w:p>
  <w:p w14:paraId="770A90E0" w14:textId="77777777" w:rsidR="001B147A" w:rsidRDefault="001B147A">
    <w:pPr>
      <w:pStyle w:val="Piedepgina"/>
      <w:tabs>
        <w:tab w:val="center" w:pos="4419"/>
        <w:tab w:val="right" w:pos="8838"/>
        <w:tab w:val="right" w:pos="11340"/>
      </w:tabs>
    </w:pPr>
    <w:r>
      <w:rPr>
        <w:rFonts w:ascii="Arial" w:hAnsi="Arial"/>
        <w:sz w:val="18"/>
        <w:szCs w:val="18"/>
      </w:rPr>
      <w:t>Teléfono: 355 0800</w:t>
    </w:r>
  </w:p>
  <w:p w14:paraId="6B64E852" w14:textId="77777777" w:rsidR="001B147A" w:rsidRDefault="001B147A">
    <w:pPr>
      <w:pStyle w:val="Piedepgina"/>
      <w:tabs>
        <w:tab w:val="center" w:pos="4419"/>
        <w:tab w:val="right" w:pos="8838"/>
        <w:tab w:val="right" w:pos="11340"/>
      </w:tabs>
    </w:pPr>
    <w:r>
      <w:rPr>
        <w:rFonts w:ascii="Arial" w:hAnsi="Arial"/>
        <w:sz w:val="18"/>
        <w:szCs w:val="18"/>
      </w:rPr>
      <w:t xml:space="preserve">www.idpc.gov.co </w:t>
    </w:r>
  </w:p>
  <w:p w14:paraId="193170E0" w14:textId="77777777" w:rsidR="001B147A" w:rsidRDefault="001B147A">
    <w:pPr>
      <w:pStyle w:val="Piedepgina"/>
      <w:tabs>
        <w:tab w:val="center" w:pos="4419"/>
        <w:tab w:val="right" w:pos="8838"/>
        <w:tab w:val="right" w:pos="11340"/>
      </w:tabs>
    </w:pPr>
    <w:bookmarkStart w:id="1" w:name="__DdeLink__5600_836831347"/>
    <w:bookmarkEnd w:id="1"/>
    <w:r>
      <w:rPr>
        <w:rFonts w:ascii="Arial" w:hAnsi="Arial"/>
        <w:sz w:val="18"/>
        <w:szCs w:val="18"/>
      </w:rPr>
      <w:t>Información: Línea 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2FEE" w14:textId="77777777" w:rsidR="004E1793" w:rsidRDefault="004E1793">
      <w:pPr>
        <w:spacing w:line="240" w:lineRule="auto"/>
      </w:pPr>
      <w:r>
        <w:separator/>
      </w:r>
    </w:p>
  </w:footnote>
  <w:footnote w:type="continuationSeparator" w:id="0">
    <w:p w14:paraId="560BC47F" w14:textId="77777777" w:rsidR="004E1793" w:rsidRDefault="004E1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811D" w14:textId="77777777" w:rsidR="001B147A" w:rsidRDefault="001B147A">
    <w:pPr>
      <w:pStyle w:val="Encabezamiento"/>
      <w:jc w:val="center"/>
      <w:rPr>
        <w:rFonts w:ascii="Arial" w:eastAsia="Arial" w:hAnsi="Arial" w:cs="Arial"/>
        <w:b/>
        <w:bCs/>
        <w:sz w:val="18"/>
        <w:szCs w:val="18"/>
        <w:lang w:eastAsia="es-ES" w:bidi="es-ES"/>
      </w:rPr>
    </w:pPr>
    <w:r>
      <w:rPr>
        <w:rFonts w:ascii="Arial" w:eastAsia="Arial" w:hAnsi="Arial" w:cs="Arial"/>
        <w:b/>
        <w:bCs/>
        <w:noProof/>
        <w:sz w:val="18"/>
        <w:szCs w:val="18"/>
        <w:lang w:eastAsia="es-ES"/>
      </w:rPr>
      <w:drawing>
        <wp:anchor distT="0" distB="0" distL="0" distR="0" simplePos="0" relativeHeight="251659776" behindDoc="1" locked="0" layoutInCell="1" allowOverlap="1" wp14:anchorId="071175D5" wp14:editId="43E2282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56565" cy="52514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07EFFA" w14:textId="77777777" w:rsidR="001B147A" w:rsidRDefault="001B147A">
    <w:pPr>
      <w:pStyle w:val="Encabezamiento"/>
      <w:jc w:val="center"/>
      <w:rPr>
        <w:rFonts w:ascii="Arial" w:eastAsia="Arial" w:hAnsi="Arial" w:cs="Arial"/>
        <w:b/>
        <w:bCs/>
        <w:sz w:val="18"/>
        <w:szCs w:val="18"/>
        <w:lang w:eastAsia="es-ES" w:bidi="es-ES"/>
      </w:rPr>
    </w:pPr>
  </w:p>
  <w:p w14:paraId="348E3DBC" w14:textId="77777777" w:rsidR="001B147A" w:rsidRDefault="001B147A">
    <w:pPr>
      <w:pStyle w:val="Encabezamiento"/>
      <w:rPr>
        <w:rFonts w:ascii="Arial" w:eastAsia="Arial" w:hAnsi="Arial" w:cs="Arial"/>
        <w:b/>
        <w:bCs/>
        <w:sz w:val="18"/>
        <w:szCs w:val="18"/>
        <w:lang w:eastAsia="es-ES" w:bidi="es-ES"/>
      </w:rPr>
    </w:pPr>
  </w:p>
  <w:p w14:paraId="4FE32F23" w14:textId="77777777" w:rsidR="001B147A" w:rsidRDefault="001B147A">
    <w:pPr>
      <w:pStyle w:val="Encabezamiento"/>
      <w:jc w:val="center"/>
      <w:rPr>
        <w:rFonts w:ascii="Helvetica LT condensed light" w:eastAsia="Andale Sans UI;Arial Unicode MS" w:hAnsi="Helvetica LT condensed light" w:cs="Lucidasans;Times New Roman"/>
        <w:b/>
        <w:bCs/>
        <w:sz w:val="20"/>
        <w:szCs w:val="20"/>
      </w:rPr>
    </w:pPr>
  </w:p>
  <w:p w14:paraId="59942363" w14:textId="77777777" w:rsidR="001B147A" w:rsidRDefault="001B147A">
    <w:pPr>
      <w:pStyle w:val="Encabezamiento"/>
      <w:jc w:val="center"/>
      <w:rPr>
        <w:rFonts w:ascii="Arial" w:eastAsia="Andale Sans UI;Arial Unicode MS" w:hAnsi="Arial" w:cs="Lucidasans;Times New Roman"/>
        <w:b/>
        <w:bCs/>
        <w:sz w:val="12"/>
        <w:szCs w:val="12"/>
      </w:rPr>
    </w:pPr>
    <w:r>
      <w:rPr>
        <w:rFonts w:ascii="Arial" w:eastAsia="Andale Sans UI;Arial Unicode MS" w:hAnsi="Arial" w:cs="Lucidasans;Times New Roman"/>
        <w:b/>
        <w:bCs/>
        <w:sz w:val="13"/>
        <w:szCs w:val="13"/>
      </w:rPr>
      <w:t>ALCALDÍA MAYOR</w:t>
    </w:r>
  </w:p>
  <w:p w14:paraId="231E665B" w14:textId="77777777" w:rsidR="001B147A" w:rsidRDefault="001B147A">
    <w:pPr>
      <w:pStyle w:val="Encabezamiento"/>
      <w:jc w:val="center"/>
      <w:rPr>
        <w:sz w:val="14"/>
        <w:szCs w:val="14"/>
        <w:u w:val="single"/>
      </w:rPr>
    </w:pPr>
    <w:r>
      <w:rPr>
        <w:rFonts w:ascii="Arial" w:eastAsia="Andale Sans UI;Arial Unicode MS" w:hAnsi="Arial" w:cs="Lucidasans;Times New Roman"/>
        <w:b/>
        <w:bCs/>
        <w:sz w:val="13"/>
        <w:szCs w:val="13"/>
        <w:u w:val="single"/>
      </w:rPr>
      <w:t xml:space="preserve">          DE BOGOTÁ D. C.</w:t>
    </w:r>
    <w:r>
      <w:rPr>
        <w:rFonts w:ascii="Arial" w:eastAsia="Andale Sans UI;Arial Unicode MS" w:hAnsi="Arial" w:cs="Lucidasans;Times New Roman"/>
        <w:b/>
        <w:bCs/>
        <w:sz w:val="14"/>
        <w:szCs w:val="14"/>
        <w:u w:val="single"/>
      </w:rPr>
      <w:t xml:space="preserve">         </w:t>
    </w:r>
  </w:p>
  <w:p w14:paraId="60497F48" w14:textId="77777777" w:rsidR="001B147A" w:rsidRDefault="001B147A">
    <w:pPr>
      <w:pStyle w:val="Encabezamiento"/>
      <w:jc w:val="center"/>
      <w:rPr>
        <w:rFonts w:ascii="Arial" w:eastAsia="Andale Sans UI;Arial Unicode MS" w:hAnsi="Arial" w:cs="Lucidasans;Times New Roman"/>
        <w:b/>
        <w:bCs/>
        <w:sz w:val="10"/>
        <w:szCs w:val="10"/>
        <w:u w:val="single"/>
      </w:rPr>
    </w:pPr>
    <w:r>
      <w:rPr>
        <w:rFonts w:ascii="Arial" w:eastAsia="Andale Sans UI;Arial Unicode MS" w:hAnsi="Arial" w:cs="Lucidasans;Times New Roman"/>
        <w:b/>
        <w:bCs/>
        <w:sz w:val="10"/>
        <w:szCs w:val="10"/>
      </w:rPr>
      <w:t xml:space="preserve"> </w:t>
    </w:r>
    <w:r>
      <w:rPr>
        <w:rFonts w:ascii="Arial" w:eastAsia="Andale Sans UI;Arial Unicode MS" w:hAnsi="Arial" w:cs="Lucidasans;Times New Roman"/>
        <w:sz w:val="10"/>
        <w:szCs w:val="10"/>
      </w:rPr>
      <w:t>CULTURA, RECREACIÓN Y DEPORTE</w:t>
    </w:r>
    <w:r>
      <w:rPr>
        <w:rFonts w:ascii="Arial" w:eastAsia="Andale Sans UI;Arial Unicode MS" w:hAnsi="Arial" w:cs="Lucidasans;Times New Roman"/>
        <w:b/>
        <w:bCs/>
        <w:sz w:val="10"/>
        <w:szCs w:val="10"/>
      </w:rPr>
      <w:t xml:space="preserve"> </w:t>
    </w:r>
  </w:p>
  <w:p w14:paraId="466880EA" w14:textId="65263610" w:rsidR="001B147A" w:rsidRPr="00425456" w:rsidRDefault="001B147A" w:rsidP="00425456">
    <w:pPr>
      <w:pStyle w:val="Encabezamiento"/>
      <w:jc w:val="center"/>
      <w:rPr>
        <w:rFonts w:ascii="Arial" w:eastAsia="Andale Sans UI;Arial Unicode MS" w:hAnsi="Arial" w:cs="Lucidasans;Times New Roman"/>
        <w:color w:val="000000"/>
        <w:sz w:val="14"/>
        <w:szCs w:val="14"/>
      </w:rPr>
    </w:pPr>
    <w:r>
      <w:rPr>
        <w:rFonts w:ascii="Arial" w:eastAsia="Andale Sans UI;Arial Unicode MS" w:hAnsi="Arial" w:cs="Lucidasans;Times New Roman"/>
        <w:color w:val="000000"/>
        <w:sz w:val="14"/>
        <w:szCs w:val="14"/>
      </w:rPr>
      <w:t>Instituto Distrital de Patrimonio Cultural</w:t>
    </w:r>
    <w:r w:rsidRPr="00547F42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E83"/>
    <w:multiLevelType w:val="hybridMultilevel"/>
    <w:tmpl w:val="BEC2B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244"/>
    <w:multiLevelType w:val="hybridMultilevel"/>
    <w:tmpl w:val="193A39BA"/>
    <w:lvl w:ilvl="0" w:tplc="0EBCB7A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25C"/>
    <w:multiLevelType w:val="hybridMultilevel"/>
    <w:tmpl w:val="DC183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604C"/>
    <w:multiLevelType w:val="hybridMultilevel"/>
    <w:tmpl w:val="38662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D57"/>
    <w:multiLevelType w:val="hybridMultilevel"/>
    <w:tmpl w:val="3912E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67C"/>
    <w:multiLevelType w:val="hybridMultilevel"/>
    <w:tmpl w:val="7AB4AB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C62D9"/>
    <w:multiLevelType w:val="hybridMultilevel"/>
    <w:tmpl w:val="96D29050"/>
    <w:lvl w:ilvl="0" w:tplc="52340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8325C"/>
    <w:multiLevelType w:val="hybridMultilevel"/>
    <w:tmpl w:val="40708856"/>
    <w:lvl w:ilvl="0" w:tplc="3184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73F393D"/>
    <w:multiLevelType w:val="hybridMultilevel"/>
    <w:tmpl w:val="29A2A322"/>
    <w:lvl w:ilvl="0" w:tplc="0EBCB7A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A5410"/>
    <w:multiLevelType w:val="hybridMultilevel"/>
    <w:tmpl w:val="C938F12C"/>
    <w:lvl w:ilvl="0" w:tplc="0EBCB7A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B174B"/>
    <w:multiLevelType w:val="hybridMultilevel"/>
    <w:tmpl w:val="8C94B430"/>
    <w:lvl w:ilvl="0" w:tplc="983CE48C">
      <w:start w:val="2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66A5"/>
    <w:multiLevelType w:val="multilevel"/>
    <w:tmpl w:val="1CD0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EFD380F"/>
    <w:multiLevelType w:val="hybridMultilevel"/>
    <w:tmpl w:val="BD1A34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874AC"/>
    <w:multiLevelType w:val="hybridMultilevel"/>
    <w:tmpl w:val="8778A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C2A51"/>
    <w:multiLevelType w:val="hybridMultilevel"/>
    <w:tmpl w:val="2C8A2698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B4"/>
    <w:rsid w:val="000019BA"/>
    <w:rsid w:val="00015FB3"/>
    <w:rsid w:val="00023B74"/>
    <w:rsid w:val="000326B1"/>
    <w:rsid w:val="00034D7D"/>
    <w:rsid w:val="000467FD"/>
    <w:rsid w:val="000470B8"/>
    <w:rsid w:val="00047AD2"/>
    <w:rsid w:val="00081BE3"/>
    <w:rsid w:val="000C7079"/>
    <w:rsid w:val="000E00A7"/>
    <w:rsid w:val="000E0F4C"/>
    <w:rsid w:val="000F3B1D"/>
    <w:rsid w:val="000F5469"/>
    <w:rsid w:val="00101DEE"/>
    <w:rsid w:val="00105629"/>
    <w:rsid w:val="00123200"/>
    <w:rsid w:val="0013622D"/>
    <w:rsid w:val="00160C46"/>
    <w:rsid w:val="001802B0"/>
    <w:rsid w:val="0018595B"/>
    <w:rsid w:val="00190E3C"/>
    <w:rsid w:val="00194EAD"/>
    <w:rsid w:val="001B147A"/>
    <w:rsid w:val="001B4B93"/>
    <w:rsid w:val="001C5023"/>
    <w:rsid w:val="001C5997"/>
    <w:rsid w:val="001F17F1"/>
    <w:rsid w:val="001F4EE0"/>
    <w:rsid w:val="00247747"/>
    <w:rsid w:val="00264839"/>
    <w:rsid w:val="00277AAB"/>
    <w:rsid w:val="00280D62"/>
    <w:rsid w:val="002840E7"/>
    <w:rsid w:val="00284E97"/>
    <w:rsid w:val="00286CAF"/>
    <w:rsid w:val="00286E9A"/>
    <w:rsid w:val="002931A7"/>
    <w:rsid w:val="002A5A0E"/>
    <w:rsid w:val="002B67D1"/>
    <w:rsid w:val="002C3020"/>
    <w:rsid w:val="00306117"/>
    <w:rsid w:val="00315E91"/>
    <w:rsid w:val="0031610E"/>
    <w:rsid w:val="00334E93"/>
    <w:rsid w:val="003376B5"/>
    <w:rsid w:val="00341111"/>
    <w:rsid w:val="003540CC"/>
    <w:rsid w:val="00362565"/>
    <w:rsid w:val="003816DB"/>
    <w:rsid w:val="003858CC"/>
    <w:rsid w:val="003A2032"/>
    <w:rsid w:val="003A537E"/>
    <w:rsid w:val="003C477C"/>
    <w:rsid w:val="003D0E34"/>
    <w:rsid w:val="003F5459"/>
    <w:rsid w:val="00402517"/>
    <w:rsid w:val="00424004"/>
    <w:rsid w:val="0042523F"/>
    <w:rsid w:val="00425456"/>
    <w:rsid w:val="00427B0A"/>
    <w:rsid w:val="004311FE"/>
    <w:rsid w:val="004616E6"/>
    <w:rsid w:val="00475746"/>
    <w:rsid w:val="004815B4"/>
    <w:rsid w:val="004840BA"/>
    <w:rsid w:val="004923D5"/>
    <w:rsid w:val="004B5D76"/>
    <w:rsid w:val="004C1C9C"/>
    <w:rsid w:val="004C31A6"/>
    <w:rsid w:val="004C60DA"/>
    <w:rsid w:val="004D0EAF"/>
    <w:rsid w:val="004E1793"/>
    <w:rsid w:val="004E1B12"/>
    <w:rsid w:val="004E468F"/>
    <w:rsid w:val="004F0991"/>
    <w:rsid w:val="004F3964"/>
    <w:rsid w:val="0051079F"/>
    <w:rsid w:val="005126F0"/>
    <w:rsid w:val="005150C5"/>
    <w:rsid w:val="00547F42"/>
    <w:rsid w:val="00551DAE"/>
    <w:rsid w:val="00561793"/>
    <w:rsid w:val="00567126"/>
    <w:rsid w:val="005721C1"/>
    <w:rsid w:val="00574A83"/>
    <w:rsid w:val="005873AE"/>
    <w:rsid w:val="0059685A"/>
    <w:rsid w:val="005A1D40"/>
    <w:rsid w:val="005A54B0"/>
    <w:rsid w:val="005B2613"/>
    <w:rsid w:val="005C1FD6"/>
    <w:rsid w:val="005F4769"/>
    <w:rsid w:val="006053BE"/>
    <w:rsid w:val="0061648C"/>
    <w:rsid w:val="00653DA5"/>
    <w:rsid w:val="00683674"/>
    <w:rsid w:val="0069000D"/>
    <w:rsid w:val="00691C23"/>
    <w:rsid w:val="00692CD1"/>
    <w:rsid w:val="006A19D0"/>
    <w:rsid w:val="006B061C"/>
    <w:rsid w:val="006B08B7"/>
    <w:rsid w:val="006B0B9A"/>
    <w:rsid w:val="006B7078"/>
    <w:rsid w:val="006B75AA"/>
    <w:rsid w:val="006C71DD"/>
    <w:rsid w:val="006D493D"/>
    <w:rsid w:val="006D5DE2"/>
    <w:rsid w:val="006E4313"/>
    <w:rsid w:val="006F4A99"/>
    <w:rsid w:val="006F5FD3"/>
    <w:rsid w:val="00702564"/>
    <w:rsid w:val="00730430"/>
    <w:rsid w:val="00735AED"/>
    <w:rsid w:val="00745794"/>
    <w:rsid w:val="00782980"/>
    <w:rsid w:val="00783F2A"/>
    <w:rsid w:val="007C1C0D"/>
    <w:rsid w:val="007D56E3"/>
    <w:rsid w:val="007D7C70"/>
    <w:rsid w:val="007F3E87"/>
    <w:rsid w:val="00844E6D"/>
    <w:rsid w:val="0087767C"/>
    <w:rsid w:val="008925E3"/>
    <w:rsid w:val="008A11F2"/>
    <w:rsid w:val="008A2ACD"/>
    <w:rsid w:val="008A683F"/>
    <w:rsid w:val="008C6078"/>
    <w:rsid w:val="008E5943"/>
    <w:rsid w:val="008F6C1B"/>
    <w:rsid w:val="00910F0A"/>
    <w:rsid w:val="0092208C"/>
    <w:rsid w:val="00930B4A"/>
    <w:rsid w:val="0094563F"/>
    <w:rsid w:val="0095129B"/>
    <w:rsid w:val="00955D93"/>
    <w:rsid w:val="00955F0A"/>
    <w:rsid w:val="00964584"/>
    <w:rsid w:val="009853C4"/>
    <w:rsid w:val="009D03CE"/>
    <w:rsid w:val="009D3FFA"/>
    <w:rsid w:val="009E0B85"/>
    <w:rsid w:val="009E412C"/>
    <w:rsid w:val="009F0E0A"/>
    <w:rsid w:val="00A02D53"/>
    <w:rsid w:val="00A039BE"/>
    <w:rsid w:val="00A34673"/>
    <w:rsid w:val="00A523C3"/>
    <w:rsid w:val="00A527EE"/>
    <w:rsid w:val="00A61138"/>
    <w:rsid w:val="00A64BE2"/>
    <w:rsid w:val="00A67384"/>
    <w:rsid w:val="00A742C8"/>
    <w:rsid w:val="00A85CE7"/>
    <w:rsid w:val="00A90425"/>
    <w:rsid w:val="00A92273"/>
    <w:rsid w:val="00A938BF"/>
    <w:rsid w:val="00AA212B"/>
    <w:rsid w:val="00AB398E"/>
    <w:rsid w:val="00AC1DD9"/>
    <w:rsid w:val="00AD3486"/>
    <w:rsid w:val="00B07E3B"/>
    <w:rsid w:val="00B12286"/>
    <w:rsid w:val="00B16CA6"/>
    <w:rsid w:val="00B21CDB"/>
    <w:rsid w:val="00B27B00"/>
    <w:rsid w:val="00B47276"/>
    <w:rsid w:val="00B51ED3"/>
    <w:rsid w:val="00B8037B"/>
    <w:rsid w:val="00B844B0"/>
    <w:rsid w:val="00B851B0"/>
    <w:rsid w:val="00B85CD1"/>
    <w:rsid w:val="00B93676"/>
    <w:rsid w:val="00B9523A"/>
    <w:rsid w:val="00BA090F"/>
    <w:rsid w:val="00BA22DD"/>
    <w:rsid w:val="00BB40FB"/>
    <w:rsid w:val="00BB70DE"/>
    <w:rsid w:val="00BC2DC4"/>
    <w:rsid w:val="00BC43C0"/>
    <w:rsid w:val="00BD444A"/>
    <w:rsid w:val="00BE3A55"/>
    <w:rsid w:val="00BE574A"/>
    <w:rsid w:val="00BF25E3"/>
    <w:rsid w:val="00C01A0A"/>
    <w:rsid w:val="00C13CB2"/>
    <w:rsid w:val="00C14417"/>
    <w:rsid w:val="00C21699"/>
    <w:rsid w:val="00C32F78"/>
    <w:rsid w:val="00C36243"/>
    <w:rsid w:val="00C415FD"/>
    <w:rsid w:val="00C705EA"/>
    <w:rsid w:val="00C731BA"/>
    <w:rsid w:val="00C85428"/>
    <w:rsid w:val="00C93894"/>
    <w:rsid w:val="00C945A7"/>
    <w:rsid w:val="00CA0AA1"/>
    <w:rsid w:val="00CC3F09"/>
    <w:rsid w:val="00CD603E"/>
    <w:rsid w:val="00D04FCD"/>
    <w:rsid w:val="00D10BDE"/>
    <w:rsid w:val="00D26496"/>
    <w:rsid w:val="00D27F05"/>
    <w:rsid w:val="00D56C20"/>
    <w:rsid w:val="00DA6F70"/>
    <w:rsid w:val="00DA79EC"/>
    <w:rsid w:val="00DD19E6"/>
    <w:rsid w:val="00E1675C"/>
    <w:rsid w:val="00E21311"/>
    <w:rsid w:val="00E41C11"/>
    <w:rsid w:val="00E461FE"/>
    <w:rsid w:val="00E6441F"/>
    <w:rsid w:val="00E65DBD"/>
    <w:rsid w:val="00E66356"/>
    <w:rsid w:val="00E85F5E"/>
    <w:rsid w:val="00E86DC5"/>
    <w:rsid w:val="00E96278"/>
    <w:rsid w:val="00EA0D08"/>
    <w:rsid w:val="00EA3DA3"/>
    <w:rsid w:val="00EB345A"/>
    <w:rsid w:val="00EC1A50"/>
    <w:rsid w:val="00ED436B"/>
    <w:rsid w:val="00EF39CC"/>
    <w:rsid w:val="00F000F3"/>
    <w:rsid w:val="00F53C99"/>
    <w:rsid w:val="00F568C6"/>
    <w:rsid w:val="00F6643D"/>
    <w:rsid w:val="00F7105F"/>
    <w:rsid w:val="00F8628F"/>
    <w:rsid w:val="00F958A1"/>
    <w:rsid w:val="00F976E2"/>
    <w:rsid w:val="00FA041D"/>
    <w:rsid w:val="00FA3D1A"/>
    <w:rsid w:val="00FA4122"/>
    <w:rsid w:val="00FB5B55"/>
    <w:rsid w:val="00FC1F2F"/>
    <w:rsid w:val="00FC2369"/>
    <w:rsid w:val="00FC2E3F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4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 w:bidi="ar-SA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qFormat/>
    <w:pPr>
      <w:widowControl w:val="0"/>
      <w:suppressAutoHyphens/>
    </w:pPr>
    <w:rPr>
      <w:color w:val="00000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paragraph" w:customStyle="1" w:styleId="PreformattedText">
    <w:name w:val="Preformatted Text"/>
    <w:basedOn w:val="Normal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8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D62"/>
    <w:rPr>
      <w:rFonts w:ascii="Times New Roman" w:eastAsia="Arial Unicode MS" w:hAnsi="Times New Roman" w:cs="Tahoma"/>
      <w:color w:val="00000A"/>
      <w:szCs w:val="20"/>
      <w:lang w:val="es-ES" w:eastAsia="es-CO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D62"/>
    <w:rPr>
      <w:rFonts w:ascii="Times New Roman" w:eastAsia="Arial Unicode MS" w:hAnsi="Times New Roman" w:cs="Tahoma"/>
      <w:b/>
      <w:bCs/>
      <w:color w:val="00000A"/>
      <w:szCs w:val="20"/>
      <w:lang w:val="es-ES" w:eastAsia="es-CO" w:bidi="ar-SA"/>
    </w:rPr>
  </w:style>
  <w:style w:type="paragraph" w:styleId="Prrafodelista">
    <w:name w:val="List Paragraph"/>
    <w:basedOn w:val="Normal"/>
    <w:uiPriority w:val="34"/>
    <w:qFormat/>
    <w:rsid w:val="004757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A0E"/>
    <w:rPr>
      <w:color w:val="0563C1" w:themeColor="hyperlink"/>
      <w:u w:val="single"/>
    </w:rPr>
  </w:style>
  <w:style w:type="paragraph" w:customStyle="1" w:styleId="m7007535857312232601gmail-msolistparagraph">
    <w:name w:val="m_7007535857312232601gmail-msolistparagraph"/>
    <w:basedOn w:val="Normal"/>
    <w:rsid w:val="000F546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 w:bidi="ar-SA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qFormat/>
    <w:pPr>
      <w:widowControl w:val="0"/>
      <w:suppressAutoHyphens/>
    </w:pPr>
    <w:rPr>
      <w:color w:val="00000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paragraph" w:customStyle="1" w:styleId="PreformattedText">
    <w:name w:val="Preformatted Text"/>
    <w:basedOn w:val="Normal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8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D62"/>
    <w:rPr>
      <w:rFonts w:ascii="Times New Roman" w:eastAsia="Arial Unicode MS" w:hAnsi="Times New Roman" w:cs="Tahoma"/>
      <w:color w:val="00000A"/>
      <w:szCs w:val="20"/>
      <w:lang w:val="es-ES" w:eastAsia="es-CO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D62"/>
    <w:rPr>
      <w:rFonts w:ascii="Times New Roman" w:eastAsia="Arial Unicode MS" w:hAnsi="Times New Roman" w:cs="Tahoma"/>
      <w:b/>
      <w:bCs/>
      <w:color w:val="00000A"/>
      <w:szCs w:val="20"/>
      <w:lang w:val="es-ES" w:eastAsia="es-CO" w:bidi="ar-SA"/>
    </w:rPr>
  </w:style>
  <w:style w:type="paragraph" w:styleId="Prrafodelista">
    <w:name w:val="List Paragraph"/>
    <w:basedOn w:val="Normal"/>
    <w:uiPriority w:val="34"/>
    <w:qFormat/>
    <w:rsid w:val="004757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A0E"/>
    <w:rPr>
      <w:color w:val="0563C1" w:themeColor="hyperlink"/>
      <w:u w:val="single"/>
    </w:rPr>
  </w:style>
  <w:style w:type="paragraph" w:customStyle="1" w:styleId="m7007535857312232601gmail-msolistparagraph">
    <w:name w:val="m_7007535857312232601gmail-msolistparagraph"/>
    <w:basedOn w:val="Normal"/>
    <w:rsid w:val="000F546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riesgos de corrupción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Direccionamiento Estratégico</c:v>
                </c:pt>
                <c:pt idx="1">
                  <c:v>Fortalecimiento del SIG</c:v>
                </c:pt>
                <c:pt idx="2">
                  <c:v>Comunicación Estratégica</c:v>
                </c:pt>
                <c:pt idx="3">
                  <c:v>Atención a la Ciudadanía</c:v>
                </c:pt>
                <c:pt idx="4">
                  <c:v>Protección e intervención del Patrimonio </c:v>
                </c:pt>
                <c:pt idx="5">
                  <c:v>Divulgacion y apropiacion social del patrimonio </c:v>
                </c:pt>
                <c:pt idx="6">
                  <c:v>Gestión Talento Humano</c:v>
                </c:pt>
                <c:pt idx="7">
                  <c:v>Gestión Jurídica</c:v>
                </c:pt>
                <c:pt idx="8">
                  <c:v>Gestión Contractual</c:v>
                </c:pt>
                <c:pt idx="9">
                  <c:v>Gestión Documental</c:v>
                </c:pt>
                <c:pt idx="10">
                  <c:v>Administración de Bienes e Infraestructura</c:v>
                </c:pt>
                <c:pt idx="11">
                  <c:v>Gestión de Sistemas de Información y Tecnología</c:v>
                </c:pt>
                <c:pt idx="12">
                  <c:v>Control Interno Disciplinario</c:v>
                </c:pt>
                <c:pt idx="13">
                  <c:v>Gestión Financiera</c:v>
                </c:pt>
                <c:pt idx="14">
                  <c:v>Seguimiento y Evaluación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Total riesgos de Gestion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Direccionamiento Estratégico</c:v>
                </c:pt>
                <c:pt idx="1">
                  <c:v>Fortalecimiento del SIG</c:v>
                </c:pt>
                <c:pt idx="2">
                  <c:v>Comunicación Estratégica</c:v>
                </c:pt>
                <c:pt idx="3">
                  <c:v>Atención a la Ciudadanía</c:v>
                </c:pt>
                <c:pt idx="4">
                  <c:v>Protección e intervención del Patrimonio </c:v>
                </c:pt>
                <c:pt idx="5">
                  <c:v>Divulgacion y apropiacion social del patrimonio </c:v>
                </c:pt>
                <c:pt idx="6">
                  <c:v>Gestión Talento Humano</c:v>
                </c:pt>
                <c:pt idx="7">
                  <c:v>Gestión Jurídica</c:v>
                </c:pt>
                <c:pt idx="8">
                  <c:v>Gestión Contractual</c:v>
                </c:pt>
                <c:pt idx="9">
                  <c:v>Gestión Documental</c:v>
                </c:pt>
                <c:pt idx="10">
                  <c:v>Administración de Bienes e Infraestructura</c:v>
                </c:pt>
                <c:pt idx="11">
                  <c:v>Gestión de Sistemas de Información y Tecnología</c:v>
                </c:pt>
                <c:pt idx="12">
                  <c:v>Control Interno Disciplinario</c:v>
                </c:pt>
                <c:pt idx="13">
                  <c:v>Gestión Financiera</c:v>
                </c:pt>
                <c:pt idx="14">
                  <c:v>Seguimiento y Evaluación</c:v>
                </c:pt>
              </c:strCache>
            </c:strRef>
          </c:cat>
          <c:val>
            <c:numRef>
              <c:f>Hoja1!$C$2:$C$16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7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3302528"/>
        <c:axId val="133308416"/>
      </c:barChart>
      <c:catAx>
        <c:axId val="133302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133308416"/>
        <c:crosses val="autoZero"/>
        <c:auto val="1"/>
        <c:lblAlgn val="ctr"/>
        <c:lblOffset val="100"/>
        <c:noMultiLvlLbl val="0"/>
      </c:catAx>
      <c:valAx>
        <c:axId val="13330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3302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AFFF-BC21-4A50-B88A-7179875A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3046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Angela Castro</cp:lastModifiedBy>
  <cp:revision>2</cp:revision>
  <cp:lastPrinted>2019-08-26T15:12:00Z</cp:lastPrinted>
  <dcterms:created xsi:type="dcterms:W3CDTF">2019-08-26T21:41:00Z</dcterms:created>
  <dcterms:modified xsi:type="dcterms:W3CDTF">2019-08-26T21:41:00Z</dcterms:modified>
  <dc:language>es-CO</dc:language>
</cp:coreProperties>
</file>