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E69B9" w14:textId="77777777" w:rsidR="00C6407C" w:rsidRPr="00DA50F2" w:rsidRDefault="00C6407C" w:rsidP="00D92E4C">
      <w:pPr>
        <w:pStyle w:val="Ttulo1"/>
        <w:tabs>
          <w:tab w:val="left" w:pos="9072"/>
        </w:tabs>
        <w:spacing w:before="240" w:after="600" w:line="240" w:lineRule="auto"/>
        <w:ind w:right="284"/>
        <w:jc w:val="both"/>
        <w:rPr>
          <w:b w:val="0"/>
          <w:bCs w:val="0"/>
          <w:color w:val="000000"/>
        </w:rPr>
      </w:pPr>
      <w:r w:rsidRPr="00DA50F2">
        <w:rPr>
          <w:b w:val="0"/>
          <w:bCs w:val="0"/>
          <w:color w:val="000000"/>
        </w:rPr>
        <w:t>Bogotá, D.C</w:t>
      </w:r>
    </w:p>
    <w:p w14:paraId="11EF14BA" w14:textId="77777777" w:rsidR="00C6407C" w:rsidRPr="00DA50F2" w:rsidRDefault="00C6407C" w:rsidP="00D92E4C">
      <w:pPr>
        <w:pStyle w:val="Ttulo1"/>
        <w:tabs>
          <w:tab w:val="left" w:pos="9072"/>
        </w:tabs>
        <w:spacing w:before="240" w:after="240" w:line="240" w:lineRule="auto"/>
        <w:ind w:right="284"/>
        <w:jc w:val="both"/>
        <w:rPr>
          <w:b w:val="0"/>
          <w:bCs w:val="0"/>
          <w:color w:val="000000"/>
        </w:rPr>
      </w:pPr>
      <w:r w:rsidRPr="00DA50F2">
        <w:rPr>
          <w:b w:val="0"/>
          <w:bCs w:val="0"/>
          <w:color w:val="000000"/>
        </w:rPr>
        <w:t>PARA: DIEGO JAVIER PARRA CORTÉS, DIRECTOR GENERAL</w:t>
      </w:r>
    </w:p>
    <w:p w14:paraId="7F9A6A3A" w14:textId="77777777" w:rsidR="00C6407C" w:rsidRPr="00DA50F2" w:rsidRDefault="00C6407C" w:rsidP="00D92E4C">
      <w:pPr>
        <w:pStyle w:val="Ttulo1"/>
        <w:tabs>
          <w:tab w:val="left" w:pos="9072"/>
        </w:tabs>
        <w:spacing w:before="240" w:after="240" w:line="240" w:lineRule="auto"/>
        <w:ind w:right="284"/>
        <w:jc w:val="both"/>
        <w:rPr>
          <w:b w:val="0"/>
          <w:bCs w:val="0"/>
          <w:color w:val="000000"/>
        </w:rPr>
      </w:pPr>
      <w:r w:rsidRPr="00DA50F2">
        <w:rPr>
          <w:b w:val="0"/>
          <w:bCs w:val="0"/>
          <w:color w:val="000000"/>
        </w:rPr>
        <w:t>DE: MARY ALEXANDRA MARTINEZ BONILLA, ASESORA DE CONTROL INTERNO</w:t>
      </w:r>
    </w:p>
    <w:p w14:paraId="725323DD" w14:textId="43B41BBA" w:rsidR="00C6407C" w:rsidRPr="00DA50F2" w:rsidRDefault="00C6407C" w:rsidP="00D92E4C">
      <w:pPr>
        <w:pStyle w:val="Ttulo1"/>
        <w:tabs>
          <w:tab w:val="left" w:pos="9072"/>
        </w:tabs>
        <w:spacing w:before="600" w:after="240" w:line="240" w:lineRule="auto"/>
        <w:ind w:right="284"/>
        <w:jc w:val="both"/>
        <w:rPr>
          <w:b w:val="0"/>
          <w:bCs w:val="0"/>
          <w:color w:val="000000"/>
        </w:rPr>
      </w:pPr>
      <w:r w:rsidRPr="00DA50F2">
        <w:rPr>
          <w:b w:val="0"/>
          <w:bCs w:val="0"/>
          <w:color w:val="000000"/>
        </w:rPr>
        <w:t xml:space="preserve">INFORME DE </w:t>
      </w:r>
      <w:r>
        <w:rPr>
          <w:b w:val="0"/>
          <w:bCs w:val="0"/>
          <w:color w:val="000000"/>
        </w:rPr>
        <w:t xml:space="preserve">SEGUIMIENTO </w:t>
      </w:r>
      <w:r w:rsidRPr="00C6407C">
        <w:rPr>
          <w:b w:val="0"/>
          <w:bCs w:val="0"/>
          <w:color w:val="000000"/>
        </w:rPr>
        <w:t>A PLANES DE</w:t>
      </w:r>
      <w:r>
        <w:rPr>
          <w:b w:val="0"/>
          <w:bCs w:val="0"/>
          <w:color w:val="000000"/>
        </w:rPr>
        <w:t xml:space="preserve"> </w:t>
      </w:r>
      <w:r w:rsidRPr="00C6407C">
        <w:rPr>
          <w:b w:val="0"/>
          <w:bCs w:val="0"/>
          <w:color w:val="000000"/>
        </w:rPr>
        <w:t>MEJORAMIENTO INSTITUCIONAL Y POR</w:t>
      </w:r>
      <w:r>
        <w:rPr>
          <w:b w:val="0"/>
          <w:bCs w:val="0"/>
          <w:color w:val="000000"/>
        </w:rPr>
        <w:t xml:space="preserve"> </w:t>
      </w:r>
      <w:r w:rsidRPr="00C6407C">
        <w:rPr>
          <w:b w:val="0"/>
          <w:bCs w:val="0"/>
          <w:color w:val="000000"/>
        </w:rPr>
        <w:t>PROCESOS</w:t>
      </w:r>
      <w:r w:rsidR="00D92E4C">
        <w:rPr>
          <w:b w:val="0"/>
          <w:bCs w:val="0"/>
          <w:color w:val="000000"/>
        </w:rPr>
        <w:t>.</w:t>
      </w:r>
    </w:p>
    <w:p w14:paraId="7A93CF6A" w14:textId="77777777" w:rsidR="00C6407C" w:rsidRPr="00DA50F2" w:rsidRDefault="00C6407C" w:rsidP="00D92E4C">
      <w:pPr>
        <w:pStyle w:val="Ttulo1"/>
        <w:tabs>
          <w:tab w:val="left" w:pos="9072"/>
        </w:tabs>
        <w:spacing w:before="600" w:after="600" w:line="240" w:lineRule="auto"/>
        <w:ind w:right="284"/>
        <w:jc w:val="both"/>
        <w:rPr>
          <w:b w:val="0"/>
          <w:bCs w:val="0"/>
          <w:color w:val="000000"/>
        </w:rPr>
      </w:pPr>
      <w:r w:rsidRPr="00DA50F2">
        <w:rPr>
          <w:b w:val="0"/>
          <w:bCs w:val="0"/>
          <w:color w:val="000000"/>
        </w:rPr>
        <w:t>Respetado doctor Diego,</w:t>
      </w:r>
    </w:p>
    <w:p w14:paraId="0D85B3B2" w14:textId="02AFACBF" w:rsidR="00C6407C" w:rsidRDefault="00C6407C" w:rsidP="00D92E4C">
      <w:pPr>
        <w:pStyle w:val="Ttulo1"/>
        <w:tabs>
          <w:tab w:val="left" w:pos="9072"/>
        </w:tabs>
        <w:spacing w:before="240" w:after="240" w:line="240" w:lineRule="auto"/>
        <w:ind w:right="284"/>
        <w:jc w:val="both"/>
        <w:rPr>
          <w:b w:val="0"/>
          <w:bCs w:val="0"/>
          <w:color w:val="000000"/>
        </w:rPr>
      </w:pPr>
      <w:r w:rsidRPr="00DA50F2">
        <w:rPr>
          <w:b w:val="0"/>
          <w:bCs w:val="0"/>
          <w:color w:val="000000"/>
        </w:rPr>
        <w:t xml:space="preserve">La Asesoría de Control Interno, en su rol de evaluación y seguimiento, dando cumplimiento al Plan Anual de Auditoría de la vigencia 2026, aprobado en el Comité Institucional de Coordinación de Control Interno, y en cumplimiento de los roles de Evaluación y Seguimiento establecidos en el Decreto 648 de 2017, se permite comunicar las conclusiones del Informe </w:t>
      </w:r>
      <w:r w:rsidRPr="00C6407C">
        <w:rPr>
          <w:b w:val="0"/>
          <w:bCs w:val="0"/>
          <w:color w:val="000000"/>
        </w:rPr>
        <w:t>de seguimiento a planes de mejoramiento institucional y por procesos</w:t>
      </w:r>
      <w:r w:rsidRPr="00DA50F2">
        <w:rPr>
          <w:b w:val="0"/>
          <w:bCs w:val="0"/>
          <w:color w:val="000000"/>
        </w:rPr>
        <w:t xml:space="preserve">, con corte </w:t>
      </w:r>
      <w:r w:rsidRPr="00C6407C">
        <w:rPr>
          <w:b w:val="0"/>
          <w:bCs w:val="0"/>
          <w:color w:val="000000"/>
        </w:rPr>
        <w:t>01 de enero al 30 de junio de 2026</w:t>
      </w:r>
      <w:r>
        <w:rPr>
          <w:b w:val="0"/>
          <w:bCs w:val="0"/>
          <w:color w:val="000000"/>
        </w:rPr>
        <w:t>:</w:t>
      </w:r>
    </w:p>
    <w:p w14:paraId="5D4B6245" w14:textId="5E9AC862" w:rsidR="00C6407C" w:rsidRDefault="00C6407C" w:rsidP="00D92E4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284" w:righ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6407C">
        <w:rPr>
          <w:rFonts w:ascii="Arial" w:eastAsia="Arial" w:hAnsi="Arial" w:cs="Arial"/>
          <w:color w:val="000000"/>
          <w:sz w:val="24"/>
          <w:szCs w:val="24"/>
        </w:rPr>
        <w:t>Diecisiete (17) acciones se calificaron como inefectivas durante este seguimiento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47DF694" w14:textId="4AA533D7" w:rsidR="00C6407C" w:rsidRPr="00C6407C" w:rsidRDefault="00D92E4C" w:rsidP="00D92E4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284" w:righ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Diez</w:t>
      </w:r>
      <w:r w:rsidR="00DE01B8" w:rsidRPr="00DE01B8">
        <w:rPr>
          <w:rFonts w:ascii="Arial" w:eastAsia="Arial" w:hAnsi="Arial" w:cs="Arial"/>
          <w:color w:val="000000"/>
          <w:sz w:val="24"/>
          <w:szCs w:val="24"/>
        </w:rPr>
        <w:t xml:space="preserve"> (10) acciones no lograron su cumplimiento en este seguimiento</w:t>
      </w:r>
      <w:r w:rsidR="00C6407C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0F1BA1E" w14:textId="1134DD0A" w:rsidR="00C6407C" w:rsidRDefault="00D92E4C" w:rsidP="00D92E4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284" w:righ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Trece</w:t>
      </w:r>
      <w:r w:rsidR="00DE01B8" w:rsidRPr="00DE01B8">
        <w:rPr>
          <w:rFonts w:ascii="Arial" w:eastAsia="Arial" w:hAnsi="Arial" w:cs="Arial"/>
          <w:color w:val="000000"/>
          <w:sz w:val="24"/>
          <w:szCs w:val="24"/>
        </w:rPr>
        <w:t xml:space="preserve"> (13) acciones no lograron su cumplimiento en dos o más seguimientos y no se evidencia su reformulación</w:t>
      </w:r>
      <w:r w:rsidR="00DE01B8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D600F87" w14:textId="1B73E41E" w:rsidR="00DE01B8" w:rsidRPr="00D92E4C" w:rsidRDefault="00DE01B8" w:rsidP="00D92E4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284" w:righ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E01B8">
        <w:rPr>
          <w:rFonts w:ascii="Arial" w:eastAsia="Arial" w:hAnsi="Arial" w:cs="Arial"/>
          <w:color w:val="000000"/>
          <w:sz w:val="24"/>
          <w:szCs w:val="24"/>
        </w:rPr>
        <w:t>No se identifica la formulación de plan de mejoramiento para dieciocho (18) no conformidades derivadas de seguimientos y auditorías realizadas por la Asesoría de Control Interno durante el 2024, 2025 y lo corrido de 2026.</w:t>
      </w:r>
    </w:p>
    <w:p w14:paraId="1F9C18A2" w14:textId="4E562455" w:rsidR="00C6407C" w:rsidRDefault="00C6407C" w:rsidP="00D92E4C">
      <w:pPr>
        <w:spacing w:before="240" w:after="240"/>
        <w:ind w:right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6407C">
        <w:rPr>
          <w:rFonts w:ascii="Arial" w:eastAsia="Arial" w:hAnsi="Arial" w:cs="Arial"/>
          <w:color w:val="000000"/>
          <w:sz w:val="24"/>
          <w:szCs w:val="24"/>
        </w:rPr>
        <w:t>Finalmente, se deberá formular el plan de mejoramiento de acuerdo a lo establecido en</w:t>
      </w:r>
      <w:r w:rsidR="00D92E4C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C6407C">
        <w:rPr>
          <w:rFonts w:ascii="Arial" w:eastAsia="Arial" w:hAnsi="Arial" w:cs="Arial"/>
          <w:color w:val="000000"/>
          <w:sz w:val="24"/>
          <w:szCs w:val="24"/>
        </w:rPr>
        <w:t>el numeral 4.3. del Procedimiento: Planes de Mejoramiento Versión: 7 del 30 de abril de</w:t>
      </w:r>
      <w:r w:rsidR="00D92E4C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C6407C">
        <w:rPr>
          <w:rFonts w:ascii="Arial" w:eastAsia="Arial" w:hAnsi="Arial" w:cs="Arial"/>
          <w:color w:val="000000"/>
          <w:sz w:val="24"/>
          <w:szCs w:val="24"/>
        </w:rPr>
        <w:t>2026, el cual establece:</w:t>
      </w:r>
    </w:p>
    <w:p w14:paraId="169B5C63" w14:textId="75B18511" w:rsidR="00C6407C" w:rsidRDefault="00C6407C" w:rsidP="00D92E4C">
      <w:pPr>
        <w:spacing w:before="240" w:after="240"/>
        <w:ind w:right="284"/>
        <w:jc w:val="both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 w:rsidRPr="00C6407C">
        <w:rPr>
          <w:rFonts w:ascii="Arial" w:eastAsia="Arial" w:hAnsi="Arial" w:cs="Arial"/>
          <w:i/>
          <w:iCs/>
          <w:color w:val="000000"/>
          <w:sz w:val="24"/>
          <w:szCs w:val="24"/>
        </w:rPr>
        <w:t>“Una vez detectada e informada la no conformidad, hallazgo o la oportunidad de mejora (si aplica), el proceso tendrá un lapso de diez (10) días hábiles siguientes a su recibo, para formular el plan de mejoramiento o según el plazo establecido por la entidad u organismo de control competente, el “cual deberá ser informado a la Asesoría de Control</w:t>
      </w:r>
      <w:r w:rsidRPr="00C6407C">
        <w:rPr>
          <w:i/>
          <w:iCs/>
        </w:rPr>
        <w:t xml:space="preserve"> </w:t>
      </w:r>
      <w:r w:rsidRPr="00C6407C">
        <w:rPr>
          <w:rFonts w:ascii="Arial" w:eastAsia="Arial" w:hAnsi="Arial" w:cs="Arial"/>
          <w:i/>
          <w:iCs/>
          <w:color w:val="000000"/>
          <w:sz w:val="24"/>
          <w:szCs w:val="24"/>
        </w:rPr>
        <w:t>Interno y a la Oficina Asesora de Planeación, la cual será responsable de la administración del plan de mejoramiento respectivo.”</w:t>
      </w:r>
    </w:p>
    <w:p w14:paraId="5443EC3F" w14:textId="4272F5BE" w:rsidR="008F3D5D" w:rsidRDefault="00A0059F">
      <w:pPr>
        <w:pStyle w:val="Ttulo1"/>
        <w:spacing w:before="240" w:line="240" w:lineRule="auto"/>
        <w:ind w:right="283"/>
        <w:jc w:val="both"/>
        <w:rPr>
          <w:color w:val="002060"/>
        </w:rPr>
      </w:pPr>
      <w:r>
        <w:rPr>
          <w:color w:val="002060"/>
        </w:rPr>
        <w:lastRenderedPageBreak/>
        <w:t>INFORMACIÓN GENERAL</w:t>
      </w:r>
    </w:p>
    <w:p w14:paraId="4CCB096C" w14:textId="77777777" w:rsidR="008F3D5D" w:rsidRDefault="00A0059F">
      <w:pPr>
        <w:pStyle w:val="Subttulo"/>
        <w:numPr>
          <w:ilvl w:val="0"/>
          <w:numId w:val="2"/>
        </w:numPr>
        <w:tabs>
          <w:tab w:val="left" w:pos="284"/>
        </w:tabs>
        <w:spacing w:before="120" w:after="120"/>
        <w:ind w:left="284" w:right="283" w:hanging="284"/>
        <w:jc w:val="both"/>
        <w:rPr>
          <w:b/>
          <w:bCs/>
        </w:rPr>
      </w:pPr>
      <w:r>
        <w:rPr>
          <w:rFonts w:ascii="Arial" w:eastAsia="Arial" w:hAnsi="Arial" w:cs="Arial"/>
          <w:b/>
          <w:bCs/>
        </w:rPr>
        <w:t xml:space="preserve">Proceso, procedimiento o actividad evaluada: </w:t>
      </w:r>
      <w:r>
        <w:rPr>
          <w:rFonts w:ascii="Arial" w:eastAsia="Arial" w:hAnsi="Arial" w:cs="Arial"/>
        </w:rPr>
        <w:t>Planes de mejoramiento.</w:t>
      </w:r>
    </w:p>
    <w:p w14:paraId="24355A97" w14:textId="77777777" w:rsidR="008F3D5D" w:rsidRDefault="00A0059F">
      <w:pPr>
        <w:pStyle w:val="Subttulo"/>
        <w:numPr>
          <w:ilvl w:val="0"/>
          <w:numId w:val="2"/>
        </w:numPr>
        <w:tabs>
          <w:tab w:val="left" w:pos="284"/>
        </w:tabs>
        <w:spacing w:before="120" w:after="120"/>
        <w:ind w:left="284" w:right="283" w:hanging="284"/>
        <w:jc w:val="both"/>
        <w:rPr>
          <w:b/>
          <w:bCs/>
        </w:rPr>
      </w:pPr>
      <w:r>
        <w:rPr>
          <w:rFonts w:ascii="Arial" w:eastAsia="Arial" w:hAnsi="Arial" w:cs="Arial"/>
          <w:b/>
          <w:bCs/>
        </w:rPr>
        <w:t xml:space="preserve">Responsable del proceso, procedimiento o actividad evaluada: </w:t>
      </w:r>
      <w:r>
        <w:rPr>
          <w:rFonts w:ascii="Arial" w:eastAsia="Arial" w:hAnsi="Arial" w:cs="Arial"/>
        </w:rPr>
        <w:t xml:space="preserve">Todos </w:t>
      </w:r>
      <w:r>
        <w:rPr>
          <w:rFonts w:ascii="Arial" w:eastAsia="Arial" w:hAnsi="Arial" w:cs="Arial"/>
        </w:rPr>
        <w:t>los procesos del Instituto Distrital de Patrimonio Cultural.</w:t>
      </w:r>
    </w:p>
    <w:p w14:paraId="2DE10AFA" w14:textId="77777777" w:rsidR="008F3D5D" w:rsidRDefault="00A0059F">
      <w:pPr>
        <w:pStyle w:val="Subttulo"/>
        <w:numPr>
          <w:ilvl w:val="0"/>
          <w:numId w:val="2"/>
        </w:numPr>
        <w:tabs>
          <w:tab w:val="left" w:pos="284"/>
        </w:tabs>
        <w:spacing w:before="120" w:after="120"/>
        <w:ind w:left="284" w:right="283" w:hanging="284"/>
        <w:jc w:val="both"/>
        <w:rPr>
          <w:b/>
          <w:bCs/>
        </w:rPr>
      </w:pPr>
      <w:r>
        <w:rPr>
          <w:rFonts w:ascii="Arial" w:eastAsia="Arial" w:hAnsi="Arial" w:cs="Arial"/>
          <w:b/>
          <w:bCs/>
        </w:rPr>
        <w:t>Objetivo:</w:t>
      </w:r>
      <w:r>
        <w:rPr>
          <w:rFonts w:ascii="Arial" w:eastAsia="Arial" w:hAnsi="Arial" w:cs="Arial"/>
        </w:rPr>
        <w:t xml:space="preserve"> Verificar el cumplimiento de las acciones definidas en los planes de mejoramiento existentes, producto de hallazgos internos y de la Contraloría de Bogotá.</w:t>
      </w:r>
    </w:p>
    <w:p w14:paraId="2D6EF489" w14:textId="77777777" w:rsidR="008F3D5D" w:rsidRDefault="00A0059F">
      <w:pPr>
        <w:pStyle w:val="Subttulo"/>
        <w:numPr>
          <w:ilvl w:val="0"/>
          <w:numId w:val="2"/>
        </w:numPr>
        <w:tabs>
          <w:tab w:val="left" w:pos="284"/>
        </w:tabs>
        <w:spacing w:before="120" w:after="120"/>
        <w:ind w:left="284" w:right="283" w:hanging="284"/>
        <w:jc w:val="both"/>
        <w:rPr>
          <w:b/>
          <w:bCs/>
        </w:rPr>
      </w:pPr>
      <w:r>
        <w:rPr>
          <w:rFonts w:ascii="Arial" w:eastAsia="Arial" w:hAnsi="Arial" w:cs="Arial"/>
          <w:b/>
          <w:bCs/>
        </w:rPr>
        <w:t>Alcance:</w:t>
      </w:r>
      <w:r>
        <w:rPr>
          <w:rFonts w:ascii="Arial" w:eastAsia="Arial" w:hAnsi="Arial" w:cs="Arial"/>
        </w:rPr>
        <w:t xml:space="preserve"> Comprende las accion</w:t>
      </w:r>
      <w:r>
        <w:rPr>
          <w:rFonts w:ascii="Arial" w:eastAsia="Arial" w:hAnsi="Arial" w:cs="Arial"/>
        </w:rPr>
        <w:t>es desarrolladas entre el 01 de enero al 30 de junio de 2026.</w:t>
      </w:r>
    </w:p>
    <w:p w14:paraId="14A7EBD6" w14:textId="77777777" w:rsidR="008F3D5D" w:rsidRDefault="00A0059F">
      <w:pPr>
        <w:pStyle w:val="Subttulo"/>
        <w:numPr>
          <w:ilvl w:val="0"/>
          <w:numId w:val="2"/>
        </w:numPr>
        <w:tabs>
          <w:tab w:val="left" w:pos="284"/>
        </w:tabs>
        <w:spacing w:before="120" w:after="120"/>
        <w:ind w:left="284" w:right="283" w:hanging="284"/>
        <w:jc w:val="both"/>
        <w:rPr>
          <w:b/>
          <w:bCs/>
        </w:rPr>
      </w:pPr>
      <w:r>
        <w:rPr>
          <w:rFonts w:ascii="Arial" w:eastAsia="Arial" w:hAnsi="Arial" w:cs="Arial"/>
          <w:b/>
          <w:bCs/>
        </w:rPr>
        <w:t>Criterios:</w:t>
      </w:r>
    </w:p>
    <w:p w14:paraId="090F2FD6" w14:textId="77777777" w:rsidR="008F3D5D" w:rsidRDefault="00A0059F">
      <w:pPr>
        <w:numPr>
          <w:ilvl w:val="0"/>
          <w:numId w:val="4"/>
        </w:numPr>
        <w:ind w:right="283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Ley 87 de 1993 “Por la cual se establecen normas para el ejercicio del control interno en las entidades y organismos del estado y se dictan otras disposiciones”.</w:t>
      </w:r>
    </w:p>
    <w:p w14:paraId="26AAD5F9" w14:textId="77777777" w:rsidR="008F3D5D" w:rsidRDefault="00A0059F">
      <w:pPr>
        <w:numPr>
          <w:ilvl w:val="0"/>
          <w:numId w:val="4"/>
        </w:numPr>
        <w:ind w:right="283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Decreto 1083 de 2015 </w:t>
      </w:r>
      <w:r>
        <w:rPr>
          <w:rFonts w:ascii="Arial" w:eastAsia="Arial" w:hAnsi="Arial" w:cs="Arial"/>
          <w:sz w:val="24"/>
          <w:szCs w:val="24"/>
        </w:rPr>
        <w:t>“Por medio del cual se expide el Decreto Único Reglamentario del Sector de Función Pública”.</w:t>
      </w:r>
    </w:p>
    <w:p w14:paraId="02DF71E6" w14:textId="500FC8C2" w:rsidR="008F3D5D" w:rsidRDefault="00A0059F">
      <w:pPr>
        <w:numPr>
          <w:ilvl w:val="0"/>
          <w:numId w:val="4"/>
        </w:numPr>
        <w:ind w:right="283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Resolución Reglamentaria 019 de 2025 Contraloría de Bogotá “Por la cual se reglament</w:t>
      </w:r>
      <w:r w:rsidR="00F5340A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 el trámite del Plan de Mejoramiento que presentan los sujetos de vigilancia y</w:t>
      </w:r>
      <w:r>
        <w:rPr>
          <w:rFonts w:ascii="Arial" w:eastAsia="Arial" w:hAnsi="Arial" w:cs="Arial"/>
          <w:sz w:val="24"/>
          <w:szCs w:val="24"/>
        </w:rPr>
        <w:t xml:space="preserve"> control a la gestión fiscal de Contraloría de Bogotá D.C., se adopta un nuevo procedimiento interno y se dictan otras disposiciones”.</w:t>
      </w:r>
    </w:p>
    <w:p w14:paraId="5121401F" w14:textId="77777777" w:rsidR="008F3D5D" w:rsidRDefault="00A0059F">
      <w:pPr>
        <w:numPr>
          <w:ilvl w:val="0"/>
          <w:numId w:val="4"/>
        </w:numPr>
        <w:ind w:right="283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Procedimiento planes de mejoramiento Instituto Distrital de Patrimonio Cultural, versión 6 del 31 de mayo de 2022 y versi</w:t>
      </w:r>
      <w:r>
        <w:rPr>
          <w:rFonts w:ascii="Arial" w:eastAsia="Arial" w:hAnsi="Arial" w:cs="Arial"/>
          <w:sz w:val="24"/>
          <w:szCs w:val="24"/>
        </w:rPr>
        <w:t>ón 7 del 30 de abril de 2026.</w:t>
      </w:r>
    </w:p>
    <w:p w14:paraId="03A5CE9E" w14:textId="77777777" w:rsidR="008F3D5D" w:rsidRDefault="00A0059F">
      <w:pPr>
        <w:pStyle w:val="Subttulo"/>
        <w:numPr>
          <w:ilvl w:val="0"/>
          <w:numId w:val="2"/>
        </w:numPr>
        <w:tabs>
          <w:tab w:val="left" w:pos="284"/>
        </w:tabs>
        <w:spacing w:before="120" w:after="120"/>
        <w:ind w:right="283" w:hanging="720"/>
        <w:jc w:val="both"/>
        <w:rPr>
          <w:b/>
          <w:bCs/>
        </w:rPr>
      </w:pPr>
      <w:r>
        <w:rPr>
          <w:rFonts w:ascii="Arial" w:eastAsia="Arial" w:hAnsi="Arial" w:cs="Arial"/>
          <w:b/>
          <w:bCs/>
        </w:rPr>
        <w:t>Pruebas de auditoría: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</w:rPr>
        <w:t>Verificación documental.</w:t>
      </w:r>
    </w:p>
    <w:p w14:paraId="0AF4365A" w14:textId="77777777" w:rsidR="008F3D5D" w:rsidRDefault="00A0059F">
      <w:pPr>
        <w:pStyle w:val="Subttulo"/>
        <w:numPr>
          <w:ilvl w:val="0"/>
          <w:numId w:val="2"/>
        </w:numPr>
        <w:tabs>
          <w:tab w:val="left" w:pos="284"/>
        </w:tabs>
        <w:spacing w:before="120" w:after="120"/>
        <w:ind w:left="284" w:right="283" w:hanging="284"/>
        <w:jc w:val="both"/>
        <w:rPr>
          <w:b/>
          <w:bCs/>
        </w:rPr>
      </w:pPr>
      <w:r>
        <w:rPr>
          <w:rFonts w:ascii="Arial" w:eastAsia="Arial" w:hAnsi="Arial" w:cs="Arial"/>
          <w:b/>
          <w:bCs/>
        </w:rPr>
        <w:t>Equipo evaluador:</w:t>
      </w:r>
      <w:r>
        <w:rPr>
          <w:rFonts w:ascii="Arial" w:eastAsia="Arial" w:hAnsi="Arial" w:cs="Arial"/>
        </w:rPr>
        <w:t xml:space="preserve"> Angie Paola Triana Montañez y Viviana Barrera Rojas.</w:t>
      </w:r>
    </w:p>
    <w:p w14:paraId="55D5E1F3" w14:textId="77777777" w:rsidR="008F3D5D" w:rsidRDefault="00A0059F">
      <w:pPr>
        <w:pStyle w:val="Subttulo"/>
        <w:numPr>
          <w:ilvl w:val="0"/>
          <w:numId w:val="2"/>
        </w:numPr>
        <w:tabs>
          <w:tab w:val="left" w:pos="284"/>
        </w:tabs>
        <w:spacing w:before="120" w:after="120"/>
        <w:ind w:left="284" w:right="283" w:hanging="284"/>
        <w:jc w:val="both"/>
        <w:rPr>
          <w:b/>
          <w:bCs/>
        </w:rPr>
      </w:pPr>
      <w:r>
        <w:rPr>
          <w:rFonts w:ascii="Arial" w:eastAsia="Arial" w:hAnsi="Arial" w:cs="Arial"/>
          <w:b/>
          <w:bCs/>
        </w:rPr>
        <w:t>Fecha de ejecución del seguimiento o la evaluación:</w:t>
      </w:r>
      <w:r>
        <w:rPr>
          <w:rFonts w:ascii="Arial" w:eastAsia="Arial" w:hAnsi="Arial" w:cs="Arial"/>
        </w:rPr>
        <w:t xml:space="preserve"> Del 01 de julio al 10 de agosto de 2026.</w:t>
      </w:r>
    </w:p>
    <w:p w14:paraId="094A1D85" w14:textId="23AAADAA" w:rsidR="008F3D5D" w:rsidRDefault="00A0059F">
      <w:pPr>
        <w:pStyle w:val="Subttulo"/>
        <w:numPr>
          <w:ilvl w:val="0"/>
          <w:numId w:val="2"/>
        </w:numPr>
        <w:tabs>
          <w:tab w:val="left" w:pos="284"/>
        </w:tabs>
        <w:spacing w:before="120" w:after="120"/>
        <w:ind w:left="284" w:right="283" w:hanging="284"/>
        <w:jc w:val="both"/>
        <w:rPr>
          <w:b/>
          <w:bCs/>
        </w:rPr>
      </w:pPr>
      <w:r>
        <w:rPr>
          <w:rFonts w:ascii="Arial" w:eastAsia="Arial" w:hAnsi="Arial" w:cs="Arial"/>
          <w:b/>
          <w:bCs/>
        </w:rPr>
        <w:t xml:space="preserve">Insumos: </w:t>
      </w:r>
      <w:r>
        <w:rPr>
          <w:rFonts w:ascii="Arial" w:eastAsia="Arial" w:hAnsi="Arial" w:cs="Arial"/>
        </w:rPr>
        <w:t>Los re</w:t>
      </w:r>
      <w:r>
        <w:rPr>
          <w:rFonts w:ascii="Arial" w:eastAsia="Arial" w:hAnsi="Arial" w:cs="Arial"/>
        </w:rPr>
        <w:t>sultados se fundamentan en la información cargada en el repositorio de gestión del conocimi</w:t>
      </w:r>
      <w:r w:rsidR="00D84094">
        <w:rPr>
          <w:rFonts w:ascii="Arial" w:eastAsia="Arial" w:hAnsi="Arial" w:cs="Arial"/>
        </w:rPr>
        <w:t>ento e innovación de la entidad y las respuestas emitidas por los procesos como parte de la etapa de contradicción al informe preliminar.</w:t>
      </w:r>
    </w:p>
    <w:p w14:paraId="7B5B1C8D" w14:textId="77777777" w:rsidR="008F3D5D" w:rsidRDefault="00A0059F">
      <w:pPr>
        <w:pStyle w:val="Subttulo"/>
        <w:numPr>
          <w:ilvl w:val="0"/>
          <w:numId w:val="2"/>
        </w:numPr>
        <w:tabs>
          <w:tab w:val="left" w:pos="284"/>
        </w:tabs>
        <w:spacing w:before="120" w:after="120"/>
        <w:ind w:left="284" w:right="283" w:hanging="284"/>
        <w:jc w:val="both"/>
        <w:rPr>
          <w:b/>
          <w:bCs/>
        </w:rPr>
      </w:pPr>
      <w:r>
        <w:rPr>
          <w:rFonts w:ascii="Arial" w:eastAsia="Arial" w:hAnsi="Arial" w:cs="Arial"/>
          <w:b/>
          <w:bCs/>
        </w:rPr>
        <w:t xml:space="preserve">Limitaciones al seguimiento o evaluación: </w:t>
      </w:r>
      <w:r>
        <w:rPr>
          <w:rFonts w:ascii="Arial" w:eastAsia="Arial" w:hAnsi="Arial" w:cs="Arial"/>
        </w:rPr>
        <w:t>Ninguna.</w:t>
      </w:r>
    </w:p>
    <w:p w14:paraId="716357FD" w14:textId="77777777" w:rsidR="008F3D5D" w:rsidRDefault="00A0059F">
      <w:pPr>
        <w:pStyle w:val="Ttulo1"/>
        <w:spacing w:before="240" w:line="240" w:lineRule="auto"/>
        <w:ind w:right="283"/>
        <w:jc w:val="both"/>
        <w:rPr>
          <w:color w:val="002060"/>
        </w:rPr>
      </w:pPr>
      <w:r>
        <w:rPr>
          <w:color w:val="002060"/>
        </w:rPr>
        <w:t>RESULTADOS DE LA EVALUACIÓN Y/O SEGUIMIENTO</w:t>
      </w:r>
    </w:p>
    <w:p w14:paraId="0B336E0A" w14:textId="77777777" w:rsidR="008F3D5D" w:rsidRDefault="00A0059F">
      <w:pPr>
        <w:pStyle w:val="Subttulo"/>
        <w:spacing w:before="120" w:after="120"/>
        <w:ind w:right="283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Hallazgos</w:t>
      </w:r>
    </w:p>
    <w:p w14:paraId="4F11231D" w14:textId="77777777" w:rsidR="008F3D5D" w:rsidRDefault="00A0059F">
      <w:pPr>
        <w:pStyle w:val="Subttulo"/>
        <w:numPr>
          <w:ilvl w:val="0"/>
          <w:numId w:val="2"/>
        </w:numPr>
        <w:tabs>
          <w:tab w:val="left" w:pos="284"/>
        </w:tabs>
        <w:spacing w:before="120" w:after="120"/>
        <w:ind w:left="0" w:right="283" w:firstLine="0"/>
        <w:jc w:val="left"/>
        <w:rPr>
          <w:b/>
          <w:bCs/>
        </w:rPr>
      </w:pPr>
      <w:r>
        <w:rPr>
          <w:rFonts w:ascii="Arial" w:eastAsia="Arial" w:hAnsi="Arial" w:cs="Arial"/>
          <w:b/>
          <w:bCs/>
        </w:rPr>
        <w:t>Fortalezas evidenciadas:</w:t>
      </w:r>
    </w:p>
    <w:tbl>
      <w:tblPr>
        <w:tblStyle w:val="a6"/>
        <w:tblW w:w="9356" w:type="dxa"/>
        <w:tblInd w:w="13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8505"/>
      </w:tblGrid>
      <w:tr w:rsidR="008F3D5D" w14:paraId="73DBD8EC" w14:textId="77777777">
        <w:trPr>
          <w:trHeight w:val="404"/>
          <w:tblHeader/>
        </w:trPr>
        <w:tc>
          <w:tcPr>
            <w:tcW w:w="851" w:type="dxa"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5F7CF330" w14:textId="77777777" w:rsidR="008F3D5D" w:rsidRDefault="00A0059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8505" w:type="dxa"/>
            <w:tcBorders>
              <w:left w:val="dotted" w:sz="4" w:space="0" w:color="000000"/>
            </w:tcBorders>
            <w:shd w:val="clear" w:color="auto" w:fill="F2F2F2"/>
            <w:vAlign w:val="center"/>
          </w:tcPr>
          <w:p w14:paraId="578A689B" w14:textId="77777777" w:rsidR="008F3D5D" w:rsidRDefault="00A0059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Descripción Fortaleza</w:t>
            </w:r>
          </w:p>
        </w:tc>
      </w:tr>
      <w:tr w:rsidR="008F3D5D" w14:paraId="0AF99F7F" w14:textId="77777777">
        <w:trPr>
          <w:trHeight w:val="702"/>
        </w:trPr>
        <w:tc>
          <w:tcPr>
            <w:tcW w:w="851" w:type="dxa"/>
            <w:tcBorders>
              <w:right w:val="dotted" w:sz="4" w:space="0" w:color="000000"/>
            </w:tcBorders>
            <w:vAlign w:val="center"/>
          </w:tcPr>
          <w:p w14:paraId="541DD509" w14:textId="77777777" w:rsidR="008F3D5D" w:rsidRDefault="00A0059F">
            <w:pP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left w:val="dotted" w:sz="4" w:space="0" w:color="000000"/>
            </w:tcBorders>
            <w:vAlign w:val="center"/>
          </w:tcPr>
          <w:p w14:paraId="1782AB7D" w14:textId="77777777" w:rsidR="008F3D5D" w:rsidRDefault="00A0059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Articulación entre la primera y segunda línea de defensa que se traduce en un seguimiento permanente.</w:t>
            </w:r>
          </w:p>
        </w:tc>
      </w:tr>
    </w:tbl>
    <w:p w14:paraId="256890BF" w14:textId="77777777" w:rsidR="008F3D5D" w:rsidRDefault="00A0059F">
      <w:pPr>
        <w:pStyle w:val="Subttulo"/>
        <w:numPr>
          <w:ilvl w:val="0"/>
          <w:numId w:val="2"/>
        </w:numPr>
        <w:tabs>
          <w:tab w:val="left" w:pos="284"/>
        </w:tabs>
        <w:spacing w:before="120" w:after="120"/>
        <w:ind w:left="284" w:right="283" w:hanging="284"/>
        <w:jc w:val="both"/>
        <w:rPr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 xml:space="preserve">Observaciones: </w:t>
      </w:r>
      <w:r>
        <w:rPr>
          <w:rFonts w:ascii="Arial" w:eastAsia="Arial" w:hAnsi="Arial" w:cs="Arial"/>
        </w:rPr>
        <w:t>Si bien en cada acción se encuentran las observaciones, se resalta que:</w:t>
      </w:r>
    </w:p>
    <w:tbl>
      <w:tblPr>
        <w:tblStyle w:val="a7"/>
        <w:tblW w:w="9356" w:type="dxa"/>
        <w:tblInd w:w="13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8505"/>
      </w:tblGrid>
      <w:tr w:rsidR="008F3D5D" w14:paraId="09AD2DBD" w14:textId="77777777">
        <w:trPr>
          <w:trHeight w:val="404"/>
          <w:tblHeader/>
        </w:trPr>
        <w:tc>
          <w:tcPr>
            <w:tcW w:w="851" w:type="dxa"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3785BF69" w14:textId="77777777" w:rsidR="008F3D5D" w:rsidRDefault="00A0059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8505" w:type="dxa"/>
            <w:tcBorders>
              <w:left w:val="dotted" w:sz="4" w:space="0" w:color="000000"/>
            </w:tcBorders>
            <w:shd w:val="clear" w:color="auto" w:fill="F2F2F2"/>
            <w:vAlign w:val="center"/>
          </w:tcPr>
          <w:p w14:paraId="210CF8B0" w14:textId="77777777" w:rsidR="008F3D5D" w:rsidRDefault="00A0059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Descripción Observación</w:t>
            </w:r>
          </w:p>
        </w:tc>
      </w:tr>
      <w:tr w:rsidR="008F3D5D" w14:paraId="3E9D6A21" w14:textId="77777777">
        <w:trPr>
          <w:trHeight w:val="968"/>
        </w:trPr>
        <w:tc>
          <w:tcPr>
            <w:tcW w:w="851" w:type="dxa"/>
            <w:tcBorders>
              <w:right w:val="dotted" w:sz="4" w:space="0" w:color="000000"/>
            </w:tcBorders>
            <w:vAlign w:val="center"/>
          </w:tcPr>
          <w:p w14:paraId="53C06F2B" w14:textId="77777777" w:rsidR="008F3D5D" w:rsidRDefault="00A0059F">
            <w:pP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left w:val="dotted" w:sz="4" w:space="0" w:color="000000"/>
            </w:tcBorders>
            <w:vAlign w:val="center"/>
          </w:tcPr>
          <w:p w14:paraId="1875B7B7" w14:textId="77777777" w:rsidR="008F3D5D" w:rsidRDefault="00A0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Diecisiete (17) acciones se calificaron como inefectivas durante este seguimiento:</w:t>
            </w:r>
          </w:p>
          <w:p w14:paraId="77159AF4" w14:textId="77777777" w:rsidR="008F3D5D" w:rsidRDefault="00A0059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4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Gestión Financiera (GF04-2023-1, GF05-2023-2, GF2-2024-1, GF3-2024-1, GF4-2024-2, GF2-2025-1, GF4-2025-1, GF4-2025-2 y GF10-2023-1).</w:t>
            </w:r>
          </w:p>
          <w:p w14:paraId="12E67AAE" w14:textId="77777777" w:rsidR="008F3D5D" w:rsidRDefault="00A0059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4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Gestión de Talento Humano (TH24-2023-1 y TH1-2024-1). </w:t>
            </w:r>
          </w:p>
          <w:p w14:paraId="2EFD1863" w14:textId="77777777" w:rsidR="008F3D5D" w:rsidRDefault="00A0059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4" w:hanging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Administración de Bienes e Infraestructura (AB09-2023-1, AB12-2023-2, AB13-2023-3, AB14-2023-1 y AB18-2023-1 y AB11-2023-1).</w:t>
            </w:r>
          </w:p>
        </w:tc>
      </w:tr>
      <w:tr w:rsidR="008F3D5D" w14:paraId="2B12D027" w14:textId="77777777">
        <w:trPr>
          <w:trHeight w:val="963"/>
        </w:trPr>
        <w:tc>
          <w:tcPr>
            <w:tcW w:w="851" w:type="dxa"/>
            <w:tcBorders>
              <w:right w:val="dotted" w:sz="4" w:space="0" w:color="000000"/>
            </w:tcBorders>
            <w:vAlign w:val="center"/>
          </w:tcPr>
          <w:p w14:paraId="37FD3780" w14:textId="77777777" w:rsidR="008F3D5D" w:rsidRDefault="00A0059F">
            <w:pP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left w:val="dotted" w:sz="4" w:space="0" w:color="000000"/>
            </w:tcBorders>
            <w:vAlign w:val="center"/>
          </w:tcPr>
          <w:p w14:paraId="0846F63B" w14:textId="7C8E9018" w:rsidR="008F3D5D" w:rsidRDefault="00D92E4C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Diez (1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) </w:t>
            </w:r>
            <w:bookmarkEnd w:id="0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acciones no lograron su cumplimiento en este seguimiento:  </w:t>
            </w:r>
          </w:p>
          <w:p w14:paraId="2560E8E9" w14:textId="77777777" w:rsidR="008F3D5D" w:rsidRDefault="00A0059F">
            <w:pPr>
              <w:numPr>
                <w:ilvl w:val="0"/>
                <w:numId w:val="1"/>
              </w:numPr>
              <w:ind w:left="314" w:hanging="28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Gestión de Talento Humano (</w:t>
            </w:r>
            <w:r>
              <w:rPr>
                <w:rFonts w:ascii="Arial" w:eastAsia="Arial" w:hAnsi="Arial" w:cs="Arial"/>
                <w:sz w:val="24"/>
                <w:szCs w:val="24"/>
              </w:rPr>
              <w:t>TH9-2024-1, TH9-2024-2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 TH10-2024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1, Acción sin Código y TH01-2026-2).</w:t>
            </w:r>
          </w:p>
          <w:p w14:paraId="11D40452" w14:textId="77777777" w:rsidR="008F3D5D" w:rsidRDefault="00A0059F">
            <w:pPr>
              <w:numPr>
                <w:ilvl w:val="0"/>
                <w:numId w:val="1"/>
              </w:numPr>
              <w:ind w:left="314" w:hanging="28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Divulgación y Activación Social de los Patrimonios (DAP-1-1, DAP-1-2 y DAP-1-3).</w:t>
            </w:r>
          </w:p>
          <w:p w14:paraId="0DB670D2" w14:textId="77777777" w:rsidR="008F3D5D" w:rsidRDefault="00A0059F">
            <w:pPr>
              <w:numPr>
                <w:ilvl w:val="0"/>
                <w:numId w:val="1"/>
              </w:numPr>
              <w:ind w:left="314" w:hanging="28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Gestión Documental (GD35-1 y GD39).</w:t>
            </w:r>
          </w:p>
        </w:tc>
      </w:tr>
    </w:tbl>
    <w:p w14:paraId="0BC833ED" w14:textId="77777777" w:rsidR="008F3D5D" w:rsidRDefault="00A0059F">
      <w:pPr>
        <w:pStyle w:val="Subttulo"/>
        <w:numPr>
          <w:ilvl w:val="0"/>
          <w:numId w:val="2"/>
        </w:numPr>
        <w:tabs>
          <w:tab w:val="left" w:pos="284"/>
        </w:tabs>
        <w:spacing w:before="120" w:after="120"/>
        <w:ind w:left="0" w:firstLine="0"/>
        <w:jc w:val="left"/>
        <w:rPr>
          <w:b/>
          <w:bCs/>
        </w:rPr>
      </w:pPr>
      <w:r>
        <w:rPr>
          <w:rFonts w:ascii="Arial" w:eastAsia="Arial" w:hAnsi="Arial" w:cs="Arial"/>
          <w:b/>
          <w:bCs/>
        </w:rPr>
        <w:t>No conformidades detectadas:</w:t>
      </w:r>
    </w:p>
    <w:tbl>
      <w:tblPr>
        <w:tblStyle w:val="a8"/>
        <w:tblW w:w="9356" w:type="dxa"/>
        <w:tblInd w:w="13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8505"/>
      </w:tblGrid>
      <w:tr w:rsidR="008F3D5D" w14:paraId="18432F86" w14:textId="77777777">
        <w:trPr>
          <w:trHeight w:val="404"/>
          <w:tblHeader/>
        </w:trPr>
        <w:tc>
          <w:tcPr>
            <w:tcW w:w="851" w:type="dxa"/>
            <w:tcBorders>
              <w:right w:val="dotted" w:sz="4" w:space="0" w:color="000000"/>
            </w:tcBorders>
            <w:shd w:val="clear" w:color="auto" w:fill="F2F2F2"/>
            <w:vAlign w:val="center"/>
          </w:tcPr>
          <w:p w14:paraId="1A7CB0B7" w14:textId="77777777" w:rsidR="008F3D5D" w:rsidRDefault="00A0059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8505" w:type="dxa"/>
            <w:tcBorders>
              <w:left w:val="dotted" w:sz="4" w:space="0" w:color="000000"/>
            </w:tcBorders>
            <w:shd w:val="clear" w:color="auto" w:fill="F2F2F2"/>
            <w:vAlign w:val="center"/>
          </w:tcPr>
          <w:p w14:paraId="3C941700" w14:textId="77777777" w:rsidR="008F3D5D" w:rsidRDefault="00A0059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Descrip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ción No conformidad</w:t>
            </w:r>
          </w:p>
        </w:tc>
      </w:tr>
      <w:tr w:rsidR="008F3D5D" w:rsidRPr="00D92E4C" w14:paraId="4A439646" w14:textId="77777777">
        <w:trPr>
          <w:trHeight w:val="2254"/>
        </w:trPr>
        <w:tc>
          <w:tcPr>
            <w:tcW w:w="851" w:type="dxa"/>
            <w:tcBorders>
              <w:right w:val="dotted" w:sz="4" w:space="0" w:color="000000"/>
            </w:tcBorders>
            <w:vAlign w:val="center"/>
          </w:tcPr>
          <w:p w14:paraId="6482D6F5" w14:textId="6D022F9F" w:rsidR="008F3D5D" w:rsidRDefault="002C500F">
            <w:pP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left w:val="dotted" w:sz="4" w:space="0" w:color="000000"/>
            </w:tcBorders>
            <w:vAlign w:val="center"/>
          </w:tcPr>
          <w:p w14:paraId="0A7D6673" w14:textId="00284B82" w:rsidR="008F3D5D" w:rsidRDefault="00D92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Trece (1</w:t>
            </w: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) acciones no lograron su cumplimiento en dos o más seguimientos y no se evidencia su reformulación: </w:t>
            </w:r>
          </w:p>
          <w:p w14:paraId="07CFFD68" w14:textId="77777777" w:rsidR="008F3D5D" w:rsidRDefault="00A0059F">
            <w:pPr>
              <w:numPr>
                <w:ilvl w:val="0"/>
                <w:numId w:val="1"/>
              </w:numPr>
              <w:ind w:left="314" w:hanging="28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Administración de bienes e infraestructura (AB19-2023-1, AB20-2023-1 y AB21-2023-1). </w:t>
            </w:r>
          </w:p>
          <w:p w14:paraId="51393807" w14:textId="77777777" w:rsidR="008F3D5D" w:rsidRDefault="00A0059F">
            <w:pPr>
              <w:numPr>
                <w:ilvl w:val="0"/>
                <w:numId w:val="1"/>
              </w:numPr>
              <w:ind w:left="314" w:hanging="28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Gestión Financiera (GF4-2025-3,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GF7-2025-2, GF8-2025-1 y GF8-2025-2).</w:t>
            </w:r>
          </w:p>
          <w:p w14:paraId="1B2735B1" w14:textId="77777777" w:rsidR="008F3D5D" w:rsidRPr="00D92E4C" w:rsidRDefault="00A0059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4" w:hanging="284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Gestión</w:t>
            </w:r>
            <w:proofErr w:type="spellEnd"/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Talento</w:t>
            </w:r>
            <w:proofErr w:type="spellEnd"/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Humano</w:t>
            </w:r>
            <w:proofErr w:type="spellEnd"/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 xml:space="preserve"> (TH6-2024-1, TH7-2024-1, TH8-2024-1, TH02-2025-1, TH03-2025-1 y TH06-2025-1)</w:t>
            </w:r>
          </w:p>
        </w:tc>
      </w:tr>
      <w:tr w:rsidR="008F3D5D" w14:paraId="41D613E7" w14:textId="77777777">
        <w:trPr>
          <w:trHeight w:val="1261"/>
        </w:trPr>
        <w:tc>
          <w:tcPr>
            <w:tcW w:w="851" w:type="dxa"/>
            <w:tcBorders>
              <w:right w:val="dotted" w:sz="4" w:space="0" w:color="000000"/>
            </w:tcBorders>
            <w:vAlign w:val="center"/>
          </w:tcPr>
          <w:p w14:paraId="1DE8E681" w14:textId="76B151FB" w:rsidR="008F3D5D" w:rsidRDefault="002C500F">
            <w:pP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left w:val="dotted" w:sz="4" w:space="0" w:color="000000"/>
            </w:tcBorders>
            <w:vAlign w:val="center"/>
          </w:tcPr>
          <w:p w14:paraId="0ADFABFF" w14:textId="77777777" w:rsidR="008F3D5D" w:rsidRDefault="00A0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No se identifica la formulación de plan de mejoramiento para dieciocho (18) no conformidades derivadas de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seguimientos y auditorías realizadas por la Asesoría de Control Interno durante el 2024, 2025 y lo corrido de 2026. El detalle se presenta en el cuerpo del informe.</w:t>
            </w:r>
          </w:p>
        </w:tc>
      </w:tr>
    </w:tbl>
    <w:p w14:paraId="4CC65C95" w14:textId="77777777" w:rsidR="008F3D5D" w:rsidRPr="00D92E4C" w:rsidRDefault="00A0059F">
      <w:pPr>
        <w:pStyle w:val="Subttulo"/>
        <w:tabs>
          <w:tab w:val="left" w:pos="284"/>
        </w:tabs>
        <w:spacing w:before="120" w:after="120"/>
        <w:ind w:right="283"/>
        <w:jc w:val="left"/>
        <w:rPr>
          <w:rFonts w:ascii="Arial" w:eastAsia="Arial" w:hAnsi="Arial" w:cs="Arial"/>
          <w:b/>
          <w:bCs/>
        </w:rPr>
      </w:pPr>
      <w:r w:rsidRPr="00D92E4C">
        <w:rPr>
          <w:rFonts w:ascii="Arial" w:eastAsia="Arial" w:hAnsi="Arial" w:cs="Arial"/>
          <w:b/>
          <w:bCs/>
        </w:rPr>
        <w:t>Detalle de evaluación</w:t>
      </w:r>
    </w:p>
    <w:p w14:paraId="70DAADE5" w14:textId="77777777" w:rsidR="008F3D5D" w:rsidRPr="00D92E4C" w:rsidRDefault="00A0059F">
      <w:pPr>
        <w:spacing w:before="240" w:after="240"/>
        <w:ind w:right="284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>Los planes de mejoramiento corresponden a acciones a implementar par</w:t>
      </w:r>
      <w:r w:rsidRPr="00D92E4C">
        <w:rPr>
          <w:rFonts w:ascii="Arial" w:eastAsia="Arial" w:hAnsi="Arial" w:cs="Arial"/>
          <w:sz w:val="24"/>
          <w:szCs w:val="24"/>
        </w:rPr>
        <w:t>a corregir los hallazgos identificados en auditorías internas y externas, visitas de control fiscal, auditorías a estados financieros, materialización de riesgos, incumplimiento de indicadores, procesos de autocontrol y seguimientos, entre otros.</w:t>
      </w:r>
    </w:p>
    <w:p w14:paraId="104E2E5E" w14:textId="77777777" w:rsidR="008F3D5D" w:rsidRPr="00D92E4C" w:rsidRDefault="00A0059F">
      <w:pPr>
        <w:spacing w:before="240" w:after="240"/>
        <w:ind w:right="284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>Las accio</w:t>
      </w:r>
      <w:r w:rsidRPr="00D92E4C">
        <w:rPr>
          <w:rFonts w:ascii="Arial" w:eastAsia="Arial" w:hAnsi="Arial" w:cs="Arial"/>
          <w:sz w:val="24"/>
          <w:szCs w:val="24"/>
        </w:rPr>
        <w:t>nes, metas, indicadores y plazos son definidos por los responsables de las dependencias donde se originó el hallazgo. El cumplimiento de estas acciones depende del seguimiento, control y documentación adecuados.</w:t>
      </w:r>
    </w:p>
    <w:p w14:paraId="22558F83" w14:textId="77777777" w:rsidR="008F3D5D" w:rsidRPr="00D92E4C" w:rsidRDefault="00A0059F">
      <w:pPr>
        <w:spacing w:before="240" w:after="240"/>
        <w:ind w:right="284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lastRenderedPageBreak/>
        <w:t>La Asesoría de Control Interno solicitó a la</w:t>
      </w:r>
      <w:r w:rsidRPr="00D92E4C">
        <w:rPr>
          <w:rFonts w:ascii="Arial" w:eastAsia="Arial" w:hAnsi="Arial" w:cs="Arial"/>
          <w:sz w:val="24"/>
          <w:szCs w:val="24"/>
        </w:rPr>
        <w:t xml:space="preserve"> segunda línea de defensa que proporcionara los soportes del seguimiento, tanto para los planes de mejoramiento internos como los de la Contraloría de Bogotá (externos).</w:t>
      </w:r>
    </w:p>
    <w:p w14:paraId="476F5361" w14:textId="77777777" w:rsidR="008F3D5D" w:rsidRPr="00D92E4C" w:rsidRDefault="00A0059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D92E4C">
        <w:rPr>
          <w:rFonts w:ascii="Arial" w:eastAsia="Arial" w:hAnsi="Arial" w:cs="Arial"/>
          <w:b/>
          <w:bCs/>
          <w:color w:val="000000"/>
          <w:sz w:val="24"/>
          <w:szCs w:val="24"/>
        </w:rPr>
        <w:t>SEGUIMIENTO PLANES DE MEJORAMIENTO EXTERNOS</w:t>
      </w:r>
    </w:p>
    <w:p w14:paraId="14DE9253" w14:textId="77777777" w:rsidR="008F3D5D" w:rsidRPr="00D92E4C" w:rsidRDefault="00A0059F">
      <w:pPr>
        <w:spacing w:before="240" w:after="240"/>
        <w:ind w:right="284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 xml:space="preserve">Con respecto a los planes de mejoramiento </w:t>
      </w:r>
      <w:r w:rsidRPr="00D92E4C">
        <w:rPr>
          <w:rFonts w:ascii="Arial" w:eastAsia="Arial" w:hAnsi="Arial" w:cs="Arial"/>
          <w:sz w:val="24"/>
          <w:szCs w:val="24"/>
        </w:rPr>
        <w:t>del ente de control, se evidencia la formulación de veinticinco (25) acciones como resultado de la auditoría con código 3 llevada a cabo por la Contraloría de Bogotá en 2025 y de veinte (20) acciones como resultado de la auditoría con código 3 realizada po</w:t>
      </w:r>
      <w:r w:rsidRPr="00D92E4C">
        <w:rPr>
          <w:rFonts w:ascii="Arial" w:eastAsia="Arial" w:hAnsi="Arial" w:cs="Arial"/>
          <w:sz w:val="24"/>
          <w:szCs w:val="24"/>
        </w:rPr>
        <w:t>r la Contraloría de Bogotá durante el 2026. Se procedió a evaluar el grado de cumplimiento de estas acciones por parte de las dependencias, con corte al 30 de junio de 2026, y se obtuvieron los siguientes resultados:</w:t>
      </w:r>
    </w:p>
    <w:tbl>
      <w:tblPr>
        <w:tblStyle w:val="a9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1843"/>
        <w:gridCol w:w="1842"/>
        <w:gridCol w:w="1560"/>
      </w:tblGrid>
      <w:tr w:rsidR="008F3D5D" w:rsidRPr="00D92E4C" w14:paraId="375F38C4" w14:textId="77777777">
        <w:trPr>
          <w:trHeight w:val="558"/>
          <w:tblHeader/>
        </w:trPr>
        <w:tc>
          <w:tcPr>
            <w:tcW w:w="1276" w:type="dxa"/>
            <w:shd w:val="clear" w:color="auto" w:fill="B4C6E7"/>
            <w:vAlign w:val="center"/>
          </w:tcPr>
          <w:p w14:paraId="39A024B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before="120" w:after="120"/>
              <w:ind w:left="-117" w:right="-11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VIGENCIA - CÓDIGO</w:t>
            </w:r>
          </w:p>
        </w:tc>
        <w:tc>
          <w:tcPr>
            <w:tcW w:w="1559" w:type="dxa"/>
            <w:shd w:val="clear" w:color="auto" w:fill="B4C6E7"/>
            <w:vAlign w:val="center"/>
          </w:tcPr>
          <w:p w14:paraId="4FAD3A8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NO. HALLAZGO</w:t>
            </w:r>
          </w:p>
        </w:tc>
        <w:tc>
          <w:tcPr>
            <w:tcW w:w="1418" w:type="dxa"/>
            <w:shd w:val="clear" w:color="auto" w:fill="B4C6E7"/>
            <w:vAlign w:val="center"/>
          </w:tcPr>
          <w:p w14:paraId="43AC044C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CANT.</w:t>
            </w:r>
          </w:p>
          <w:p w14:paraId="392D9F9E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ACCIONES</w:t>
            </w:r>
          </w:p>
        </w:tc>
        <w:tc>
          <w:tcPr>
            <w:tcW w:w="1843" w:type="dxa"/>
            <w:shd w:val="clear" w:color="auto" w:fill="B4C6E7"/>
            <w:vAlign w:val="center"/>
          </w:tcPr>
          <w:p w14:paraId="2651393B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EJECUTADAS</w:t>
            </w:r>
          </w:p>
        </w:tc>
        <w:tc>
          <w:tcPr>
            <w:tcW w:w="1842" w:type="dxa"/>
            <w:shd w:val="clear" w:color="auto" w:fill="B4C6E7"/>
            <w:vAlign w:val="center"/>
          </w:tcPr>
          <w:p w14:paraId="150D553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VENCIDAS (Incumplidas)</w:t>
            </w:r>
          </w:p>
        </w:tc>
        <w:tc>
          <w:tcPr>
            <w:tcW w:w="1560" w:type="dxa"/>
            <w:shd w:val="clear" w:color="auto" w:fill="B4C6E7"/>
            <w:vAlign w:val="center"/>
          </w:tcPr>
          <w:p w14:paraId="3B89FA97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EN EJECUCIÓN</w:t>
            </w:r>
          </w:p>
        </w:tc>
      </w:tr>
      <w:tr w:rsidR="008F3D5D" w:rsidRPr="00D92E4C" w14:paraId="2C4A9FA2" w14:textId="77777777">
        <w:trPr>
          <w:trHeight w:val="443"/>
        </w:trPr>
        <w:tc>
          <w:tcPr>
            <w:tcW w:w="1276" w:type="dxa"/>
            <w:shd w:val="clear" w:color="auto" w:fill="D9E2F3"/>
            <w:vAlign w:val="center"/>
          </w:tcPr>
          <w:p w14:paraId="5B117CBC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2025 - 3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48EB27B7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3.2.2.1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005F752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691DC1D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14:paraId="35A328AF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4F5C8AEE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8F3D5D" w:rsidRPr="00D92E4C" w14:paraId="6BBAC6C4" w14:textId="77777777">
        <w:trPr>
          <w:trHeight w:val="443"/>
        </w:trPr>
        <w:tc>
          <w:tcPr>
            <w:tcW w:w="1276" w:type="dxa"/>
            <w:shd w:val="clear" w:color="auto" w:fill="D9E2F3"/>
            <w:vAlign w:val="center"/>
          </w:tcPr>
          <w:p w14:paraId="45DAD528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2025 - 3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7730280F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3.2.3.2.1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0D7DC110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C642ECC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14:paraId="1A64137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0C4C71EA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8F3D5D" w:rsidRPr="00D92E4C" w14:paraId="557A730D" w14:textId="77777777">
        <w:trPr>
          <w:trHeight w:val="443"/>
        </w:trPr>
        <w:tc>
          <w:tcPr>
            <w:tcW w:w="1276" w:type="dxa"/>
            <w:shd w:val="clear" w:color="auto" w:fill="D9E2F3"/>
            <w:vAlign w:val="center"/>
          </w:tcPr>
          <w:p w14:paraId="7768463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2025 - 3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765A6CF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3.2.3.2.2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061245FA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14:paraId="06133502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14:paraId="29E52F2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584E78BB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8F3D5D" w:rsidRPr="00D92E4C" w14:paraId="4B62DCB2" w14:textId="77777777">
        <w:trPr>
          <w:trHeight w:val="399"/>
        </w:trPr>
        <w:tc>
          <w:tcPr>
            <w:tcW w:w="1276" w:type="dxa"/>
            <w:shd w:val="clear" w:color="auto" w:fill="D9E2F3"/>
            <w:vAlign w:val="center"/>
          </w:tcPr>
          <w:p w14:paraId="559CA0C0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2025 - 3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74CFB638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3.2.3.2.3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5F8E85B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79ABC12C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14:paraId="4D1EA81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2C22BABE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8F3D5D" w:rsidRPr="00D92E4C" w14:paraId="6B8085EA" w14:textId="77777777">
        <w:trPr>
          <w:trHeight w:val="399"/>
        </w:trPr>
        <w:tc>
          <w:tcPr>
            <w:tcW w:w="1276" w:type="dxa"/>
            <w:shd w:val="clear" w:color="auto" w:fill="D9E2F3"/>
            <w:vAlign w:val="center"/>
          </w:tcPr>
          <w:p w14:paraId="2AB9720E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2025 -3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27595150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3.2.3.2.4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289135D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5CA5EE7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14:paraId="1FA7A4C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7D6A20F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8F3D5D" w:rsidRPr="00D92E4C" w14:paraId="61A7A426" w14:textId="77777777">
        <w:trPr>
          <w:trHeight w:val="399"/>
        </w:trPr>
        <w:tc>
          <w:tcPr>
            <w:tcW w:w="1276" w:type="dxa"/>
            <w:shd w:val="clear" w:color="auto" w:fill="D9E2F3"/>
            <w:vAlign w:val="center"/>
          </w:tcPr>
          <w:p w14:paraId="3C9E538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2025 - 3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20F71CB7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3.2.4.1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4315549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245A58CE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14:paraId="390DA2AA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5B2626B4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8F3D5D" w:rsidRPr="00D92E4C" w14:paraId="55C5F0C1" w14:textId="77777777">
        <w:trPr>
          <w:trHeight w:val="445"/>
        </w:trPr>
        <w:tc>
          <w:tcPr>
            <w:tcW w:w="1276" w:type="dxa"/>
            <w:shd w:val="clear" w:color="auto" w:fill="D9E2F3"/>
            <w:vAlign w:val="center"/>
          </w:tcPr>
          <w:p w14:paraId="7751410F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2025 -3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0339D4F0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3.2.4.2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5CAAB1A9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1B6E7C4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14:paraId="78A1D4FA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7374755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8F3D5D" w:rsidRPr="00D92E4C" w14:paraId="5BC24782" w14:textId="77777777">
        <w:trPr>
          <w:trHeight w:val="398"/>
        </w:trPr>
        <w:tc>
          <w:tcPr>
            <w:tcW w:w="1276" w:type="dxa"/>
            <w:shd w:val="clear" w:color="auto" w:fill="D9E2F3"/>
            <w:vAlign w:val="center"/>
          </w:tcPr>
          <w:p w14:paraId="25B202D8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2026 - 3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3923CD12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3.1.1.1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2D7EF2A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7A2F8C3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14:paraId="0D23FA5F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3848CBE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8F3D5D" w:rsidRPr="00D92E4C" w14:paraId="5B55B9DA" w14:textId="77777777">
        <w:trPr>
          <w:trHeight w:val="398"/>
        </w:trPr>
        <w:tc>
          <w:tcPr>
            <w:tcW w:w="1276" w:type="dxa"/>
            <w:shd w:val="clear" w:color="auto" w:fill="D9E2F3"/>
          </w:tcPr>
          <w:p w14:paraId="473E3F1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2026 - 3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3A07084F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3.1.1.2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3AD685F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2DDD7E0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14:paraId="23AF9E58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235A540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8F3D5D" w:rsidRPr="00D92E4C" w14:paraId="0E1BE4DE" w14:textId="77777777">
        <w:trPr>
          <w:trHeight w:val="398"/>
        </w:trPr>
        <w:tc>
          <w:tcPr>
            <w:tcW w:w="1276" w:type="dxa"/>
            <w:shd w:val="clear" w:color="auto" w:fill="D9E2F3"/>
          </w:tcPr>
          <w:p w14:paraId="02C7B3F8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2026 - 3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424FE76B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3.2.3.1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0E6DC1C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3B09C5B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14:paraId="496B2274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2E159C5A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8F3D5D" w:rsidRPr="00D92E4C" w14:paraId="40452C19" w14:textId="77777777">
        <w:trPr>
          <w:trHeight w:val="398"/>
        </w:trPr>
        <w:tc>
          <w:tcPr>
            <w:tcW w:w="1276" w:type="dxa"/>
            <w:shd w:val="clear" w:color="auto" w:fill="D9E2F3"/>
          </w:tcPr>
          <w:p w14:paraId="5F27C6A7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2026 - 3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13FCE2BE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3.2.3.2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67933FFA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70A596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14:paraId="03156AE4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67B25A7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8F3D5D" w:rsidRPr="00D92E4C" w14:paraId="412D90AB" w14:textId="77777777">
        <w:trPr>
          <w:trHeight w:val="398"/>
        </w:trPr>
        <w:tc>
          <w:tcPr>
            <w:tcW w:w="1276" w:type="dxa"/>
            <w:shd w:val="clear" w:color="auto" w:fill="D9E2F3"/>
          </w:tcPr>
          <w:p w14:paraId="38B993A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2026 - 3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4262159B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3.2.4.1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47E3AE07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49830C4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14:paraId="5D938A18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0025B21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8F3D5D" w:rsidRPr="00D92E4C" w14:paraId="00B504F2" w14:textId="77777777">
        <w:trPr>
          <w:trHeight w:val="398"/>
        </w:trPr>
        <w:tc>
          <w:tcPr>
            <w:tcW w:w="1276" w:type="dxa"/>
            <w:shd w:val="clear" w:color="auto" w:fill="D9E2F3"/>
          </w:tcPr>
          <w:p w14:paraId="0C13BD14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2026 - 3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6C4958AB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3.2.4.2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54DB7EFF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3A3E59E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14:paraId="41AC7DDE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11659294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8F3D5D" w:rsidRPr="00D92E4C" w14:paraId="528103A6" w14:textId="77777777">
        <w:trPr>
          <w:trHeight w:val="398"/>
        </w:trPr>
        <w:tc>
          <w:tcPr>
            <w:tcW w:w="1276" w:type="dxa"/>
            <w:shd w:val="clear" w:color="auto" w:fill="D9E2F3"/>
          </w:tcPr>
          <w:p w14:paraId="3B8B6ED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2026 - 3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6F27E70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3.2.4.3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68D7C4D2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38A6AA18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14:paraId="6CD8339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3D3FC54E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8F3D5D" w:rsidRPr="00D92E4C" w14:paraId="30303CBF" w14:textId="77777777">
        <w:trPr>
          <w:trHeight w:val="398"/>
        </w:trPr>
        <w:tc>
          <w:tcPr>
            <w:tcW w:w="1276" w:type="dxa"/>
            <w:shd w:val="clear" w:color="auto" w:fill="D9E2F3"/>
            <w:vAlign w:val="center"/>
          </w:tcPr>
          <w:p w14:paraId="3A75C7A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53783A89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466A8BCF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43" w:type="dxa"/>
            <w:vAlign w:val="center"/>
          </w:tcPr>
          <w:p w14:paraId="00826F9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2" w:type="dxa"/>
            <w:vAlign w:val="center"/>
          </w:tcPr>
          <w:p w14:paraId="26FF190B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23708F2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29</w:t>
            </w:r>
          </w:p>
        </w:tc>
      </w:tr>
    </w:tbl>
    <w:p w14:paraId="4597335B" w14:textId="77777777" w:rsidR="008F3D5D" w:rsidRPr="00D92E4C" w:rsidRDefault="00A0059F">
      <w:pPr>
        <w:spacing w:before="240" w:after="240"/>
        <w:ind w:right="284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 xml:space="preserve">La información del seguimiento detallado puede ser </w:t>
      </w:r>
      <w:r w:rsidRPr="00D92E4C">
        <w:rPr>
          <w:rFonts w:ascii="Arial" w:eastAsia="Arial" w:hAnsi="Arial" w:cs="Arial"/>
          <w:sz w:val="24"/>
          <w:szCs w:val="24"/>
        </w:rPr>
        <w:t>consultada en los Anexos 1.1 y 1.2 de este informe.</w:t>
      </w:r>
    </w:p>
    <w:p w14:paraId="549A0296" w14:textId="77777777" w:rsidR="008F3D5D" w:rsidRPr="00D92E4C" w:rsidRDefault="00A0059F">
      <w:pPr>
        <w:spacing w:before="240" w:after="240"/>
        <w:ind w:right="284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 xml:space="preserve">Es importante precisar que, si bien la Asesoría de Control Interno lleva a cabo el seguimiento y presenta las alertas pertinentes, la decisión final sobre la procedencia, el </w:t>
      </w:r>
      <w:r w:rsidRPr="00D92E4C">
        <w:rPr>
          <w:rFonts w:ascii="Arial" w:eastAsia="Arial" w:hAnsi="Arial" w:cs="Arial"/>
          <w:sz w:val="24"/>
          <w:szCs w:val="24"/>
        </w:rPr>
        <w:lastRenderedPageBreak/>
        <w:t xml:space="preserve">cumplimiento y la efectividad </w:t>
      </w:r>
      <w:r w:rsidRPr="00D92E4C">
        <w:rPr>
          <w:rFonts w:ascii="Arial" w:eastAsia="Arial" w:hAnsi="Arial" w:cs="Arial"/>
          <w:sz w:val="24"/>
          <w:szCs w:val="24"/>
        </w:rPr>
        <w:t>de las evidencias recae en la Contraloría de Bogotá, a través de sus auditorías, visitas especiales y/o procesos de averiguación preliminar por el incumplimiento del plan de mejoramiento. En este sentido, se resalta la acción 1 asociada al hallazgo 3.2.3.2</w:t>
      </w:r>
      <w:r w:rsidRPr="00D92E4C">
        <w:rPr>
          <w:rFonts w:ascii="Arial" w:eastAsia="Arial" w:hAnsi="Arial" w:cs="Arial"/>
          <w:sz w:val="24"/>
          <w:szCs w:val="24"/>
        </w:rPr>
        <w:t>.2 fue calificada como cumplida efectiva por parte de la Contraloría de Bogotá.</w:t>
      </w:r>
    </w:p>
    <w:p w14:paraId="33621274" w14:textId="53165E26" w:rsidR="008F3D5D" w:rsidRPr="00D92E4C" w:rsidRDefault="00833B3B">
      <w:pPr>
        <w:spacing w:before="240" w:after="240"/>
        <w:ind w:right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Respecto a lo anterior, l</w:t>
      </w:r>
      <w:r w:rsidR="00A0059F" w:rsidRPr="00D92E4C">
        <w:rPr>
          <w:rFonts w:ascii="Arial" w:eastAsia="Arial" w:hAnsi="Arial" w:cs="Arial"/>
          <w:sz w:val="24"/>
          <w:szCs w:val="24"/>
        </w:rPr>
        <w:t xml:space="preserve">a Asesoría de Control Interno en el marco del presente seguimiento, realiza un alertamiento preventivo a los diferentes procesos del IDPC que tienen a </w:t>
      </w:r>
      <w:r w:rsidR="00A0059F" w:rsidRPr="00D92E4C">
        <w:rPr>
          <w:rFonts w:ascii="Arial" w:eastAsia="Arial" w:hAnsi="Arial" w:cs="Arial"/>
          <w:sz w:val="24"/>
          <w:szCs w:val="24"/>
        </w:rPr>
        <w:t>cargo el cumplimiento de las acciones del Plan de Mejoramiento Externo, para que se realicen las acciones necesarias y pertinentes a fin de que las acciones establecidas sean realizadas de forma oportuna (en la fecha establecida) y  que realmente aborden l</w:t>
      </w:r>
      <w:r w:rsidR="00A0059F" w:rsidRPr="00D92E4C">
        <w:rPr>
          <w:rFonts w:ascii="Arial" w:eastAsia="Arial" w:hAnsi="Arial" w:cs="Arial"/>
          <w:sz w:val="24"/>
          <w:szCs w:val="24"/>
        </w:rPr>
        <w:t xml:space="preserve">a causa raíz de las situaciones detectadas, de tal forma que la Contraloría las pueda calificar como efectivas; toda vez que, en atención a la Resolución Reglamentaria 019 de 2025 Contraloría de Bogotá D.C. en el </w:t>
      </w:r>
      <w:r w:rsidR="00A0059F" w:rsidRPr="00D92E4C">
        <w:rPr>
          <w:rFonts w:ascii="Arial" w:eastAsia="Arial" w:hAnsi="Arial" w:cs="Arial"/>
          <w:b/>
          <w:bCs/>
          <w:i/>
          <w:iCs/>
          <w:sz w:val="24"/>
          <w:szCs w:val="24"/>
        </w:rPr>
        <w:t>CAPÍTULO VI: SANCIONES</w:t>
      </w:r>
      <w:r w:rsidR="00A0059F" w:rsidRPr="00D92E4C">
        <w:rPr>
          <w:rFonts w:ascii="Arial" w:eastAsia="Arial" w:hAnsi="Arial" w:cs="Arial"/>
          <w:b/>
          <w:bCs/>
          <w:color w:val="333333"/>
          <w:sz w:val="24"/>
          <w:szCs w:val="24"/>
        </w:rPr>
        <w:t xml:space="preserve">,  </w:t>
      </w:r>
      <w:r w:rsidR="00A0059F" w:rsidRPr="00D92E4C">
        <w:rPr>
          <w:rFonts w:ascii="Arial" w:eastAsia="Arial" w:hAnsi="Arial" w:cs="Arial"/>
          <w:sz w:val="24"/>
          <w:szCs w:val="24"/>
        </w:rPr>
        <w:t xml:space="preserve">indica claramente </w:t>
      </w:r>
      <w:r w:rsidR="00A0059F" w:rsidRPr="00D92E4C">
        <w:rPr>
          <w:rFonts w:ascii="Arial" w:eastAsia="Arial" w:hAnsi="Arial" w:cs="Arial"/>
          <w:sz w:val="24"/>
          <w:szCs w:val="24"/>
        </w:rPr>
        <w:t>que:</w:t>
      </w:r>
    </w:p>
    <w:p w14:paraId="546ABD70" w14:textId="77777777" w:rsidR="008F3D5D" w:rsidRPr="00D92E4C" w:rsidRDefault="00A0059F">
      <w:pPr>
        <w:shd w:val="clear" w:color="auto" w:fill="FFFFFF"/>
        <w:spacing w:before="120" w:after="120"/>
        <w:jc w:val="both"/>
        <w:rPr>
          <w:rFonts w:ascii="Calibri" w:eastAsia="Calibri" w:hAnsi="Calibri" w:cs="Calibri"/>
          <w:i/>
          <w:iCs/>
          <w:color w:val="333333"/>
          <w:sz w:val="24"/>
          <w:szCs w:val="24"/>
        </w:rPr>
      </w:pPr>
      <w:r w:rsidRPr="00D92E4C">
        <w:rPr>
          <w:rFonts w:ascii="Arial" w:eastAsia="Arial" w:hAnsi="Arial" w:cs="Arial"/>
          <w:i/>
          <w:iCs/>
          <w:sz w:val="24"/>
          <w:szCs w:val="24"/>
        </w:rPr>
        <w:t>“</w:t>
      </w:r>
      <w:r w:rsidRPr="00D92E4C">
        <w:rPr>
          <w:rFonts w:ascii="Arial" w:eastAsia="Arial" w:hAnsi="Arial" w:cs="Arial"/>
          <w:b/>
          <w:bCs/>
          <w:i/>
          <w:iCs/>
          <w:color w:val="333333"/>
          <w:sz w:val="24"/>
          <w:szCs w:val="24"/>
        </w:rPr>
        <w:t>CAUSALES DE SANCIÓN.</w:t>
      </w:r>
      <w:r w:rsidRPr="00D92E4C">
        <w:rPr>
          <w:rFonts w:ascii="Arial" w:eastAsia="Arial" w:hAnsi="Arial" w:cs="Arial"/>
          <w:i/>
          <w:iCs/>
          <w:color w:val="333333"/>
          <w:sz w:val="24"/>
          <w:szCs w:val="24"/>
        </w:rPr>
        <w:t xml:space="preserve"> La Contraloría de Bogotá D.C., podrá según el caso, imponer sanciones a los responsables, cuando su conducta se adecue a las acciones previstas en el procedimiento administrativo sancionatorio fiscal de conformidad con los </w:t>
      </w:r>
      <w:r w:rsidRPr="00D92E4C">
        <w:rPr>
          <w:rFonts w:ascii="Arial" w:eastAsia="Arial" w:hAnsi="Arial" w:cs="Arial"/>
          <w:i/>
          <w:iCs/>
          <w:color w:val="333333"/>
          <w:sz w:val="24"/>
          <w:szCs w:val="24"/>
        </w:rPr>
        <w:t>artículos 100 a 104 de la Ley 42 de 1993.</w:t>
      </w:r>
    </w:p>
    <w:p w14:paraId="1DF24E9A" w14:textId="77777777" w:rsidR="008F3D5D" w:rsidRPr="00D92E4C" w:rsidRDefault="00A0059F">
      <w:pPr>
        <w:shd w:val="clear" w:color="auto" w:fill="FFFFFF"/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i/>
          <w:iCs/>
          <w:color w:val="333333"/>
          <w:sz w:val="24"/>
          <w:szCs w:val="24"/>
        </w:rPr>
        <w:t xml:space="preserve">Serán causales susceptibles de sanción </w:t>
      </w:r>
      <w:r w:rsidRPr="00D92E4C">
        <w:rPr>
          <w:rFonts w:ascii="Arial" w:eastAsia="Arial" w:hAnsi="Arial" w:cs="Arial"/>
          <w:b/>
          <w:bCs/>
          <w:i/>
          <w:iCs/>
          <w:color w:val="333333"/>
          <w:sz w:val="24"/>
          <w:szCs w:val="24"/>
        </w:rPr>
        <w:t>el incumplimiento al procedimiento y tramite del plan de mejoramiento de la presente resolución reglamentaria, cuando no se adelanten las acciones tendientes a subsanar o miti</w:t>
      </w:r>
      <w:r w:rsidRPr="00D92E4C">
        <w:rPr>
          <w:rFonts w:ascii="Arial" w:eastAsia="Arial" w:hAnsi="Arial" w:cs="Arial"/>
          <w:b/>
          <w:bCs/>
          <w:i/>
          <w:iCs/>
          <w:color w:val="333333"/>
          <w:sz w:val="24"/>
          <w:szCs w:val="24"/>
        </w:rPr>
        <w:t>gar los riesgos que originaron las deficiencias señaladas por la Contraloría de Bogotá D.C., cuando no se formule(n) acción(es) a un hallazgo determinado, cuando no se culminen las acciones formuladas en el plazo indicado</w:t>
      </w:r>
      <w:r w:rsidRPr="00D92E4C">
        <w:rPr>
          <w:rFonts w:ascii="Arial" w:eastAsia="Arial" w:hAnsi="Arial" w:cs="Arial"/>
          <w:i/>
          <w:iCs/>
          <w:color w:val="333333"/>
          <w:sz w:val="24"/>
          <w:szCs w:val="24"/>
        </w:rPr>
        <w:t xml:space="preserve"> y la inobservancia en los aspectos</w:t>
      </w:r>
      <w:r w:rsidRPr="00D92E4C">
        <w:rPr>
          <w:rFonts w:ascii="Arial" w:eastAsia="Arial" w:hAnsi="Arial" w:cs="Arial"/>
          <w:i/>
          <w:iCs/>
          <w:color w:val="333333"/>
          <w:sz w:val="24"/>
          <w:szCs w:val="24"/>
        </w:rPr>
        <w:t xml:space="preserve"> de presentación, forma, términos y contenido, establecidos en el presente acto administrativo y los expedidos para la rendición de la cuenta.”  </w:t>
      </w:r>
      <w:r w:rsidRPr="00D92E4C">
        <w:rPr>
          <w:rFonts w:ascii="Arial" w:eastAsia="Arial" w:hAnsi="Arial" w:cs="Arial"/>
          <w:color w:val="333333"/>
          <w:sz w:val="24"/>
          <w:szCs w:val="24"/>
        </w:rPr>
        <w:t>(negrita fuera del texto original).</w:t>
      </w:r>
    </w:p>
    <w:p w14:paraId="73BE2669" w14:textId="77777777" w:rsidR="008F3D5D" w:rsidRPr="00D92E4C" w:rsidRDefault="00A0059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D92E4C">
        <w:rPr>
          <w:rFonts w:ascii="Arial" w:eastAsia="Arial" w:hAnsi="Arial" w:cs="Arial"/>
          <w:b/>
          <w:bCs/>
          <w:color w:val="000000"/>
          <w:sz w:val="24"/>
          <w:szCs w:val="24"/>
        </w:rPr>
        <w:t>SEGUIMIENTO PLANES DE MEJORAMIENTO INTERNOS</w:t>
      </w:r>
    </w:p>
    <w:p w14:paraId="60D47A63" w14:textId="77777777" w:rsidR="008F3D5D" w:rsidRPr="00D92E4C" w:rsidRDefault="00A0059F">
      <w:pPr>
        <w:spacing w:before="240" w:after="240"/>
        <w:ind w:right="284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 xml:space="preserve">En el marco del seguimiento al </w:t>
      </w:r>
      <w:r w:rsidRPr="00D92E4C">
        <w:rPr>
          <w:rFonts w:ascii="Arial" w:eastAsia="Arial" w:hAnsi="Arial" w:cs="Arial"/>
          <w:sz w:val="24"/>
          <w:szCs w:val="24"/>
        </w:rPr>
        <w:t xml:space="preserve">avance y cumplimiento de los compromisos establecidos en los planes de mejoramiento por procesos, la Asesoría de Control Interno solicitó a la segunda línea de defensa la presentación de evidencias sobre las actividades ejecutadas para cada acción. </w:t>
      </w:r>
    </w:p>
    <w:p w14:paraId="526805B3" w14:textId="77777777" w:rsidR="008F3D5D" w:rsidRPr="00D92E4C" w:rsidRDefault="00A0059F">
      <w:pPr>
        <w:spacing w:before="240" w:after="240"/>
        <w:ind w:right="284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>El seg</w:t>
      </w:r>
      <w:r w:rsidRPr="00D92E4C">
        <w:rPr>
          <w:rFonts w:ascii="Arial" w:eastAsia="Arial" w:hAnsi="Arial" w:cs="Arial"/>
          <w:sz w:val="24"/>
          <w:szCs w:val="24"/>
        </w:rPr>
        <w:t>uimiento incluye los planes de mejoramiento originados en auditorías internas, autodiagnósticos, ejercicios de autocontrol y autoevaluación, informes y seguimientos de la Asesoría de Control Interno, materialización de riesgos, y otros informes legales o d</w:t>
      </w:r>
      <w:r w:rsidRPr="00D92E4C">
        <w:rPr>
          <w:rFonts w:ascii="Arial" w:eastAsia="Arial" w:hAnsi="Arial" w:cs="Arial"/>
          <w:sz w:val="24"/>
          <w:szCs w:val="24"/>
        </w:rPr>
        <w:t xml:space="preserve">e seguimiento que involucran a diferentes áreas. </w:t>
      </w:r>
    </w:p>
    <w:p w14:paraId="7BAF86C8" w14:textId="77777777" w:rsidR="008F3D5D" w:rsidRPr="00D92E4C" w:rsidRDefault="00A0059F">
      <w:pPr>
        <w:spacing w:before="240" w:after="240"/>
        <w:ind w:right="284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>La evaluación detallada de cada plan puede consultarse en los anexos de este informe. Con corte al primer semestre de 2026, se cuenta con la siguiente información por proceso:</w:t>
      </w:r>
    </w:p>
    <w:tbl>
      <w:tblPr>
        <w:tblStyle w:val="aa"/>
        <w:tblW w:w="95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335"/>
        <w:gridCol w:w="1215"/>
        <w:gridCol w:w="1560"/>
        <w:gridCol w:w="1140"/>
        <w:gridCol w:w="1275"/>
        <w:gridCol w:w="1425"/>
      </w:tblGrid>
      <w:tr w:rsidR="008F3D5D" w:rsidRPr="00D92E4C" w14:paraId="78D05391" w14:textId="77777777">
        <w:trPr>
          <w:trHeight w:val="558"/>
          <w:tblHeader/>
        </w:trPr>
        <w:tc>
          <w:tcPr>
            <w:tcW w:w="1560" w:type="dxa"/>
            <w:shd w:val="clear" w:color="auto" w:fill="B4C6E7"/>
            <w:vAlign w:val="center"/>
          </w:tcPr>
          <w:p w14:paraId="17D28FEF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PROCESO</w:t>
            </w:r>
          </w:p>
        </w:tc>
        <w:tc>
          <w:tcPr>
            <w:tcW w:w="1335" w:type="dxa"/>
            <w:shd w:val="clear" w:color="auto" w:fill="B4C6E7"/>
            <w:vAlign w:val="center"/>
          </w:tcPr>
          <w:p w14:paraId="03E87F3F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CANT.</w:t>
            </w:r>
          </w:p>
          <w:p w14:paraId="096648F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ACCIONES</w:t>
            </w:r>
          </w:p>
        </w:tc>
        <w:tc>
          <w:tcPr>
            <w:tcW w:w="1215" w:type="dxa"/>
            <w:shd w:val="clear" w:color="auto" w:fill="B4C6E7"/>
            <w:vAlign w:val="center"/>
          </w:tcPr>
          <w:p w14:paraId="3408E9BE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CUMPLIDAS EN TÉRMINOS</w:t>
            </w:r>
          </w:p>
        </w:tc>
        <w:tc>
          <w:tcPr>
            <w:tcW w:w="1560" w:type="dxa"/>
            <w:shd w:val="clear" w:color="auto" w:fill="B4C6E7"/>
            <w:vAlign w:val="center"/>
          </w:tcPr>
          <w:p w14:paraId="54FBED99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CUMPLIDAS FUERA DE TÉRMINOS</w:t>
            </w:r>
          </w:p>
        </w:tc>
        <w:tc>
          <w:tcPr>
            <w:tcW w:w="1140" w:type="dxa"/>
            <w:shd w:val="clear" w:color="auto" w:fill="B4C6E7"/>
            <w:vAlign w:val="center"/>
          </w:tcPr>
          <w:p w14:paraId="5FD6DCAC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INCUMPLIDAS</w:t>
            </w:r>
          </w:p>
        </w:tc>
        <w:tc>
          <w:tcPr>
            <w:tcW w:w="1275" w:type="dxa"/>
            <w:shd w:val="clear" w:color="auto" w:fill="B4C6E7"/>
            <w:vAlign w:val="center"/>
          </w:tcPr>
          <w:p w14:paraId="50DCA75F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EN EJECUCIÓN</w:t>
            </w:r>
          </w:p>
        </w:tc>
        <w:tc>
          <w:tcPr>
            <w:tcW w:w="1425" w:type="dxa"/>
            <w:shd w:val="clear" w:color="auto" w:fill="B4C6E7"/>
            <w:vAlign w:val="center"/>
          </w:tcPr>
          <w:p w14:paraId="3C0DCF2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RIESGO DE INCUMPLIMIENTO</w:t>
            </w:r>
          </w:p>
        </w:tc>
      </w:tr>
      <w:tr w:rsidR="008F3D5D" w:rsidRPr="00D92E4C" w14:paraId="11772829" w14:textId="77777777">
        <w:trPr>
          <w:trHeight w:val="925"/>
        </w:trPr>
        <w:tc>
          <w:tcPr>
            <w:tcW w:w="1560" w:type="dxa"/>
            <w:shd w:val="clear" w:color="auto" w:fill="D9E2F3"/>
            <w:vAlign w:val="center"/>
          </w:tcPr>
          <w:p w14:paraId="6B22EA6B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Administración de bienes e infraestructura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3587F7BE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1215" w:type="dxa"/>
            <w:vAlign w:val="center"/>
          </w:tcPr>
          <w:p w14:paraId="3C380B04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4D0B6DDF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1140" w:type="dxa"/>
            <w:vAlign w:val="center"/>
          </w:tcPr>
          <w:p w14:paraId="4A82E08C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19ED4137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425" w:type="dxa"/>
            <w:vAlign w:val="center"/>
          </w:tcPr>
          <w:p w14:paraId="3DEB931A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8F3D5D" w:rsidRPr="00D92E4C" w14:paraId="79BAE147" w14:textId="77777777">
        <w:trPr>
          <w:trHeight w:val="1533"/>
        </w:trPr>
        <w:tc>
          <w:tcPr>
            <w:tcW w:w="1560" w:type="dxa"/>
            <w:shd w:val="clear" w:color="auto" w:fill="D9E2F3"/>
            <w:vAlign w:val="center"/>
          </w:tcPr>
          <w:p w14:paraId="234C6CF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Atención a la ciudadanía, transparencia y acceso a la información pública.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45FCD87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23</w:t>
            </w:r>
          </w:p>
        </w:tc>
        <w:tc>
          <w:tcPr>
            <w:tcW w:w="1215" w:type="dxa"/>
            <w:vAlign w:val="center"/>
          </w:tcPr>
          <w:p w14:paraId="1008D819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14</w:t>
            </w:r>
          </w:p>
        </w:tc>
        <w:tc>
          <w:tcPr>
            <w:tcW w:w="1560" w:type="dxa"/>
            <w:vAlign w:val="center"/>
          </w:tcPr>
          <w:p w14:paraId="3E56F78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140" w:type="dxa"/>
            <w:vAlign w:val="center"/>
          </w:tcPr>
          <w:p w14:paraId="29628B40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4484D93C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1425" w:type="dxa"/>
            <w:vAlign w:val="center"/>
          </w:tcPr>
          <w:p w14:paraId="378EBB79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8F3D5D" w:rsidRPr="00D92E4C" w14:paraId="6C9F4EB3" w14:textId="77777777">
        <w:trPr>
          <w:trHeight w:val="443"/>
        </w:trPr>
        <w:tc>
          <w:tcPr>
            <w:tcW w:w="1560" w:type="dxa"/>
            <w:shd w:val="clear" w:color="auto" w:fill="D9E2F3"/>
            <w:vAlign w:val="center"/>
          </w:tcPr>
          <w:p w14:paraId="1161563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Comunicación estratégica.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5E34FB0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15" w:type="dxa"/>
            <w:vAlign w:val="center"/>
          </w:tcPr>
          <w:p w14:paraId="318E47B4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3A61A54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140" w:type="dxa"/>
            <w:vAlign w:val="center"/>
          </w:tcPr>
          <w:p w14:paraId="4F0E42F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712B39EB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425" w:type="dxa"/>
            <w:vAlign w:val="center"/>
          </w:tcPr>
          <w:p w14:paraId="2259DDD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8F3D5D" w:rsidRPr="00D92E4C" w14:paraId="480FC171" w14:textId="77777777">
        <w:trPr>
          <w:trHeight w:val="443"/>
        </w:trPr>
        <w:tc>
          <w:tcPr>
            <w:tcW w:w="1560" w:type="dxa"/>
            <w:shd w:val="clear" w:color="auto" w:fill="D9E2F3"/>
            <w:vAlign w:val="center"/>
          </w:tcPr>
          <w:p w14:paraId="369B169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Control Disciplinario Interno.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76BDCE74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15" w:type="dxa"/>
            <w:vAlign w:val="center"/>
          </w:tcPr>
          <w:p w14:paraId="6AA63C29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065EF33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140" w:type="dxa"/>
            <w:vAlign w:val="center"/>
          </w:tcPr>
          <w:p w14:paraId="03A49A2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5CB9E37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425" w:type="dxa"/>
            <w:vAlign w:val="center"/>
          </w:tcPr>
          <w:p w14:paraId="62573EC4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8F3D5D" w:rsidRPr="00D92E4C" w14:paraId="57DF3C13" w14:textId="77777777">
        <w:trPr>
          <w:trHeight w:val="443"/>
        </w:trPr>
        <w:tc>
          <w:tcPr>
            <w:tcW w:w="1560" w:type="dxa"/>
            <w:shd w:val="clear" w:color="auto" w:fill="D9E2F3"/>
            <w:vAlign w:val="center"/>
          </w:tcPr>
          <w:p w14:paraId="1F7CD688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Direccionamiento estratégico.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133EE804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15" w:type="dxa"/>
            <w:vAlign w:val="center"/>
          </w:tcPr>
          <w:p w14:paraId="6F57954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0E079F7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140" w:type="dxa"/>
            <w:vAlign w:val="center"/>
          </w:tcPr>
          <w:p w14:paraId="557E434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67E78522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425" w:type="dxa"/>
            <w:vAlign w:val="center"/>
          </w:tcPr>
          <w:p w14:paraId="37EB45B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8F3D5D" w:rsidRPr="00D92E4C" w14:paraId="1FEF63D8" w14:textId="77777777">
        <w:trPr>
          <w:trHeight w:val="443"/>
        </w:trPr>
        <w:tc>
          <w:tcPr>
            <w:tcW w:w="1560" w:type="dxa"/>
            <w:shd w:val="clear" w:color="auto" w:fill="D9E2F3"/>
            <w:vAlign w:val="center"/>
          </w:tcPr>
          <w:p w14:paraId="2A108BA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Divulgación y activación social de los patrimonios.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57C97A7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215" w:type="dxa"/>
            <w:vAlign w:val="center"/>
          </w:tcPr>
          <w:p w14:paraId="676B7B3F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21640830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140" w:type="dxa"/>
            <w:vAlign w:val="center"/>
          </w:tcPr>
          <w:p w14:paraId="159AED49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738DC6CF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425" w:type="dxa"/>
            <w:vAlign w:val="center"/>
          </w:tcPr>
          <w:p w14:paraId="2110E35E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8F3D5D" w:rsidRPr="00D92E4C" w14:paraId="74374E07" w14:textId="77777777">
        <w:trPr>
          <w:trHeight w:val="443"/>
        </w:trPr>
        <w:tc>
          <w:tcPr>
            <w:tcW w:w="1560" w:type="dxa"/>
            <w:shd w:val="clear" w:color="auto" w:fill="D9E2F3"/>
            <w:vAlign w:val="center"/>
          </w:tcPr>
          <w:p w14:paraId="3DD60F04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Gestión contractual.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580AD31C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1215" w:type="dxa"/>
            <w:vAlign w:val="center"/>
          </w:tcPr>
          <w:p w14:paraId="3251BE07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14:paraId="04F3D8C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140" w:type="dxa"/>
            <w:vAlign w:val="center"/>
          </w:tcPr>
          <w:p w14:paraId="19CF1F29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39EB2077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425" w:type="dxa"/>
            <w:vAlign w:val="center"/>
          </w:tcPr>
          <w:p w14:paraId="0C49546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8F3D5D" w:rsidRPr="00D92E4C" w14:paraId="5C1B3617" w14:textId="77777777">
        <w:trPr>
          <w:trHeight w:val="399"/>
        </w:trPr>
        <w:tc>
          <w:tcPr>
            <w:tcW w:w="1560" w:type="dxa"/>
            <w:shd w:val="clear" w:color="auto" w:fill="D9E2F3"/>
            <w:vAlign w:val="center"/>
          </w:tcPr>
          <w:p w14:paraId="08B94A3F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 xml:space="preserve">Gestión del conocimiento y la </w:t>
            </w:r>
            <w:r w:rsidRPr="00D92E4C">
              <w:rPr>
                <w:rFonts w:ascii="Arial" w:eastAsia="Arial" w:hAnsi="Arial" w:cs="Arial"/>
                <w:sz w:val="24"/>
                <w:szCs w:val="24"/>
              </w:rPr>
              <w:t>innovación.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47621559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1215" w:type="dxa"/>
            <w:vAlign w:val="center"/>
          </w:tcPr>
          <w:p w14:paraId="18D9D598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77E3EF0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140" w:type="dxa"/>
            <w:vAlign w:val="center"/>
          </w:tcPr>
          <w:p w14:paraId="7E55ABF7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37B32D6C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1425" w:type="dxa"/>
            <w:vAlign w:val="center"/>
          </w:tcPr>
          <w:p w14:paraId="6FE26A7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8F3D5D" w:rsidRPr="00D92E4C" w14:paraId="003D4F0D" w14:textId="77777777">
        <w:trPr>
          <w:trHeight w:val="399"/>
        </w:trPr>
        <w:tc>
          <w:tcPr>
            <w:tcW w:w="1560" w:type="dxa"/>
            <w:shd w:val="clear" w:color="auto" w:fill="D9E2F3"/>
            <w:vAlign w:val="center"/>
          </w:tcPr>
          <w:p w14:paraId="1AF6E8B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Gestión de los instrumentos de ordenamiento de los patrimonios.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0D49D46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15" w:type="dxa"/>
            <w:vAlign w:val="center"/>
          </w:tcPr>
          <w:p w14:paraId="6467125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61369A8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140" w:type="dxa"/>
            <w:vAlign w:val="center"/>
          </w:tcPr>
          <w:p w14:paraId="06D2CC24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5FEE432A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425" w:type="dxa"/>
            <w:vAlign w:val="center"/>
          </w:tcPr>
          <w:p w14:paraId="5293840A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8F3D5D" w:rsidRPr="00D92E4C" w14:paraId="36F974AF" w14:textId="77777777">
        <w:trPr>
          <w:trHeight w:val="385"/>
        </w:trPr>
        <w:tc>
          <w:tcPr>
            <w:tcW w:w="1560" w:type="dxa"/>
            <w:shd w:val="clear" w:color="auto" w:fill="D9E2F3"/>
            <w:vAlign w:val="center"/>
          </w:tcPr>
          <w:p w14:paraId="4B0E49EA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 xml:space="preserve">Gestión </w:t>
            </w:r>
            <w:r w:rsidRPr="00D92E4C">
              <w:rPr>
                <w:rFonts w:ascii="Arial" w:eastAsia="Arial" w:hAnsi="Arial" w:cs="Arial"/>
                <w:sz w:val="24"/>
                <w:szCs w:val="24"/>
              </w:rPr>
              <w:lastRenderedPageBreak/>
              <w:t>documental.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7E366594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15" w:type="dxa"/>
            <w:vAlign w:val="center"/>
          </w:tcPr>
          <w:p w14:paraId="07E3E99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4D85CF7A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140" w:type="dxa"/>
            <w:vAlign w:val="center"/>
          </w:tcPr>
          <w:p w14:paraId="217551F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2CD53D2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425" w:type="dxa"/>
            <w:vAlign w:val="center"/>
          </w:tcPr>
          <w:p w14:paraId="0B96E5C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8F3D5D" w:rsidRPr="00D92E4C" w14:paraId="6730F0CF" w14:textId="77777777">
        <w:trPr>
          <w:trHeight w:val="399"/>
        </w:trPr>
        <w:tc>
          <w:tcPr>
            <w:tcW w:w="1560" w:type="dxa"/>
            <w:shd w:val="clear" w:color="auto" w:fill="D9E2F3"/>
            <w:vAlign w:val="center"/>
          </w:tcPr>
          <w:p w14:paraId="1AFE274E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lastRenderedPageBreak/>
              <w:t>Gestión financiera.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2336AAF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29</w:t>
            </w:r>
          </w:p>
        </w:tc>
        <w:tc>
          <w:tcPr>
            <w:tcW w:w="1215" w:type="dxa"/>
            <w:vAlign w:val="center"/>
          </w:tcPr>
          <w:p w14:paraId="034A629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  <w:tc>
          <w:tcPr>
            <w:tcW w:w="1560" w:type="dxa"/>
            <w:vAlign w:val="center"/>
          </w:tcPr>
          <w:p w14:paraId="57B5C51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1140" w:type="dxa"/>
            <w:vAlign w:val="center"/>
          </w:tcPr>
          <w:p w14:paraId="735651E7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5191004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425" w:type="dxa"/>
            <w:vAlign w:val="center"/>
          </w:tcPr>
          <w:p w14:paraId="42C3A8D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8F3D5D" w:rsidRPr="00D92E4C" w14:paraId="55B9769C" w14:textId="77777777">
        <w:trPr>
          <w:trHeight w:val="399"/>
        </w:trPr>
        <w:tc>
          <w:tcPr>
            <w:tcW w:w="1560" w:type="dxa"/>
            <w:shd w:val="clear" w:color="auto" w:fill="D9E2F3"/>
            <w:vAlign w:val="center"/>
          </w:tcPr>
          <w:p w14:paraId="5B93119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Gestión jurídica.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34167FE9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215" w:type="dxa"/>
            <w:vAlign w:val="center"/>
          </w:tcPr>
          <w:p w14:paraId="5E35CE02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512CFDB0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140" w:type="dxa"/>
            <w:vAlign w:val="center"/>
          </w:tcPr>
          <w:p w14:paraId="460D3668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03ED1C1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425" w:type="dxa"/>
            <w:vAlign w:val="center"/>
          </w:tcPr>
          <w:p w14:paraId="3A5B2579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8F3D5D" w:rsidRPr="00D92E4C" w14:paraId="49E9E83D" w14:textId="77777777">
        <w:trPr>
          <w:trHeight w:val="445"/>
        </w:trPr>
        <w:tc>
          <w:tcPr>
            <w:tcW w:w="1560" w:type="dxa"/>
            <w:shd w:val="clear" w:color="auto" w:fill="D9E2F3"/>
            <w:vAlign w:val="center"/>
          </w:tcPr>
          <w:p w14:paraId="47082ED7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Gestión de sistemas de información y tecnología.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1FF9C4BA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17</w:t>
            </w:r>
          </w:p>
        </w:tc>
        <w:tc>
          <w:tcPr>
            <w:tcW w:w="1215" w:type="dxa"/>
            <w:vAlign w:val="center"/>
          </w:tcPr>
          <w:p w14:paraId="4BFCC62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17</w:t>
            </w:r>
          </w:p>
        </w:tc>
        <w:tc>
          <w:tcPr>
            <w:tcW w:w="1560" w:type="dxa"/>
            <w:vAlign w:val="center"/>
          </w:tcPr>
          <w:p w14:paraId="3B4A6A9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140" w:type="dxa"/>
            <w:vAlign w:val="center"/>
          </w:tcPr>
          <w:p w14:paraId="30E7BA9C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44EEBC67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425" w:type="dxa"/>
            <w:vAlign w:val="center"/>
          </w:tcPr>
          <w:p w14:paraId="15BE8B12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8F3D5D" w:rsidRPr="00D92E4C" w14:paraId="33CEC1AE" w14:textId="77777777">
        <w:trPr>
          <w:trHeight w:val="445"/>
        </w:trPr>
        <w:tc>
          <w:tcPr>
            <w:tcW w:w="1560" w:type="dxa"/>
            <w:shd w:val="clear" w:color="auto" w:fill="D9E2F3"/>
            <w:vAlign w:val="center"/>
          </w:tcPr>
          <w:p w14:paraId="2D7F369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Gestión de talento humano.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045D1A5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35</w:t>
            </w:r>
          </w:p>
        </w:tc>
        <w:tc>
          <w:tcPr>
            <w:tcW w:w="1215" w:type="dxa"/>
            <w:vAlign w:val="center"/>
          </w:tcPr>
          <w:p w14:paraId="02C74D67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14:paraId="32F10FD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  <w:tc>
          <w:tcPr>
            <w:tcW w:w="1140" w:type="dxa"/>
            <w:vAlign w:val="center"/>
          </w:tcPr>
          <w:p w14:paraId="64F926AF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14:paraId="454E0348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425" w:type="dxa"/>
            <w:vAlign w:val="center"/>
          </w:tcPr>
          <w:p w14:paraId="5CE0B6B9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8F3D5D" w:rsidRPr="00D92E4C" w14:paraId="0A25843E" w14:textId="77777777">
        <w:trPr>
          <w:trHeight w:val="445"/>
        </w:trPr>
        <w:tc>
          <w:tcPr>
            <w:tcW w:w="1560" w:type="dxa"/>
            <w:shd w:val="clear" w:color="auto" w:fill="D9E2F3"/>
            <w:vAlign w:val="center"/>
          </w:tcPr>
          <w:p w14:paraId="1DE90E5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Gestión territorial de los patrimonios.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10D73F07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15" w:type="dxa"/>
            <w:vAlign w:val="center"/>
          </w:tcPr>
          <w:p w14:paraId="2C999DDA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1C49716A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140" w:type="dxa"/>
            <w:vAlign w:val="center"/>
          </w:tcPr>
          <w:p w14:paraId="4890B258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7216B4B4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425" w:type="dxa"/>
            <w:vAlign w:val="center"/>
          </w:tcPr>
          <w:p w14:paraId="6C1F5C5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8F3D5D" w:rsidRPr="00D92E4C" w14:paraId="31009639" w14:textId="77777777">
        <w:trPr>
          <w:trHeight w:val="445"/>
        </w:trPr>
        <w:tc>
          <w:tcPr>
            <w:tcW w:w="1560" w:type="dxa"/>
            <w:shd w:val="clear" w:color="auto" w:fill="D9E2F3"/>
            <w:vAlign w:val="center"/>
          </w:tcPr>
          <w:p w14:paraId="5C4EF8E4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Mejoramiento institucional.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5CAF2FC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215" w:type="dxa"/>
            <w:vAlign w:val="center"/>
          </w:tcPr>
          <w:p w14:paraId="47C89CD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7634C840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140" w:type="dxa"/>
            <w:vAlign w:val="center"/>
          </w:tcPr>
          <w:p w14:paraId="61F346A5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4CEA0A79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425" w:type="dxa"/>
            <w:vAlign w:val="center"/>
          </w:tcPr>
          <w:p w14:paraId="49A0985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8F3D5D" w:rsidRPr="00D92E4C" w14:paraId="215A4CDC" w14:textId="77777777">
        <w:trPr>
          <w:trHeight w:val="399"/>
        </w:trPr>
        <w:tc>
          <w:tcPr>
            <w:tcW w:w="1560" w:type="dxa"/>
            <w:shd w:val="clear" w:color="auto" w:fill="D9E2F3"/>
            <w:vAlign w:val="center"/>
          </w:tcPr>
          <w:p w14:paraId="7E8FDC0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Protección e intervención de los patrimonios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6FF8D1C8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215" w:type="dxa"/>
            <w:vAlign w:val="center"/>
          </w:tcPr>
          <w:p w14:paraId="3794CC62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6271A6A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140" w:type="dxa"/>
            <w:vAlign w:val="center"/>
          </w:tcPr>
          <w:p w14:paraId="3D12AFA7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10E97DDA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425" w:type="dxa"/>
            <w:vAlign w:val="center"/>
          </w:tcPr>
          <w:p w14:paraId="688DC20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8F3D5D" w:rsidRPr="00D92E4C" w14:paraId="369D7254" w14:textId="77777777">
        <w:trPr>
          <w:trHeight w:val="399"/>
        </w:trPr>
        <w:tc>
          <w:tcPr>
            <w:tcW w:w="1560" w:type="dxa"/>
            <w:shd w:val="clear" w:color="auto" w:fill="D9E2F3"/>
            <w:vAlign w:val="center"/>
          </w:tcPr>
          <w:p w14:paraId="20434920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Seguimiento y evaluación.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505902C0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215" w:type="dxa"/>
            <w:vAlign w:val="center"/>
          </w:tcPr>
          <w:p w14:paraId="01CB6D7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74328541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140" w:type="dxa"/>
            <w:vAlign w:val="center"/>
          </w:tcPr>
          <w:p w14:paraId="512EFC7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1298105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425" w:type="dxa"/>
            <w:vAlign w:val="center"/>
          </w:tcPr>
          <w:p w14:paraId="6EB87CED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8F3D5D" w:rsidRPr="00D92E4C" w14:paraId="70911AA4" w14:textId="77777777">
        <w:trPr>
          <w:trHeight w:val="398"/>
        </w:trPr>
        <w:tc>
          <w:tcPr>
            <w:tcW w:w="1560" w:type="dxa"/>
            <w:shd w:val="clear" w:color="auto" w:fill="D9E2F3"/>
            <w:vAlign w:val="center"/>
          </w:tcPr>
          <w:p w14:paraId="5137DF7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67841DEF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1215" w:type="dxa"/>
            <w:vAlign w:val="center"/>
          </w:tcPr>
          <w:p w14:paraId="527D4DE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560" w:type="dxa"/>
            <w:vAlign w:val="center"/>
          </w:tcPr>
          <w:p w14:paraId="2C21E52B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40" w:type="dxa"/>
            <w:vAlign w:val="center"/>
          </w:tcPr>
          <w:p w14:paraId="2B616516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75" w:type="dxa"/>
            <w:vAlign w:val="center"/>
          </w:tcPr>
          <w:p w14:paraId="526FB4E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25" w:type="dxa"/>
            <w:vAlign w:val="center"/>
          </w:tcPr>
          <w:p w14:paraId="227B55A3" w14:textId="77777777" w:rsidR="008F3D5D" w:rsidRPr="00D92E4C" w:rsidRDefault="00A00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</w:t>
            </w:r>
          </w:p>
        </w:tc>
      </w:tr>
    </w:tbl>
    <w:p w14:paraId="09B7E9E9" w14:textId="77777777" w:rsidR="008F3D5D" w:rsidRPr="00D92E4C" w:rsidRDefault="00A0059F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283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>*Se excluyen del conteo aquellas acciones previamente incumplidas que ya han sido reformuladas. Asimismo, las acciones cuyo inicio corresponde a un periodo distinto al evaluado se consideran actividades en ejecución.</w:t>
      </w:r>
    </w:p>
    <w:p w14:paraId="6F954B82" w14:textId="77777777" w:rsidR="008F3D5D" w:rsidRPr="00D92E4C" w:rsidRDefault="00A0059F">
      <w:pPr>
        <w:spacing w:before="240" w:after="240"/>
        <w:ind w:right="283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 xml:space="preserve">Todas las acciones permanecerán abiertas hasta que se evalúe su efectividad. </w:t>
      </w:r>
    </w:p>
    <w:p w14:paraId="4D7EBF73" w14:textId="77777777" w:rsidR="008F3D5D" w:rsidRPr="00D92E4C" w:rsidRDefault="00A0059F">
      <w:pPr>
        <w:spacing w:before="240" w:after="240"/>
        <w:ind w:right="283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>Adicionalmente, no se identificaron los planes de mejoramiento para las siguientes no conformidades, resultantes de los seguimientos y auditorías realizados durante el 2024, 2025</w:t>
      </w:r>
      <w:r w:rsidRPr="00D92E4C">
        <w:rPr>
          <w:rFonts w:ascii="Arial" w:eastAsia="Arial" w:hAnsi="Arial" w:cs="Arial"/>
          <w:sz w:val="24"/>
          <w:szCs w:val="24"/>
        </w:rPr>
        <w:t xml:space="preserve"> y lo corrido del 2026:</w:t>
      </w:r>
    </w:p>
    <w:tbl>
      <w:tblPr>
        <w:tblStyle w:val="ab"/>
        <w:tblW w:w="95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693"/>
        <w:gridCol w:w="3025"/>
      </w:tblGrid>
      <w:tr w:rsidR="008F3D5D" w:rsidRPr="00D92E4C" w14:paraId="793DC2A1" w14:textId="77777777">
        <w:trPr>
          <w:tblHeader/>
        </w:trPr>
        <w:tc>
          <w:tcPr>
            <w:tcW w:w="3823" w:type="dxa"/>
            <w:shd w:val="clear" w:color="auto" w:fill="B4C6E7"/>
            <w:vAlign w:val="center"/>
          </w:tcPr>
          <w:p w14:paraId="1283771F" w14:textId="77777777" w:rsidR="008F3D5D" w:rsidRPr="00D92E4C" w:rsidRDefault="00A0059F">
            <w:pPr>
              <w:widowControl w:val="0"/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SEGUIMIENTO O AUDITORÍA</w:t>
            </w:r>
          </w:p>
        </w:tc>
        <w:tc>
          <w:tcPr>
            <w:tcW w:w="2693" w:type="dxa"/>
            <w:shd w:val="clear" w:color="auto" w:fill="B4C6E7"/>
            <w:vAlign w:val="center"/>
          </w:tcPr>
          <w:p w14:paraId="587D99A8" w14:textId="77777777" w:rsidR="008F3D5D" w:rsidRPr="00D92E4C" w:rsidRDefault="00A0059F">
            <w:pPr>
              <w:widowControl w:val="0"/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RADICADO DE INFORME</w:t>
            </w:r>
          </w:p>
        </w:tc>
        <w:tc>
          <w:tcPr>
            <w:tcW w:w="3025" w:type="dxa"/>
            <w:shd w:val="clear" w:color="auto" w:fill="B4C6E7"/>
            <w:vAlign w:val="center"/>
          </w:tcPr>
          <w:p w14:paraId="657CA11D" w14:textId="77777777" w:rsidR="008F3D5D" w:rsidRPr="00D92E4C" w:rsidRDefault="00A0059F">
            <w:pPr>
              <w:widowControl w:val="0"/>
              <w:tabs>
                <w:tab w:val="left" w:pos="191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NÚMERO DE NO CONFORMIDAD</w:t>
            </w:r>
          </w:p>
        </w:tc>
      </w:tr>
      <w:tr w:rsidR="008F3D5D" w:rsidRPr="00D92E4C" w14:paraId="1EFEBBF3" w14:textId="77777777">
        <w:tc>
          <w:tcPr>
            <w:tcW w:w="3823" w:type="dxa"/>
            <w:vAlign w:val="center"/>
          </w:tcPr>
          <w:p w14:paraId="5160864F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Austeridad en el gasto.</w:t>
            </w:r>
          </w:p>
        </w:tc>
        <w:tc>
          <w:tcPr>
            <w:tcW w:w="2693" w:type="dxa"/>
            <w:vAlign w:val="center"/>
          </w:tcPr>
          <w:p w14:paraId="7F0D6D38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20241200050513</w:t>
            </w:r>
          </w:p>
        </w:tc>
        <w:tc>
          <w:tcPr>
            <w:tcW w:w="3025" w:type="dxa"/>
            <w:vAlign w:val="center"/>
          </w:tcPr>
          <w:p w14:paraId="41240C75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 y 2.</w:t>
            </w:r>
          </w:p>
        </w:tc>
      </w:tr>
      <w:tr w:rsidR="008F3D5D" w:rsidRPr="00D92E4C" w14:paraId="4FC830BC" w14:textId="77777777">
        <w:tc>
          <w:tcPr>
            <w:tcW w:w="3823" w:type="dxa"/>
            <w:vAlign w:val="center"/>
          </w:tcPr>
          <w:p w14:paraId="2D7D0BC8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Austeridad en el gasto.</w:t>
            </w:r>
          </w:p>
        </w:tc>
        <w:tc>
          <w:tcPr>
            <w:tcW w:w="2693" w:type="dxa"/>
            <w:vAlign w:val="center"/>
          </w:tcPr>
          <w:p w14:paraId="3139BB78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20241200105703</w:t>
            </w:r>
          </w:p>
        </w:tc>
        <w:tc>
          <w:tcPr>
            <w:tcW w:w="3025" w:type="dxa"/>
            <w:vAlign w:val="center"/>
          </w:tcPr>
          <w:p w14:paraId="0ED9ACD5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</w:tr>
      <w:tr w:rsidR="008F3D5D" w:rsidRPr="00D92E4C" w14:paraId="25D6003D" w14:textId="77777777">
        <w:tc>
          <w:tcPr>
            <w:tcW w:w="3823" w:type="dxa"/>
            <w:vAlign w:val="center"/>
          </w:tcPr>
          <w:p w14:paraId="4E026F77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Planes de mejoramiento institucional y por procesos.</w:t>
            </w:r>
          </w:p>
        </w:tc>
        <w:tc>
          <w:tcPr>
            <w:tcW w:w="2693" w:type="dxa"/>
            <w:vAlign w:val="center"/>
          </w:tcPr>
          <w:p w14:paraId="4E7B19E5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20241200037333</w:t>
            </w:r>
          </w:p>
        </w:tc>
        <w:tc>
          <w:tcPr>
            <w:tcW w:w="3025" w:type="dxa"/>
            <w:vAlign w:val="center"/>
          </w:tcPr>
          <w:p w14:paraId="639D5515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</w:tr>
      <w:tr w:rsidR="008F3D5D" w:rsidRPr="00D92E4C" w14:paraId="16A58D20" w14:textId="77777777">
        <w:tc>
          <w:tcPr>
            <w:tcW w:w="3823" w:type="dxa"/>
            <w:vAlign w:val="center"/>
          </w:tcPr>
          <w:p w14:paraId="1DD3F66F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Planes de mejoramiento institucional y por procesos.</w:t>
            </w:r>
          </w:p>
        </w:tc>
        <w:tc>
          <w:tcPr>
            <w:tcW w:w="2693" w:type="dxa"/>
            <w:vAlign w:val="center"/>
          </w:tcPr>
          <w:p w14:paraId="67A1C4BB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20241200114373</w:t>
            </w:r>
          </w:p>
        </w:tc>
        <w:tc>
          <w:tcPr>
            <w:tcW w:w="3025" w:type="dxa"/>
            <w:vAlign w:val="center"/>
          </w:tcPr>
          <w:p w14:paraId="440533EB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</w:tr>
      <w:tr w:rsidR="008F3D5D" w:rsidRPr="00D92E4C" w14:paraId="1A86CA2D" w14:textId="77777777">
        <w:tc>
          <w:tcPr>
            <w:tcW w:w="3823" w:type="dxa"/>
            <w:vAlign w:val="center"/>
          </w:tcPr>
          <w:p w14:paraId="6823B46D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Planes de mejoramiento institucional y por procesos.</w:t>
            </w:r>
          </w:p>
        </w:tc>
        <w:tc>
          <w:tcPr>
            <w:tcW w:w="2693" w:type="dxa"/>
            <w:vAlign w:val="center"/>
          </w:tcPr>
          <w:p w14:paraId="3CCDB574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20241200179283</w:t>
            </w:r>
          </w:p>
        </w:tc>
        <w:tc>
          <w:tcPr>
            <w:tcW w:w="3025" w:type="dxa"/>
            <w:vAlign w:val="center"/>
          </w:tcPr>
          <w:p w14:paraId="3AB706A5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 y 2.</w:t>
            </w:r>
          </w:p>
        </w:tc>
      </w:tr>
      <w:tr w:rsidR="008F3D5D" w:rsidRPr="00D92E4C" w14:paraId="43AE344F" w14:textId="77777777">
        <w:trPr>
          <w:trHeight w:val="830"/>
        </w:trPr>
        <w:tc>
          <w:tcPr>
            <w:tcW w:w="3823" w:type="dxa"/>
            <w:vAlign w:val="center"/>
          </w:tcPr>
          <w:p w14:paraId="4006D8D8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Riesgos de corrupción y de gestión.</w:t>
            </w:r>
          </w:p>
        </w:tc>
        <w:tc>
          <w:tcPr>
            <w:tcW w:w="2693" w:type="dxa"/>
            <w:vAlign w:val="center"/>
          </w:tcPr>
          <w:p w14:paraId="61B9AEA8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20251200004703</w:t>
            </w:r>
          </w:p>
        </w:tc>
        <w:tc>
          <w:tcPr>
            <w:tcW w:w="3025" w:type="dxa"/>
            <w:vAlign w:val="center"/>
          </w:tcPr>
          <w:p w14:paraId="2B6E5B38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 xml:space="preserve">1 (En lo correspondiente al proceso de Gestión del </w:t>
            </w:r>
            <w:r w:rsidRPr="00D92E4C">
              <w:rPr>
                <w:rFonts w:ascii="Arial" w:eastAsia="Arial" w:hAnsi="Arial" w:cs="Arial"/>
                <w:sz w:val="24"/>
                <w:szCs w:val="24"/>
              </w:rPr>
              <w:t>Talento Humano) y 2.</w:t>
            </w:r>
          </w:p>
        </w:tc>
      </w:tr>
      <w:tr w:rsidR="008F3D5D" w:rsidRPr="00D92E4C" w14:paraId="0F77EC91" w14:textId="77777777">
        <w:tc>
          <w:tcPr>
            <w:tcW w:w="3823" w:type="dxa"/>
            <w:vAlign w:val="center"/>
          </w:tcPr>
          <w:p w14:paraId="0D1980B0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Programa de transparencia y ética pública.</w:t>
            </w:r>
          </w:p>
        </w:tc>
        <w:tc>
          <w:tcPr>
            <w:tcW w:w="2693" w:type="dxa"/>
            <w:vAlign w:val="center"/>
          </w:tcPr>
          <w:p w14:paraId="266A8614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20251200015333</w:t>
            </w:r>
          </w:p>
        </w:tc>
        <w:tc>
          <w:tcPr>
            <w:tcW w:w="3025" w:type="dxa"/>
            <w:vAlign w:val="center"/>
          </w:tcPr>
          <w:p w14:paraId="5FA67233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</w:tr>
      <w:tr w:rsidR="008F3D5D" w:rsidRPr="00D92E4C" w14:paraId="7DA5F21A" w14:textId="77777777">
        <w:trPr>
          <w:trHeight w:val="389"/>
        </w:trPr>
        <w:tc>
          <w:tcPr>
            <w:tcW w:w="3823" w:type="dxa"/>
            <w:vAlign w:val="center"/>
          </w:tcPr>
          <w:p w14:paraId="06BB2895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Austeridad en el gasto.</w:t>
            </w:r>
          </w:p>
        </w:tc>
        <w:tc>
          <w:tcPr>
            <w:tcW w:w="2693" w:type="dxa"/>
            <w:vAlign w:val="center"/>
          </w:tcPr>
          <w:p w14:paraId="55108E8E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20251200051633</w:t>
            </w:r>
          </w:p>
        </w:tc>
        <w:tc>
          <w:tcPr>
            <w:tcW w:w="3025" w:type="dxa"/>
            <w:vAlign w:val="center"/>
          </w:tcPr>
          <w:p w14:paraId="7739C0CA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 y 2.</w:t>
            </w:r>
          </w:p>
        </w:tc>
      </w:tr>
      <w:tr w:rsidR="008F3D5D" w:rsidRPr="00D92E4C" w14:paraId="45163650" w14:textId="77777777">
        <w:trPr>
          <w:trHeight w:val="389"/>
        </w:trPr>
        <w:tc>
          <w:tcPr>
            <w:tcW w:w="3823" w:type="dxa"/>
            <w:vAlign w:val="center"/>
          </w:tcPr>
          <w:p w14:paraId="6245BEDD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Planes de mejoramiento institucional y por procesos.</w:t>
            </w:r>
          </w:p>
        </w:tc>
        <w:tc>
          <w:tcPr>
            <w:tcW w:w="2693" w:type="dxa"/>
            <w:vAlign w:val="center"/>
          </w:tcPr>
          <w:p w14:paraId="28B80206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20251200045223</w:t>
            </w:r>
          </w:p>
        </w:tc>
        <w:tc>
          <w:tcPr>
            <w:tcW w:w="3025" w:type="dxa"/>
            <w:vAlign w:val="center"/>
          </w:tcPr>
          <w:p w14:paraId="36325C93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 y 2.</w:t>
            </w:r>
          </w:p>
        </w:tc>
      </w:tr>
      <w:tr w:rsidR="008F3D5D" w:rsidRPr="00D92E4C" w14:paraId="2B1BEFC5" w14:textId="77777777">
        <w:trPr>
          <w:trHeight w:val="419"/>
        </w:trPr>
        <w:tc>
          <w:tcPr>
            <w:tcW w:w="3823" w:type="dxa"/>
            <w:vAlign w:val="center"/>
          </w:tcPr>
          <w:p w14:paraId="002E7CC6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 xml:space="preserve">Planes de mejoramiento institucional y por </w:t>
            </w:r>
            <w:r w:rsidRPr="00D92E4C">
              <w:rPr>
                <w:rFonts w:ascii="Arial" w:eastAsia="Arial" w:hAnsi="Arial" w:cs="Arial"/>
                <w:sz w:val="24"/>
                <w:szCs w:val="24"/>
              </w:rPr>
              <w:t>procesos.</w:t>
            </w:r>
          </w:p>
        </w:tc>
        <w:tc>
          <w:tcPr>
            <w:tcW w:w="2693" w:type="dxa"/>
            <w:vAlign w:val="center"/>
          </w:tcPr>
          <w:p w14:paraId="12756604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20251200101063</w:t>
            </w:r>
          </w:p>
        </w:tc>
        <w:tc>
          <w:tcPr>
            <w:tcW w:w="3025" w:type="dxa"/>
            <w:vAlign w:val="center"/>
          </w:tcPr>
          <w:p w14:paraId="3CD74FC4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 y 2.</w:t>
            </w:r>
          </w:p>
        </w:tc>
      </w:tr>
      <w:tr w:rsidR="008F3D5D" w:rsidRPr="00D92E4C" w14:paraId="478D5F56" w14:textId="77777777">
        <w:trPr>
          <w:trHeight w:val="313"/>
        </w:trPr>
        <w:tc>
          <w:tcPr>
            <w:tcW w:w="3823" w:type="dxa"/>
            <w:vAlign w:val="center"/>
          </w:tcPr>
          <w:p w14:paraId="69CA3540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Riesgos de corrupción y de gestión.</w:t>
            </w:r>
          </w:p>
        </w:tc>
        <w:tc>
          <w:tcPr>
            <w:tcW w:w="2693" w:type="dxa"/>
            <w:vAlign w:val="center"/>
          </w:tcPr>
          <w:p w14:paraId="0D69CC8B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20251200133563</w:t>
            </w:r>
          </w:p>
        </w:tc>
        <w:tc>
          <w:tcPr>
            <w:tcW w:w="3025" w:type="dxa"/>
            <w:vAlign w:val="center"/>
          </w:tcPr>
          <w:p w14:paraId="2ED8A060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</w:tr>
      <w:tr w:rsidR="008F3D5D" w:rsidRPr="00D92E4C" w14:paraId="6D681303" w14:textId="77777777">
        <w:trPr>
          <w:trHeight w:val="333"/>
        </w:trPr>
        <w:tc>
          <w:tcPr>
            <w:tcW w:w="3823" w:type="dxa"/>
            <w:vAlign w:val="center"/>
          </w:tcPr>
          <w:p w14:paraId="158F45A1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Planes de mejoramiento institucional y por procesos.</w:t>
            </w:r>
          </w:p>
        </w:tc>
        <w:tc>
          <w:tcPr>
            <w:tcW w:w="2693" w:type="dxa"/>
            <w:vAlign w:val="center"/>
          </w:tcPr>
          <w:p w14:paraId="346EEDBB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20251200169863</w:t>
            </w:r>
          </w:p>
        </w:tc>
        <w:tc>
          <w:tcPr>
            <w:tcW w:w="3025" w:type="dxa"/>
            <w:vAlign w:val="center"/>
          </w:tcPr>
          <w:p w14:paraId="1EA2FA46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 y 2.</w:t>
            </w:r>
          </w:p>
        </w:tc>
      </w:tr>
      <w:tr w:rsidR="008F3D5D" w:rsidRPr="00D92E4C" w14:paraId="5BC55054" w14:textId="77777777">
        <w:trPr>
          <w:trHeight w:val="325"/>
        </w:trPr>
        <w:tc>
          <w:tcPr>
            <w:tcW w:w="3823" w:type="dxa"/>
            <w:vAlign w:val="center"/>
          </w:tcPr>
          <w:p w14:paraId="4CAE5426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Directiva 015 de 2022.</w:t>
            </w:r>
          </w:p>
        </w:tc>
        <w:tc>
          <w:tcPr>
            <w:tcW w:w="2693" w:type="dxa"/>
            <w:vAlign w:val="center"/>
          </w:tcPr>
          <w:p w14:paraId="56DF0B99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20251200178953</w:t>
            </w:r>
          </w:p>
        </w:tc>
        <w:tc>
          <w:tcPr>
            <w:tcW w:w="3025" w:type="dxa"/>
            <w:vAlign w:val="center"/>
          </w:tcPr>
          <w:p w14:paraId="45CCC599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1, 2 y 3.</w:t>
            </w:r>
          </w:p>
        </w:tc>
      </w:tr>
      <w:tr w:rsidR="008F3D5D" w:rsidRPr="00D92E4C" w14:paraId="0AAA1706" w14:textId="77777777">
        <w:trPr>
          <w:trHeight w:val="568"/>
        </w:trPr>
        <w:tc>
          <w:tcPr>
            <w:tcW w:w="3823" w:type="dxa"/>
            <w:vAlign w:val="center"/>
          </w:tcPr>
          <w:p w14:paraId="3BA786E0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 xml:space="preserve">Audiencia pública y/o eventos de Rendición </w:t>
            </w:r>
            <w:r w:rsidRPr="00D92E4C">
              <w:rPr>
                <w:rFonts w:ascii="Arial" w:eastAsia="Arial" w:hAnsi="Arial" w:cs="Arial"/>
                <w:sz w:val="24"/>
                <w:szCs w:val="24"/>
              </w:rPr>
              <w:t>de Cuentas.</w:t>
            </w:r>
          </w:p>
        </w:tc>
        <w:tc>
          <w:tcPr>
            <w:tcW w:w="2693" w:type="dxa"/>
            <w:vAlign w:val="center"/>
          </w:tcPr>
          <w:p w14:paraId="24EE097B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20251200212013</w:t>
            </w:r>
          </w:p>
        </w:tc>
        <w:tc>
          <w:tcPr>
            <w:tcW w:w="3025" w:type="dxa"/>
            <w:vAlign w:val="center"/>
          </w:tcPr>
          <w:p w14:paraId="5AEE7FCF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</w:tr>
      <w:tr w:rsidR="008F3D5D" w:rsidRPr="00D92E4C" w14:paraId="321D8E2F" w14:textId="77777777">
        <w:trPr>
          <w:trHeight w:val="359"/>
        </w:trPr>
        <w:tc>
          <w:tcPr>
            <w:tcW w:w="3823" w:type="dxa"/>
            <w:vAlign w:val="center"/>
          </w:tcPr>
          <w:p w14:paraId="3A41E718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Riesgos de corrupción y de gestión.</w:t>
            </w:r>
          </w:p>
        </w:tc>
        <w:tc>
          <w:tcPr>
            <w:tcW w:w="2693" w:type="dxa"/>
            <w:vAlign w:val="center"/>
          </w:tcPr>
          <w:p w14:paraId="0D4B5A1D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20261200034763</w:t>
            </w:r>
          </w:p>
        </w:tc>
        <w:tc>
          <w:tcPr>
            <w:tcW w:w="3025" w:type="dxa"/>
            <w:vAlign w:val="center"/>
          </w:tcPr>
          <w:p w14:paraId="1ECCCE93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</w:tr>
      <w:tr w:rsidR="008F3D5D" w:rsidRPr="00D92E4C" w14:paraId="25C3D41B" w14:textId="77777777">
        <w:trPr>
          <w:trHeight w:val="353"/>
        </w:trPr>
        <w:tc>
          <w:tcPr>
            <w:tcW w:w="3823" w:type="dxa"/>
            <w:vAlign w:val="center"/>
          </w:tcPr>
          <w:p w14:paraId="32E45E11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Austeridad en el gasto.</w:t>
            </w:r>
          </w:p>
        </w:tc>
        <w:tc>
          <w:tcPr>
            <w:tcW w:w="2693" w:type="dxa"/>
            <w:vAlign w:val="center"/>
          </w:tcPr>
          <w:p w14:paraId="7DF98677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20261200073183</w:t>
            </w:r>
          </w:p>
        </w:tc>
        <w:tc>
          <w:tcPr>
            <w:tcW w:w="3025" w:type="dxa"/>
            <w:vAlign w:val="center"/>
          </w:tcPr>
          <w:p w14:paraId="68A890B1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1, 2 y 3.</w:t>
            </w:r>
          </w:p>
        </w:tc>
      </w:tr>
      <w:tr w:rsidR="008F3D5D" w:rsidRPr="00D92E4C" w14:paraId="15096936" w14:textId="77777777">
        <w:trPr>
          <w:trHeight w:val="568"/>
        </w:trPr>
        <w:tc>
          <w:tcPr>
            <w:tcW w:w="3823" w:type="dxa"/>
            <w:vAlign w:val="center"/>
          </w:tcPr>
          <w:p w14:paraId="64ACE8AC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Planes de mejoramiento institucional y por procesos.</w:t>
            </w:r>
          </w:p>
        </w:tc>
        <w:tc>
          <w:tcPr>
            <w:tcW w:w="2693" w:type="dxa"/>
            <w:vAlign w:val="center"/>
          </w:tcPr>
          <w:p w14:paraId="5866F8A8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20261200066413</w:t>
            </w:r>
          </w:p>
        </w:tc>
        <w:tc>
          <w:tcPr>
            <w:tcW w:w="3025" w:type="dxa"/>
            <w:vAlign w:val="center"/>
          </w:tcPr>
          <w:p w14:paraId="015E2DA3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1, 2 y 3.</w:t>
            </w:r>
          </w:p>
        </w:tc>
      </w:tr>
      <w:tr w:rsidR="008F3D5D" w:rsidRPr="00D92E4C" w14:paraId="30A64834" w14:textId="77777777">
        <w:trPr>
          <w:trHeight w:val="568"/>
        </w:trPr>
        <w:tc>
          <w:tcPr>
            <w:tcW w:w="3823" w:type="dxa"/>
            <w:vAlign w:val="center"/>
          </w:tcPr>
          <w:p w14:paraId="2515E96D" w14:textId="77777777" w:rsidR="008F3D5D" w:rsidRPr="00D92E4C" w:rsidRDefault="00A0059F">
            <w:pPr>
              <w:ind w:right="33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Funciones del Comité de Conciliación.</w:t>
            </w:r>
          </w:p>
        </w:tc>
        <w:tc>
          <w:tcPr>
            <w:tcW w:w="2693" w:type="dxa"/>
            <w:vAlign w:val="center"/>
          </w:tcPr>
          <w:p w14:paraId="54A8D167" w14:textId="77777777" w:rsidR="008F3D5D" w:rsidRPr="00D92E4C" w:rsidRDefault="00A0059F">
            <w:pPr>
              <w:ind w:right="-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20261200099013</w:t>
            </w:r>
          </w:p>
        </w:tc>
        <w:tc>
          <w:tcPr>
            <w:tcW w:w="3025" w:type="dxa"/>
            <w:vAlign w:val="center"/>
          </w:tcPr>
          <w:p w14:paraId="6B763398" w14:textId="77777777" w:rsidR="008F3D5D" w:rsidRPr="00D92E4C" w:rsidRDefault="00A0059F">
            <w:pPr>
              <w:ind w:right="28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92E4C">
              <w:rPr>
                <w:rFonts w:ascii="Arial" w:eastAsia="Arial" w:hAnsi="Arial" w:cs="Arial"/>
                <w:sz w:val="24"/>
                <w:szCs w:val="24"/>
              </w:rPr>
              <w:t>1 y 2.</w:t>
            </w:r>
          </w:p>
        </w:tc>
      </w:tr>
    </w:tbl>
    <w:p w14:paraId="762CC1A3" w14:textId="77777777" w:rsidR="008F3D5D" w:rsidRPr="00D92E4C" w:rsidRDefault="00A0059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D92E4C">
        <w:rPr>
          <w:rFonts w:ascii="Arial" w:eastAsia="Arial" w:hAnsi="Arial" w:cs="Arial"/>
          <w:b/>
          <w:bCs/>
          <w:color w:val="000000"/>
          <w:sz w:val="24"/>
          <w:szCs w:val="24"/>
        </w:rPr>
        <w:t>EVALUACIÓN DE EFECTIVIDAD DE LAS ACCIONES</w:t>
      </w:r>
    </w:p>
    <w:p w14:paraId="2E0D86BF" w14:textId="03EB6E8B" w:rsidR="008F3D5D" w:rsidRPr="00D92E4C" w:rsidRDefault="00A0059F">
      <w:pPr>
        <w:spacing w:before="240" w:after="240"/>
        <w:ind w:right="283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 xml:space="preserve">Con respecto a las acciones finalizadas a partir de 2024, se evaluó la efectividad de veintiuna (21) de ellas, correspondientes </w:t>
      </w:r>
      <w:r w:rsidR="00F23A4E">
        <w:rPr>
          <w:rFonts w:ascii="Arial" w:eastAsia="Arial" w:hAnsi="Arial" w:cs="Arial"/>
          <w:sz w:val="24"/>
          <w:szCs w:val="24"/>
        </w:rPr>
        <w:t xml:space="preserve">a </w:t>
      </w:r>
      <w:r w:rsidRPr="00D92E4C">
        <w:rPr>
          <w:rFonts w:ascii="Arial" w:eastAsia="Arial" w:hAnsi="Arial" w:cs="Arial"/>
          <w:sz w:val="24"/>
          <w:szCs w:val="24"/>
        </w:rPr>
        <w:t xml:space="preserve">los procesos Gestión Financiera, Administración de Bienes e </w:t>
      </w:r>
      <w:r w:rsidRPr="00D92E4C">
        <w:rPr>
          <w:rFonts w:ascii="Arial" w:eastAsia="Arial" w:hAnsi="Arial" w:cs="Arial"/>
          <w:sz w:val="24"/>
          <w:szCs w:val="24"/>
        </w:rPr>
        <w:t>Infraestructura y Gestión de Talento Humano, obteniendo las siguientes calificaciones:</w:t>
      </w:r>
    </w:p>
    <w:p w14:paraId="57F72307" w14:textId="77777777" w:rsidR="008F3D5D" w:rsidRPr="00D92E4C" w:rsidRDefault="00A005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right="283" w:hanging="284"/>
        <w:jc w:val="both"/>
        <w:rPr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lastRenderedPageBreak/>
        <w:t>Efectivas (6): GF1-2024-1, GF6-2024-1 y GF7-2024-1, TH4-2024-4, TH5-2024-5 y AB17-2023-1.</w:t>
      </w:r>
    </w:p>
    <w:p w14:paraId="3F07B4FC" w14:textId="77777777" w:rsidR="008F3D5D" w:rsidRPr="00D92E4C" w:rsidRDefault="00A005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284" w:right="283" w:hanging="284"/>
        <w:jc w:val="both"/>
        <w:rPr>
          <w:sz w:val="24"/>
          <w:szCs w:val="24"/>
          <w:lang w:val="en-US"/>
        </w:rPr>
      </w:pPr>
      <w:proofErr w:type="spellStart"/>
      <w:r w:rsidRPr="00D92E4C">
        <w:rPr>
          <w:rFonts w:ascii="Arial" w:eastAsia="Arial" w:hAnsi="Arial" w:cs="Arial"/>
          <w:sz w:val="24"/>
          <w:szCs w:val="24"/>
          <w:lang w:val="en-US"/>
        </w:rPr>
        <w:t>Inefectivas</w:t>
      </w:r>
      <w:proofErr w:type="spellEnd"/>
      <w:r w:rsidRPr="00D92E4C">
        <w:rPr>
          <w:rFonts w:ascii="Arial" w:eastAsia="Arial" w:hAnsi="Arial" w:cs="Arial"/>
          <w:sz w:val="24"/>
          <w:szCs w:val="24"/>
          <w:lang w:val="en-US"/>
        </w:rPr>
        <w:t xml:space="preserve"> (15): GF04-2023-1, GF05-2023-2, GF2-2024-1, GF3-2024-1, GF4-2024-2,</w:t>
      </w:r>
      <w:r w:rsidRPr="00D92E4C">
        <w:rPr>
          <w:rFonts w:ascii="Arial" w:eastAsia="Arial" w:hAnsi="Arial" w:cs="Arial"/>
          <w:sz w:val="24"/>
          <w:szCs w:val="24"/>
          <w:lang w:val="en-US"/>
        </w:rPr>
        <w:t xml:space="preserve"> GF2-2025-1, GF4-2025-1, GF4-2025-2, TH24-2023-1, TH1-2024-1, AB09-2023-1, AB12-2023-2, AB13-2023-3, AB14-2023-1 y AB18-2023-1.</w:t>
      </w:r>
    </w:p>
    <w:p w14:paraId="25B7018A" w14:textId="77777777" w:rsidR="008F3D5D" w:rsidRPr="00D92E4C" w:rsidRDefault="00A0059F">
      <w:pPr>
        <w:spacing w:before="240" w:after="240"/>
        <w:ind w:right="283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>En cuanto a las acciones finalizadas en 2023 o en vigencias anteriores, se evaluó la efectividad de tres (3) de ellas, correspon</w:t>
      </w:r>
      <w:r w:rsidRPr="00D92E4C">
        <w:rPr>
          <w:rFonts w:ascii="Arial" w:eastAsia="Arial" w:hAnsi="Arial" w:cs="Arial"/>
          <w:sz w:val="24"/>
          <w:szCs w:val="24"/>
        </w:rPr>
        <w:t>dientes los procesos Gestión Financiera, Administración de Bienes e Infraestructura y Gestión de talento humano, obteniendo las siguientes calificaciones:</w:t>
      </w:r>
    </w:p>
    <w:p w14:paraId="78C2C460" w14:textId="77777777" w:rsidR="008F3D5D" w:rsidRPr="00D92E4C" w:rsidRDefault="00A005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right="283" w:hanging="284"/>
        <w:jc w:val="both"/>
        <w:rPr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>Efectivas (1): GTH04.</w:t>
      </w:r>
    </w:p>
    <w:p w14:paraId="62F48E62" w14:textId="77777777" w:rsidR="008F3D5D" w:rsidRPr="00D92E4C" w:rsidRDefault="00A005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284" w:right="283" w:hanging="284"/>
        <w:jc w:val="both"/>
        <w:rPr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>Inefectivas (2): GF10-2023-1 y AB11-2023-1.</w:t>
      </w:r>
    </w:p>
    <w:p w14:paraId="5B073B03" w14:textId="77777777" w:rsidR="008F3D5D" w:rsidRPr="00D92E4C" w:rsidRDefault="00A0059F">
      <w:pPr>
        <w:spacing w:before="240" w:after="240"/>
        <w:ind w:right="283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92E4C">
        <w:rPr>
          <w:rFonts w:ascii="Arial" w:eastAsia="Arial" w:hAnsi="Arial" w:cs="Arial"/>
          <w:color w:val="000000"/>
          <w:sz w:val="24"/>
          <w:szCs w:val="24"/>
        </w:rPr>
        <w:t xml:space="preserve">La evaluación de la efectividad de </w:t>
      </w:r>
      <w:r w:rsidRPr="00D92E4C">
        <w:rPr>
          <w:rFonts w:ascii="Arial" w:eastAsia="Arial" w:hAnsi="Arial" w:cs="Arial"/>
          <w:color w:val="000000"/>
          <w:sz w:val="24"/>
          <w:szCs w:val="24"/>
        </w:rPr>
        <w:t>las acciones que aún se encuentran abiertas se realizará en seguimientos posteriores. Se resalta que la efectividad de las acciones se valora una vez ha transcurrido un tiempo razonable posterior a su fecha de terminación y que las acciones calificadas com</w:t>
      </w:r>
      <w:r w:rsidRPr="00D92E4C">
        <w:rPr>
          <w:rFonts w:ascii="Arial" w:eastAsia="Arial" w:hAnsi="Arial" w:cs="Arial"/>
          <w:color w:val="000000"/>
          <w:sz w:val="24"/>
          <w:szCs w:val="24"/>
        </w:rPr>
        <w:t>o incumplidas no son susceptibles de evaluación de efectividad.</w:t>
      </w:r>
    </w:p>
    <w:p w14:paraId="3F6FD422" w14:textId="77777777" w:rsidR="008F3D5D" w:rsidRDefault="00A0059F">
      <w:pPr>
        <w:pStyle w:val="Ttulo1"/>
        <w:spacing w:before="240" w:line="240" w:lineRule="auto"/>
        <w:ind w:right="283"/>
        <w:jc w:val="both"/>
        <w:rPr>
          <w:color w:val="002060"/>
        </w:rPr>
      </w:pPr>
      <w:r>
        <w:rPr>
          <w:color w:val="002060"/>
        </w:rPr>
        <w:t>CONCLUSIONES</w:t>
      </w:r>
    </w:p>
    <w:p w14:paraId="4029E15C" w14:textId="77777777" w:rsidR="008F3D5D" w:rsidRDefault="00A0059F">
      <w:pPr>
        <w:spacing w:before="240" w:after="240"/>
        <w:ind w:right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Como resultado del seguimiento realizado al primer semestre de 2026, se evidenció que:</w:t>
      </w:r>
    </w:p>
    <w:p w14:paraId="21B76B6D" w14:textId="3AFF9FC8" w:rsidR="008F3D5D" w:rsidRPr="00D92E4C" w:rsidRDefault="00A0059F" w:rsidP="00D92E4C">
      <w:pPr>
        <w:pStyle w:val="Prrafodelista"/>
        <w:numPr>
          <w:ilvl w:val="0"/>
          <w:numId w:val="7"/>
        </w:numPr>
        <w:spacing w:before="240" w:after="240"/>
        <w:ind w:left="284" w:right="283" w:hanging="284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 xml:space="preserve">Respecto del plan de mejoramiento externo, no se identificaron acciones vencidas al corte </w:t>
      </w:r>
      <w:r w:rsidRPr="00D92E4C">
        <w:rPr>
          <w:rFonts w:ascii="Arial" w:eastAsia="Arial" w:hAnsi="Arial" w:cs="Arial"/>
          <w:sz w:val="24"/>
          <w:szCs w:val="24"/>
        </w:rPr>
        <w:t>del presente seguimiento, y veintinueve (29) acciones continúan en ejecución; por lo que el riesgo se concentra en no incumplir la oportunidad de su realización y en la pertinencia de las evidencias que se aporten antes de las fechas comprometidas, a fin d</w:t>
      </w:r>
      <w:r w:rsidRPr="00D92E4C">
        <w:rPr>
          <w:rFonts w:ascii="Arial" w:eastAsia="Arial" w:hAnsi="Arial" w:cs="Arial"/>
          <w:sz w:val="24"/>
          <w:szCs w:val="24"/>
        </w:rPr>
        <w:t>e que se pueda probar que se abordaron las causas raíz, en los términos advertidos en el Capítulo VI de la Resolución Reglamentaria 019 de 2025.</w:t>
      </w:r>
    </w:p>
    <w:p w14:paraId="14A108BF" w14:textId="5915C049" w:rsidR="008F3D5D" w:rsidRPr="00D92E4C" w:rsidRDefault="00A0059F" w:rsidP="00D92E4C">
      <w:pPr>
        <w:pStyle w:val="Prrafodelista"/>
        <w:numPr>
          <w:ilvl w:val="0"/>
          <w:numId w:val="7"/>
        </w:numPr>
        <w:spacing w:before="240" w:after="240"/>
        <w:ind w:left="284" w:right="283" w:hanging="284"/>
        <w:jc w:val="both"/>
        <w:rPr>
          <w:rFonts w:ascii="Arial" w:eastAsia="Arial" w:hAnsi="Arial" w:cs="Arial"/>
          <w:sz w:val="24"/>
          <w:szCs w:val="24"/>
        </w:rPr>
      </w:pPr>
      <w:r w:rsidRPr="00D92E4C">
        <w:rPr>
          <w:rFonts w:ascii="Arial" w:eastAsia="Arial" w:hAnsi="Arial" w:cs="Arial"/>
          <w:sz w:val="24"/>
          <w:szCs w:val="24"/>
        </w:rPr>
        <w:t xml:space="preserve">En relación </w:t>
      </w:r>
      <w:r w:rsidR="00833B3B">
        <w:rPr>
          <w:rFonts w:ascii="Arial" w:eastAsia="Arial" w:hAnsi="Arial" w:cs="Arial"/>
          <w:sz w:val="24"/>
          <w:szCs w:val="24"/>
        </w:rPr>
        <w:t xml:space="preserve">con el </w:t>
      </w:r>
      <w:r w:rsidRPr="00D92E4C">
        <w:rPr>
          <w:rFonts w:ascii="Arial" w:eastAsia="Arial" w:hAnsi="Arial" w:cs="Arial"/>
          <w:sz w:val="24"/>
          <w:szCs w:val="24"/>
        </w:rPr>
        <w:t xml:space="preserve"> Plan de Mejoramiento Interno, se detectó que, una parte importante de las acciones formuladas en</w:t>
      </w:r>
      <w:r w:rsidRPr="00D92E4C">
        <w:rPr>
          <w:rFonts w:ascii="Arial" w:eastAsia="Arial" w:hAnsi="Arial" w:cs="Arial"/>
          <w:sz w:val="24"/>
          <w:szCs w:val="24"/>
        </w:rPr>
        <w:t xml:space="preserve"> los planes de mejoramiento se encuentra cumplida o en ejecución; no obstante, persisten acciones incumplidas, acciones calificadas como inefectivas y no conformidades para las cuales no se evidenció la formulación del correspondiente plan de mejoramiento,</w:t>
      </w:r>
      <w:r w:rsidRPr="00D92E4C">
        <w:rPr>
          <w:rFonts w:ascii="Arial" w:eastAsia="Arial" w:hAnsi="Arial" w:cs="Arial"/>
          <w:sz w:val="24"/>
          <w:szCs w:val="24"/>
        </w:rPr>
        <w:t xml:space="preserve"> aspectos que requieren ser abordados de manera urgente por parte de cada uno de los procesos que tienen a su cargo tales situaciones.</w:t>
      </w:r>
    </w:p>
    <w:p w14:paraId="00D93A31" w14:textId="77777777" w:rsidR="008F3D5D" w:rsidRDefault="00A0059F">
      <w:pPr>
        <w:pStyle w:val="Ttulo1"/>
        <w:spacing w:before="240" w:line="240" w:lineRule="auto"/>
        <w:ind w:right="283"/>
        <w:jc w:val="both"/>
        <w:rPr>
          <w:color w:val="002060"/>
        </w:rPr>
      </w:pPr>
      <w:r>
        <w:rPr>
          <w:color w:val="002060"/>
        </w:rPr>
        <w:t>RECOMENDACIONES</w:t>
      </w:r>
    </w:p>
    <w:p w14:paraId="289A231F" w14:textId="77777777" w:rsidR="008F3D5D" w:rsidRDefault="008F3D5D">
      <w:pPr>
        <w:ind w:left="-142" w:right="283"/>
        <w:jc w:val="both"/>
      </w:pPr>
    </w:p>
    <w:p w14:paraId="3C423461" w14:textId="2F7B27B7" w:rsidR="008F3D5D" w:rsidRDefault="00A0059F" w:rsidP="00D92E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right="283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atención al PROCEDIMIENTO: PLANES DE MEJORAMIENTO, Versión: 7 del 30 de abril de 2026, se indica que,</w:t>
      </w:r>
      <w:r>
        <w:rPr>
          <w:rFonts w:ascii="Arial" w:eastAsia="Arial" w:hAnsi="Arial" w:cs="Arial"/>
          <w:sz w:val="24"/>
          <w:szCs w:val="24"/>
        </w:rPr>
        <w:t xml:space="preserve"> los procesos a cargo de acciones incumplidas y las calificadas como in</w:t>
      </w:r>
      <w:r w:rsidR="004C0019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fectivas deben realizar los procedimientos instaurados para abordar tales situaciones detectadas, se anexa el </w:t>
      </w:r>
      <w:r w:rsidR="00D92E4C">
        <w:rPr>
          <w:rFonts w:ascii="Arial" w:eastAsia="Arial" w:hAnsi="Arial" w:cs="Arial"/>
          <w:sz w:val="24"/>
          <w:szCs w:val="24"/>
        </w:rPr>
        <w:t>enlace</w:t>
      </w:r>
      <w:r w:rsidR="00D26D8F">
        <w:rPr>
          <w:rFonts w:ascii="Arial" w:eastAsia="Arial" w:hAnsi="Arial" w:cs="Arial"/>
          <w:sz w:val="24"/>
          <w:szCs w:val="24"/>
        </w:rPr>
        <w:t xml:space="preserve"> de consulta de la intranet: </w:t>
      </w:r>
      <w:hyperlink r:id="rId8">
        <w:r w:rsidR="008F3D5D" w:rsidRPr="00D92E4C">
          <w:rPr>
            <w:rFonts w:ascii="Arial" w:eastAsia="Arial" w:hAnsi="Arial" w:cs="Arial"/>
            <w:sz w:val="24"/>
            <w:szCs w:val="24"/>
          </w:rPr>
          <w:t>https://miintranet.idpc.gov.co/sig/4_ProcesosEvaluacion/MejoramientoContinuo/3_Procedimientos/3_Procedimiento_Planes_de_mejoramiento_V7.pdf</w:t>
        </w:r>
      </w:hyperlink>
    </w:p>
    <w:p w14:paraId="22AF58F8" w14:textId="77777777" w:rsidR="00D26D8F" w:rsidRDefault="00D26D8F" w:rsidP="00D26D8F">
      <w:pPr>
        <w:pBdr>
          <w:top w:val="nil"/>
          <w:left w:val="nil"/>
          <w:bottom w:val="nil"/>
          <w:right w:val="nil"/>
          <w:between w:val="nil"/>
        </w:pBdr>
        <w:ind w:left="284" w:right="283"/>
        <w:jc w:val="both"/>
        <w:rPr>
          <w:rFonts w:ascii="Arial" w:eastAsia="Arial" w:hAnsi="Arial" w:cs="Arial"/>
          <w:sz w:val="24"/>
          <w:szCs w:val="24"/>
        </w:rPr>
      </w:pPr>
    </w:p>
    <w:p w14:paraId="52E04398" w14:textId="77777777" w:rsidR="008F3D5D" w:rsidRDefault="00A0059F" w:rsidP="00D92E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right="283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Fortalecer la formulación de las acciones de mejoramiento, a fin de que estas respondan directamente a la causa raíz del hallazgo y que los productos definidos permitan demostrar objetivamente la eliminación o mitigación de la situación identificada.</w:t>
      </w:r>
    </w:p>
    <w:p w14:paraId="008DF1FE" w14:textId="77777777" w:rsidR="008F3D5D" w:rsidRDefault="00A0059F" w:rsidP="00D92E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right="283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Fortalecer la calidad y suficiencia de las evidencias, asegurando que sean pertinentes, verificables y que permitan demostrar tanto la ejecución de la acción como su efectividad.</w:t>
      </w:r>
    </w:p>
    <w:p w14:paraId="60895398" w14:textId="77777777" w:rsidR="008F3D5D" w:rsidRDefault="00A0059F" w:rsidP="00D92E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right="283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Formular oportunamente los planes de mejoramiento derivados de auditorías, se</w:t>
      </w:r>
      <w:r>
        <w:rPr>
          <w:rFonts w:ascii="Arial" w:eastAsia="Arial" w:hAnsi="Arial" w:cs="Arial"/>
          <w:sz w:val="24"/>
          <w:szCs w:val="24"/>
        </w:rPr>
        <w:t>guimientos y demás ejercicios de evaluación, conforme a lo establecido en el procedimiento institucional, evitando que las no conformidades permanezcan sin acciones definidas.</w:t>
      </w:r>
    </w:p>
    <w:p w14:paraId="0F58E283" w14:textId="77777777" w:rsidR="008F3D5D" w:rsidRDefault="00A0059F" w:rsidP="00D92E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right="283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Establecer criterios uniformes para el diligenciamiento de la matriz de planes d</w:t>
      </w:r>
      <w:r>
        <w:rPr>
          <w:rFonts w:ascii="Arial" w:eastAsia="Arial" w:hAnsi="Arial" w:cs="Arial"/>
          <w:sz w:val="24"/>
          <w:szCs w:val="24"/>
        </w:rPr>
        <w:t>e mejoramiento, especialmente en lo relacionado con el registro de responsables, entregables, indicadores y observaciones, con el fin de facilitar su seguimiento y evaluación.</w:t>
      </w:r>
    </w:p>
    <w:p w14:paraId="5FF676EE" w14:textId="77777777" w:rsidR="008F3D5D" w:rsidRDefault="00A0059F" w:rsidP="00D92E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right="283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Continuar el seguimiento periódico por parte de la primer y segunda línea de def</w:t>
      </w:r>
      <w:r>
        <w:rPr>
          <w:rFonts w:ascii="Arial" w:eastAsia="Arial" w:hAnsi="Arial" w:cs="Arial"/>
          <w:sz w:val="24"/>
          <w:szCs w:val="24"/>
        </w:rPr>
        <w:t>ensa a las acciones en ejecución y a aquellas próximas a vencer, con el propósito de adoptar oportunamente las medidas necesarias para evitar incumplimientos y mejorar la efectividad de las acciones implementadas.</w:t>
      </w:r>
    </w:p>
    <w:sectPr w:rsidR="008F3D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758" w:bottom="851" w:left="1701" w:header="567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9E904" w14:textId="77777777" w:rsidR="00A0059F" w:rsidRDefault="00A0059F">
      <w:r>
        <w:separator/>
      </w:r>
    </w:p>
  </w:endnote>
  <w:endnote w:type="continuationSeparator" w:id="0">
    <w:p w14:paraId="53EC050D" w14:textId="77777777" w:rsidR="00A0059F" w:rsidRDefault="00A0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rriweather">
    <w:altName w:val="Times New Roman"/>
    <w:charset w:val="00"/>
    <w:family w:val="auto"/>
    <w:pitch w:val="variable"/>
    <w:sig w:usb0="00000001" w:usb1="00000002" w:usb2="00000000" w:usb3="00000000" w:csb0="00000197" w:csb1="00000000"/>
    <w:embedRegular r:id="rId1" w:fontKey="{A15F688B-0338-4A74-B904-D7C69114E88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0BF82FC8-716A-4371-AD98-1346DE7CFAB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87BF882-3498-45BC-A177-A6CDE78BA524}"/>
    <w:embedBold r:id="rId4" w:fontKey="{77D5717A-6CA6-4AA2-BB3B-D92725D176E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AEDC244-5C40-493E-95CA-E9C0A98D68FD}"/>
    <w:embedItalic r:id="rId6" w:fontKey="{0C951A24-C3A7-4CE0-A8E2-6F3849D36536}"/>
  </w:font>
  <w:font w:name="Code3of9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5B887" w14:textId="77777777" w:rsidR="008F3D5D" w:rsidRDefault="008F3D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91189" w14:textId="77777777" w:rsidR="008F3D5D" w:rsidRDefault="00A0059F">
    <w:pPr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Versión 5  06-06-2023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8E98C" w14:textId="77777777" w:rsidR="008F3D5D" w:rsidRDefault="008F3D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F2C8B" w14:textId="77777777" w:rsidR="00A0059F" w:rsidRDefault="00A0059F">
      <w:r>
        <w:separator/>
      </w:r>
    </w:p>
  </w:footnote>
  <w:footnote w:type="continuationSeparator" w:id="0">
    <w:p w14:paraId="7402B20E" w14:textId="77777777" w:rsidR="00A0059F" w:rsidRDefault="00A00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349AB" w14:textId="77777777" w:rsidR="008F3D5D" w:rsidRDefault="008F3D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B81F9" w14:textId="77777777" w:rsidR="008F3D5D" w:rsidRDefault="008F3D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bCs/>
        <w:color w:val="000000"/>
        <w:sz w:val="16"/>
        <w:szCs w:val="16"/>
      </w:rPr>
    </w:pPr>
  </w:p>
  <w:tbl>
    <w:tblPr>
      <w:tblStyle w:val="ac"/>
      <w:tblW w:w="9498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417"/>
      <w:gridCol w:w="4933"/>
      <w:gridCol w:w="3148"/>
    </w:tblGrid>
    <w:tr w:rsidR="008F3D5D" w14:paraId="0353E95B" w14:textId="77777777">
      <w:trPr>
        <w:trHeight w:val="280"/>
      </w:trPr>
      <w:tc>
        <w:tcPr>
          <w:tcW w:w="1417" w:type="dxa"/>
          <w:vMerge w:val="restart"/>
          <w:vAlign w:val="center"/>
        </w:tcPr>
        <w:p w14:paraId="2335FCF5" w14:textId="77777777" w:rsidR="008F3D5D" w:rsidRDefault="00A0059F">
          <w:pPr>
            <w:tabs>
              <w:tab w:val="center" w:pos="4252"/>
              <w:tab w:val="right" w:pos="8504"/>
            </w:tabs>
            <w:jc w:val="center"/>
          </w:pPr>
          <w:r>
            <w:rPr>
              <w:noProof/>
            </w:rPr>
            <w:drawing>
              <wp:inline distT="0" distB="0" distL="0" distR="0" wp14:anchorId="65FE5197" wp14:editId="688CF435">
                <wp:extent cx="775970" cy="672465"/>
                <wp:effectExtent l="0" t="0" r="0" b="0"/>
                <wp:docPr id="2" name="image1.jpg" descr="Descripción: IDPCBY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Descripción: IDPCBYN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5970" cy="6724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3" w:type="dxa"/>
          <w:vAlign w:val="center"/>
        </w:tcPr>
        <w:p w14:paraId="69361220" w14:textId="77777777" w:rsidR="008F3D5D" w:rsidRDefault="00A0059F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bCs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</w:rPr>
            <w:t>INSTITUTO DISTRITAL DE PATRIMONIO CULTURAL</w:t>
          </w:r>
        </w:p>
      </w:tc>
      <w:tc>
        <w:tcPr>
          <w:tcW w:w="3148" w:type="dxa"/>
          <w:vMerge w:val="restart"/>
          <w:vAlign w:val="center"/>
        </w:tcPr>
        <w:p w14:paraId="5A624EA2" w14:textId="77777777" w:rsidR="008F3D5D" w:rsidRDefault="00A0059F">
          <w:pPr>
            <w:widowControl w:val="0"/>
            <w:tabs>
              <w:tab w:val="center" w:pos="4252"/>
              <w:tab w:val="right" w:pos="8504"/>
            </w:tabs>
            <w:jc w:val="right"/>
            <w:rPr>
              <w:rFonts w:ascii="Code3of9" w:eastAsia="Code3of9" w:hAnsi="Code3of9" w:cs="Code3of9"/>
              <w:color w:val="00000A"/>
              <w:sz w:val="28"/>
              <w:szCs w:val="28"/>
            </w:rPr>
          </w:pPr>
          <w:r>
            <w:rPr>
              <w:rFonts w:ascii="Code3of9" w:eastAsia="Code3of9" w:hAnsi="Code3of9" w:cs="Code3of9"/>
              <w:color w:val="00000A"/>
              <w:sz w:val="28"/>
              <w:szCs w:val="28"/>
            </w:rPr>
            <w:t>*20261200148623*</w:t>
          </w:r>
        </w:p>
        <w:p w14:paraId="086F841B" w14:textId="77777777" w:rsidR="008F3D5D" w:rsidRDefault="00A0059F">
          <w:pPr>
            <w:jc w:val="right"/>
            <w:rPr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Radicado:</w:t>
          </w:r>
          <w:r>
            <w:rPr>
              <w:sz w:val="16"/>
              <w:szCs w:val="16"/>
            </w:rPr>
            <w:t xml:space="preserve"> </w:t>
          </w:r>
          <w:r>
            <w:rPr>
              <w:rFonts w:ascii="Arial" w:eastAsia="Arial" w:hAnsi="Arial" w:cs="Arial"/>
              <w:b/>
              <w:bCs/>
            </w:rPr>
            <w:t>20261200148623</w:t>
          </w:r>
        </w:p>
        <w:p w14:paraId="392BBED3" w14:textId="77777777" w:rsidR="008F3D5D" w:rsidRDefault="00A0059F">
          <w:pPr>
            <w:jc w:val="right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Fecha: </w:t>
          </w:r>
          <w:r>
            <w:rPr>
              <w:rFonts w:ascii="Arial" w:eastAsia="Arial" w:hAnsi="Arial" w:cs="Arial"/>
            </w:rPr>
            <w:t>10-08-2026</w:t>
          </w:r>
        </w:p>
        <w:p w14:paraId="5E447546" w14:textId="02A40CA1" w:rsidR="008F3D5D" w:rsidRDefault="00A0059F">
          <w:pPr>
            <w:tabs>
              <w:tab w:val="center" w:pos="4252"/>
              <w:tab w:val="right" w:pos="8504"/>
            </w:tabs>
            <w:jc w:val="right"/>
          </w:pPr>
          <w:r>
            <w:rPr>
              <w:sz w:val="18"/>
              <w:szCs w:val="18"/>
            </w:rPr>
            <w:t xml:space="preserve">Pág.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PAGE</w:instrText>
          </w:r>
          <w:r>
            <w:rPr>
              <w:sz w:val="18"/>
              <w:szCs w:val="18"/>
            </w:rPr>
            <w:fldChar w:fldCharType="separate"/>
          </w:r>
          <w:r w:rsidR="00D26D8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  <w:r>
            <w:rPr>
              <w:sz w:val="18"/>
              <w:szCs w:val="18"/>
            </w:rPr>
            <w:t xml:space="preserve"> de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NUMPAGES</w:instrText>
          </w:r>
          <w:r>
            <w:rPr>
              <w:sz w:val="18"/>
              <w:szCs w:val="18"/>
            </w:rPr>
            <w:fldChar w:fldCharType="separate"/>
          </w:r>
          <w:r w:rsidR="00D26D8F">
            <w:rPr>
              <w:noProof/>
              <w:sz w:val="18"/>
              <w:szCs w:val="18"/>
            </w:rPr>
            <w:t>10</w:t>
          </w:r>
          <w:r>
            <w:rPr>
              <w:sz w:val="18"/>
              <w:szCs w:val="18"/>
            </w:rPr>
            <w:fldChar w:fldCharType="end"/>
          </w:r>
        </w:p>
      </w:tc>
    </w:tr>
    <w:tr w:rsidR="008F3D5D" w14:paraId="219DEA76" w14:textId="77777777">
      <w:trPr>
        <w:trHeight w:val="412"/>
      </w:trPr>
      <w:tc>
        <w:tcPr>
          <w:tcW w:w="1417" w:type="dxa"/>
          <w:vMerge/>
          <w:vAlign w:val="center"/>
        </w:tcPr>
        <w:p w14:paraId="452C0341" w14:textId="77777777" w:rsidR="008F3D5D" w:rsidRDefault="008F3D5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  <w:tc>
        <w:tcPr>
          <w:tcW w:w="4933" w:type="dxa"/>
          <w:vAlign w:val="center"/>
        </w:tcPr>
        <w:p w14:paraId="44859B20" w14:textId="77777777" w:rsidR="008F3D5D" w:rsidRDefault="00A0059F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bCs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</w:rPr>
            <w:t>SEGUIMIENTO Y EVALUACIÓN</w:t>
          </w:r>
        </w:p>
      </w:tc>
      <w:tc>
        <w:tcPr>
          <w:tcW w:w="3148" w:type="dxa"/>
          <w:vMerge/>
          <w:vAlign w:val="center"/>
        </w:tcPr>
        <w:p w14:paraId="549CE22E" w14:textId="77777777" w:rsidR="008F3D5D" w:rsidRDefault="008F3D5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bCs/>
              <w:sz w:val="18"/>
              <w:szCs w:val="18"/>
            </w:rPr>
          </w:pPr>
        </w:p>
      </w:tc>
    </w:tr>
    <w:tr w:rsidR="008F3D5D" w14:paraId="549BE600" w14:textId="77777777">
      <w:trPr>
        <w:trHeight w:val="561"/>
      </w:trPr>
      <w:tc>
        <w:tcPr>
          <w:tcW w:w="1417" w:type="dxa"/>
          <w:vMerge/>
          <w:vAlign w:val="center"/>
        </w:tcPr>
        <w:p w14:paraId="42386BFC" w14:textId="77777777" w:rsidR="008F3D5D" w:rsidRDefault="008F3D5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bCs/>
              <w:sz w:val="18"/>
              <w:szCs w:val="18"/>
            </w:rPr>
          </w:pPr>
        </w:p>
      </w:tc>
      <w:tc>
        <w:tcPr>
          <w:tcW w:w="4933" w:type="dxa"/>
          <w:vAlign w:val="center"/>
        </w:tcPr>
        <w:p w14:paraId="09938874" w14:textId="77777777" w:rsidR="008F3D5D" w:rsidRDefault="00A0059F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bCs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</w:rPr>
            <w:t>INFORME DE SEGUIMIENTO Y/O EVALUACIÓN</w:t>
          </w:r>
        </w:p>
      </w:tc>
      <w:tc>
        <w:tcPr>
          <w:tcW w:w="3148" w:type="dxa"/>
          <w:vMerge/>
          <w:vAlign w:val="center"/>
        </w:tcPr>
        <w:p w14:paraId="7BE67ED0" w14:textId="77777777" w:rsidR="008F3D5D" w:rsidRDefault="008F3D5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bCs/>
              <w:sz w:val="18"/>
              <w:szCs w:val="18"/>
            </w:rPr>
          </w:pPr>
        </w:p>
      </w:tc>
    </w:tr>
  </w:tbl>
  <w:p w14:paraId="7BD37253" w14:textId="77777777" w:rsidR="008F3D5D" w:rsidRDefault="008F3D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bCs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0F0CF" w14:textId="77777777" w:rsidR="008F3D5D" w:rsidRDefault="008F3D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74BE8"/>
    <w:multiLevelType w:val="multilevel"/>
    <w:tmpl w:val="905202E4"/>
    <w:lvl w:ilvl="0">
      <w:start w:val="1"/>
      <w:numFmt w:val="bullet"/>
      <w:lvlText w:val="-"/>
      <w:lvlJc w:val="left"/>
      <w:pPr>
        <w:ind w:left="5039" w:hanging="360"/>
      </w:pPr>
      <w:rPr>
        <w:rFonts w:ascii="Merriweather" w:eastAsia="Merriweather" w:hAnsi="Merriweather" w:cs="Merriweathe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B34C06"/>
    <w:multiLevelType w:val="multilevel"/>
    <w:tmpl w:val="7B00122C"/>
    <w:lvl w:ilvl="0">
      <w:start w:val="1"/>
      <w:numFmt w:val="decimal"/>
      <w:lvlText w:val="%1."/>
      <w:lvlJc w:val="left"/>
      <w:pPr>
        <w:ind w:left="578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9C394B"/>
    <w:multiLevelType w:val="multilevel"/>
    <w:tmpl w:val="7B56004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2F72E3"/>
    <w:multiLevelType w:val="hybridMultilevel"/>
    <w:tmpl w:val="AE5803EC"/>
    <w:lvl w:ilvl="0" w:tplc="F1784AD8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D679C"/>
    <w:multiLevelType w:val="multilevel"/>
    <w:tmpl w:val="1C1CD9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34929"/>
    <w:multiLevelType w:val="hybridMultilevel"/>
    <w:tmpl w:val="CEB21EA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F5B3F"/>
    <w:multiLevelType w:val="multilevel"/>
    <w:tmpl w:val="826E1668"/>
    <w:lvl w:ilvl="0">
      <w:start w:val="1"/>
      <w:numFmt w:val="bullet"/>
      <w:lvlText w:val="-"/>
      <w:lvlJc w:val="left"/>
      <w:pPr>
        <w:ind w:left="720" w:hanging="360"/>
      </w:pPr>
      <w:rPr>
        <w:rFonts w:ascii="Merriweather" w:eastAsia="Merriweather" w:hAnsi="Merriweather" w:cs="Merriweathe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FA3063D"/>
    <w:multiLevelType w:val="multilevel"/>
    <w:tmpl w:val="244E36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5D"/>
    <w:rsid w:val="002C500F"/>
    <w:rsid w:val="004C0019"/>
    <w:rsid w:val="00636842"/>
    <w:rsid w:val="00833B3B"/>
    <w:rsid w:val="00866E53"/>
    <w:rsid w:val="008F3D5D"/>
    <w:rsid w:val="00915A3D"/>
    <w:rsid w:val="00971C8E"/>
    <w:rsid w:val="00993D36"/>
    <w:rsid w:val="00A0059F"/>
    <w:rsid w:val="00AC3B31"/>
    <w:rsid w:val="00C6407C"/>
    <w:rsid w:val="00D26D8F"/>
    <w:rsid w:val="00D84094"/>
    <w:rsid w:val="00D92E4C"/>
    <w:rsid w:val="00DE01B8"/>
    <w:rsid w:val="00F23A4E"/>
    <w:rsid w:val="00F279A6"/>
    <w:rsid w:val="00F5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1F55F"/>
  <w15:docId w15:val="{AA1CF034-A1DA-40A6-8953-204402E8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spacing w:line="48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C077DC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92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intranet.idpc.gov.co/sig/4_ProcesosEvaluacion/MejoramientoContinuo/3_Procedimientos/3_Procedimiento_Planes_de_mejoramiento_V7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RT+Tak1pDHUbYBtHnUB6rDK7Ow==">CgMxLjA4AHIhMWRBSG01endyNDAyVEVMU3QyRlMwR09nbXFObXpQaVdv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2663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Mary Alexandra Martinez Bonilla</cp:lastModifiedBy>
  <cp:revision>15</cp:revision>
  <dcterms:created xsi:type="dcterms:W3CDTF">2026-08-10T00:39:00Z</dcterms:created>
  <dcterms:modified xsi:type="dcterms:W3CDTF">2026-08-10T19:51:00Z</dcterms:modified>
</cp:coreProperties>
</file>