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8A3343" w14:textId="77777777" w:rsidR="00906580" w:rsidRDefault="00743167" w:rsidP="00C73C23">
      <w:pPr>
        <w:pStyle w:val="Ttulo1"/>
        <w:spacing w:before="240" w:line="240" w:lineRule="auto"/>
        <w:ind w:left="-142"/>
        <w:jc w:val="both"/>
        <w:rPr>
          <w:color w:val="002060"/>
        </w:rPr>
      </w:pPr>
      <w:bookmarkStart w:id="0" w:name="_Hlk114844270"/>
      <w:bookmarkStart w:id="1" w:name="_GoBack"/>
      <w:bookmarkEnd w:id="0"/>
      <w:bookmarkEnd w:id="1"/>
      <w:r>
        <w:rPr>
          <w:color w:val="002060"/>
        </w:rPr>
        <w:t>INFORMACIÓN GENERAL</w:t>
      </w:r>
    </w:p>
    <w:p w14:paraId="4C625E7E" w14:textId="744F3865" w:rsidR="00906580" w:rsidRPr="002D0BC6" w:rsidRDefault="00743167" w:rsidP="00C73C23">
      <w:pPr>
        <w:pStyle w:val="Subttulo"/>
        <w:numPr>
          <w:ilvl w:val="0"/>
          <w:numId w:val="1"/>
        </w:numPr>
        <w:tabs>
          <w:tab w:val="left" w:pos="284"/>
        </w:tabs>
        <w:spacing w:before="120" w:after="120"/>
        <w:ind w:left="284" w:hanging="426"/>
        <w:jc w:val="both"/>
        <w:rPr>
          <w:rFonts w:ascii="Arial" w:eastAsia="Arial" w:hAnsi="Arial" w:cs="Arial"/>
          <w:b/>
        </w:rPr>
      </w:pPr>
      <w:r w:rsidRPr="002D0BC6">
        <w:rPr>
          <w:rFonts w:ascii="Arial" w:eastAsia="Arial" w:hAnsi="Arial" w:cs="Arial"/>
          <w:b/>
        </w:rPr>
        <w:t>Proceso, procedimiento o actividad evaluada:</w:t>
      </w:r>
      <w:r w:rsidR="00723E7E">
        <w:rPr>
          <w:rFonts w:ascii="Arial" w:eastAsia="Arial" w:hAnsi="Arial" w:cs="Arial"/>
          <w:b/>
        </w:rPr>
        <w:t xml:space="preserve"> </w:t>
      </w:r>
      <w:r w:rsidR="00723E7E">
        <w:rPr>
          <w:rFonts w:ascii="Arial" w:eastAsia="Arial" w:hAnsi="Arial" w:cs="Arial"/>
        </w:rPr>
        <w:t>Informe de seguimiento al cumplimiento de la Ley 1712 de 2014 Transparencia y Derecho de Acceso a la Información Pública Nacional y de la Resolución 1519 de 2020 Estándares y directrices de publicación y requisitos en materia de acceso a la información pública, accesibilidad web, seguridad digital, y datos abiertos.</w:t>
      </w:r>
    </w:p>
    <w:p w14:paraId="74CFE0B6" w14:textId="6BFAADD0" w:rsidR="00906580" w:rsidRPr="00723E7E" w:rsidRDefault="00743167" w:rsidP="00C73C23">
      <w:pPr>
        <w:pStyle w:val="Subttulo"/>
        <w:numPr>
          <w:ilvl w:val="0"/>
          <w:numId w:val="2"/>
        </w:numPr>
        <w:tabs>
          <w:tab w:val="left" w:pos="284"/>
        </w:tabs>
        <w:spacing w:before="120" w:after="120"/>
        <w:ind w:left="284" w:hanging="426"/>
        <w:jc w:val="both"/>
        <w:rPr>
          <w:rFonts w:ascii="Arial" w:eastAsia="Arial" w:hAnsi="Arial" w:cs="Arial"/>
          <w:b/>
        </w:rPr>
      </w:pPr>
      <w:r w:rsidRPr="002D0BC6">
        <w:rPr>
          <w:rFonts w:ascii="Arial" w:eastAsia="Arial" w:hAnsi="Arial" w:cs="Arial"/>
          <w:b/>
        </w:rPr>
        <w:t>Responsable del proceso, procedimiento o actividad evaluada:</w:t>
      </w:r>
      <w:r w:rsidR="00723E7E">
        <w:rPr>
          <w:rFonts w:ascii="Arial" w:eastAsia="Arial" w:hAnsi="Arial" w:cs="Arial"/>
          <w:b/>
        </w:rPr>
        <w:t xml:space="preserve"> </w:t>
      </w:r>
      <w:r w:rsidR="00723E7E">
        <w:rPr>
          <w:rFonts w:ascii="Arial" w:eastAsia="Arial" w:hAnsi="Arial" w:cs="Arial"/>
        </w:rPr>
        <w:t>Subdirección de Divulgación e Intervención del Patrimonio y Subdirección de Gestión Corporativa como líderes, así como, todos los procesos que publican en página Web.</w:t>
      </w:r>
    </w:p>
    <w:p w14:paraId="65EC9742" w14:textId="5A8C5995" w:rsidR="00906580" w:rsidRPr="00723E7E" w:rsidRDefault="00743167" w:rsidP="00C73C23">
      <w:pPr>
        <w:pStyle w:val="Subttulo"/>
        <w:numPr>
          <w:ilvl w:val="0"/>
          <w:numId w:val="2"/>
        </w:numPr>
        <w:tabs>
          <w:tab w:val="left" w:pos="284"/>
        </w:tabs>
        <w:spacing w:before="120" w:after="120"/>
        <w:ind w:left="284" w:hanging="426"/>
        <w:jc w:val="both"/>
        <w:rPr>
          <w:rFonts w:ascii="Arial" w:eastAsia="Arial" w:hAnsi="Arial" w:cs="Arial"/>
          <w:b/>
        </w:rPr>
      </w:pPr>
      <w:r w:rsidRPr="002D0BC6">
        <w:rPr>
          <w:rFonts w:ascii="Arial" w:eastAsia="Arial" w:hAnsi="Arial" w:cs="Arial"/>
          <w:b/>
        </w:rPr>
        <w:t>Objetivo:</w:t>
      </w:r>
      <w:r w:rsidR="00723E7E">
        <w:t xml:space="preserve"> </w:t>
      </w:r>
      <w:r w:rsidR="00723E7E">
        <w:rPr>
          <w:rFonts w:ascii="Arial" w:eastAsia="Arial" w:hAnsi="Arial" w:cs="Arial"/>
        </w:rPr>
        <w:t>Verificar el cumplimiento de los estándares y directrices establecidos para la publicación de información y de los requisitos en materia de acceso, accesibilidad, seguridad digital y datos abiertos de acuerdo con los lineamientos establecidos en la normatividad vigente.</w:t>
      </w:r>
    </w:p>
    <w:p w14:paraId="4073A39B" w14:textId="596E8B67" w:rsidR="00906580" w:rsidRPr="00106D4D" w:rsidRDefault="00743167" w:rsidP="00C73C23">
      <w:pPr>
        <w:pStyle w:val="Subttulo"/>
        <w:numPr>
          <w:ilvl w:val="0"/>
          <w:numId w:val="2"/>
        </w:numPr>
        <w:tabs>
          <w:tab w:val="left" w:pos="284"/>
        </w:tabs>
        <w:spacing w:before="120" w:after="120"/>
        <w:ind w:left="284" w:hanging="426"/>
        <w:jc w:val="both"/>
        <w:rPr>
          <w:rFonts w:ascii="Arial" w:eastAsia="Arial" w:hAnsi="Arial" w:cs="Arial"/>
          <w:b/>
        </w:rPr>
      </w:pPr>
      <w:r w:rsidRPr="002D0BC6">
        <w:rPr>
          <w:rFonts w:ascii="Arial" w:eastAsia="Arial" w:hAnsi="Arial" w:cs="Arial"/>
          <w:b/>
        </w:rPr>
        <w:t>Alcance:</w:t>
      </w:r>
      <w:r w:rsidR="00106D4D">
        <w:rPr>
          <w:rFonts w:ascii="Arial" w:eastAsia="Arial" w:hAnsi="Arial" w:cs="Arial"/>
          <w:b/>
        </w:rPr>
        <w:t xml:space="preserve"> </w:t>
      </w:r>
      <w:r w:rsidR="00106D4D">
        <w:rPr>
          <w:rFonts w:ascii="Arial" w:eastAsia="Arial" w:hAnsi="Arial" w:cs="Arial"/>
        </w:rPr>
        <w:t>La verificación corresponde al cumplimiento de los Anexos 1,2,3 y 4 de la Resolución 1519 de 2020 durante el segundo cuatrimestre de 2022, comprendido entre mayo y agosto de 2022.</w:t>
      </w:r>
    </w:p>
    <w:p w14:paraId="2F5848FA" w14:textId="00E6E6AF" w:rsidR="00906580" w:rsidRDefault="00743167" w:rsidP="00C73C23">
      <w:pPr>
        <w:pStyle w:val="Subttulo"/>
        <w:numPr>
          <w:ilvl w:val="0"/>
          <w:numId w:val="1"/>
        </w:numPr>
        <w:tabs>
          <w:tab w:val="left" w:pos="284"/>
        </w:tabs>
        <w:spacing w:before="120" w:after="120"/>
        <w:ind w:left="284" w:hanging="426"/>
        <w:jc w:val="left"/>
        <w:rPr>
          <w:rFonts w:ascii="Arial" w:eastAsia="Arial" w:hAnsi="Arial" w:cs="Arial"/>
          <w:b/>
        </w:rPr>
      </w:pPr>
      <w:r w:rsidRPr="002D0BC6">
        <w:rPr>
          <w:rFonts w:ascii="Arial" w:eastAsia="Arial" w:hAnsi="Arial" w:cs="Arial"/>
          <w:b/>
        </w:rPr>
        <w:t>Criterios:</w:t>
      </w:r>
    </w:p>
    <w:p w14:paraId="155F268B" w14:textId="77777777" w:rsidR="00106D4D" w:rsidRDefault="00106D4D" w:rsidP="00C73C23">
      <w:pPr>
        <w:numPr>
          <w:ilvl w:val="0"/>
          <w:numId w:val="4"/>
        </w:numPr>
        <w:jc w:val="both"/>
        <w:rPr>
          <w:rFonts w:ascii="Arial" w:eastAsia="Arial" w:hAnsi="Arial" w:cs="Arial"/>
          <w:sz w:val="24"/>
          <w:szCs w:val="24"/>
        </w:rPr>
      </w:pPr>
      <w:r>
        <w:rPr>
          <w:rFonts w:ascii="Arial" w:eastAsia="Arial" w:hAnsi="Arial" w:cs="Arial"/>
          <w:sz w:val="24"/>
          <w:szCs w:val="24"/>
        </w:rPr>
        <w:t>Ley 1712 de 2014 “Por medio de la cual se crea la Ley de Transparencia y del Derecho de Acceso a la Información Pública Nacional y se dictan otras disposiciones.”</w:t>
      </w:r>
    </w:p>
    <w:p w14:paraId="352C6925" w14:textId="2603365C" w:rsidR="00106D4D" w:rsidRPr="00106D4D" w:rsidRDefault="00106D4D" w:rsidP="00C73C23">
      <w:pPr>
        <w:numPr>
          <w:ilvl w:val="0"/>
          <w:numId w:val="4"/>
        </w:numPr>
        <w:jc w:val="both"/>
        <w:rPr>
          <w:rFonts w:ascii="Arial" w:eastAsia="Arial" w:hAnsi="Arial" w:cs="Arial"/>
          <w:sz w:val="24"/>
          <w:szCs w:val="24"/>
        </w:rPr>
      </w:pPr>
      <w:r>
        <w:rPr>
          <w:rFonts w:ascii="Arial" w:eastAsia="Arial" w:hAnsi="Arial" w:cs="Arial"/>
          <w:sz w:val="24"/>
          <w:szCs w:val="24"/>
        </w:rPr>
        <w:t>Resolución 1519 de 2020 Mintic “Por la cual se definen los estándares y directrices para publicar la información señalada en la Ley 1712 del 2014 y se definen los requisitos en materia de acceso a la información pública, accesibilidad web, seguridad digital, y datos abiertos”.</w:t>
      </w:r>
    </w:p>
    <w:p w14:paraId="68F4663A" w14:textId="082C7317" w:rsidR="00906580" w:rsidRPr="008B3C64" w:rsidRDefault="00743167" w:rsidP="00C73C23">
      <w:pPr>
        <w:pStyle w:val="Subttulo"/>
        <w:numPr>
          <w:ilvl w:val="0"/>
          <w:numId w:val="2"/>
        </w:numPr>
        <w:tabs>
          <w:tab w:val="left" w:pos="284"/>
        </w:tabs>
        <w:spacing w:before="120" w:after="120"/>
        <w:ind w:left="284" w:hanging="426"/>
        <w:jc w:val="both"/>
        <w:rPr>
          <w:rFonts w:ascii="Arial" w:eastAsia="Arial" w:hAnsi="Arial" w:cs="Arial"/>
          <w:b/>
        </w:rPr>
      </w:pPr>
      <w:r w:rsidRPr="002D0BC6">
        <w:rPr>
          <w:rFonts w:ascii="Arial" w:eastAsia="Arial" w:hAnsi="Arial" w:cs="Arial"/>
          <w:b/>
        </w:rPr>
        <w:t>Pruebas de auditoría:</w:t>
      </w:r>
      <w:r w:rsidR="008B3C64">
        <w:rPr>
          <w:rFonts w:ascii="Arial" w:eastAsia="Arial" w:hAnsi="Arial" w:cs="Arial"/>
          <w:b/>
        </w:rPr>
        <w:t xml:space="preserve"> </w:t>
      </w:r>
      <w:r w:rsidR="008B3C64">
        <w:rPr>
          <w:rFonts w:ascii="Arial" w:eastAsia="Arial" w:hAnsi="Arial" w:cs="Arial"/>
        </w:rPr>
        <w:t>Verificación de la información en la página web y en el aplicativo SISBIC.</w:t>
      </w:r>
    </w:p>
    <w:p w14:paraId="03029CE2" w14:textId="009C6664" w:rsidR="00906580" w:rsidRPr="002D0BC6" w:rsidRDefault="00743167" w:rsidP="00C73C23">
      <w:pPr>
        <w:pStyle w:val="Subttulo"/>
        <w:numPr>
          <w:ilvl w:val="0"/>
          <w:numId w:val="1"/>
        </w:numPr>
        <w:tabs>
          <w:tab w:val="left" w:pos="284"/>
        </w:tabs>
        <w:spacing w:before="120" w:after="120"/>
        <w:ind w:left="284" w:hanging="426"/>
        <w:jc w:val="left"/>
        <w:rPr>
          <w:rFonts w:ascii="Arial" w:eastAsia="Arial" w:hAnsi="Arial" w:cs="Arial"/>
          <w:b/>
        </w:rPr>
      </w:pPr>
      <w:r w:rsidRPr="002D0BC6">
        <w:rPr>
          <w:rFonts w:ascii="Arial" w:eastAsia="Arial" w:hAnsi="Arial" w:cs="Arial"/>
          <w:b/>
        </w:rPr>
        <w:t xml:space="preserve">Equipo </w:t>
      </w:r>
      <w:r w:rsidR="009823FE">
        <w:rPr>
          <w:rFonts w:ascii="Arial" w:eastAsia="Arial" w:hAnsi="Arial" w:cs="Arial"/>
          <w:b/>
        </w:rPr>
        <w:t>evaluador</w:t>
      </w:r>
      <w:r w:rsidRPr="002D0BC6">
        <w:rPr>
          <w:rFonts w:ascii="Arial" w:eastAsia="Arial" w:hAnsi="Arial" w:cs="Arial"/>
          <w:b/>
        </w:rPr>
        <w:t>:</w:t>
      </w:r>
      <w:r w:rsidR="008B3C64">
        <w:rPr>
          <w:rFonts w:ascii="Arial" w:eastAsia="Arial" w:hAnsi="Arial" w:cs="Arial"/>
          <w:b/>
        </w:rPr>
        <w:t xml:space="preserve"> </w:t>
      </w:r>
      <w:r w:rsidR="008B3C64">
        <w:rPr>
          <w:rFonts w:ascii="Arial" w:eastAsia="Arial" w:hAnsi="Arial" w:cs="Arial"/>
        </w:rPr>
        <w:t>Angie Paola Triana Montañez.</w:t>
      </w:r>
    </w:p>
    <w:p w14:paraId="16494D77" w14:textId="65F089BE" w:rsidR="00906580" w:rsidRPr="008B3C64" w:rsidRDefault="00743167" w:rsidP="00C73C23">
      <w:pPr>
        <w:pStyle w:val="Subttulo"/>
        <w:numPr>
          <w:ilvl w:val="0"/>
          <w:numId w:val="2"/>
        </w:numPr>
        <w:tabs>
          <w:tab w:val="left" w:pos="284"/>
        </w:tabs>
        <w:spacing w:before="120" w:after="120"/>
        <w:ind w:left="284" w:hanging="426"/>
        <w:jc w:val="both"/>
        <w:rPr>
          <w:rFonts w:ascii="Arial" w:eastAsia="Arial" w:hAnsi="Arial" w:cs="Arial"/>
          <w:b/>
        </w:rPr>
      </w:pPr>
      <w:r w:rsidRPr="002D0BC6">
        <w:rPr>
          <w:rFonts w:ascii="Arial" w:eastAsia="Arial" w:hAnsi="Arial" w:cs="Arial"/>
          <w:b/>
        </w:rPr>
        <w:t>Fecha de ejecución de</w:t>
      </w:r>
      <w:r w:rsidR="00BA04D3" w:rsidRPr="002D0BC6">
        <w:rPr>
          <w:rFonts w:ascii="Arial" w:eastAsia="Arial" w:hAnsi="Arial" w:cs="Arial"/>
          <w:b/>
        </w:rPr>
        <w:t>l seguimiento o la evaluación</w:t>
      </w:r>
      <w:r w:rsidRPr="002D0BC6">
        <w:rPr>
          <w:rFonts w:ascii="Arial" w:eastAsia="Arial" w:hAnsi="Arial" w:cs="Arial"/>
          <w:b/>
        </w:rPr>
        <w:t>:</w:t>
      </w:r>
      <w:r w:rsidR="008B3C64">
        <w:rPr>
          <w:rFonts w:ascii="Arial" w:eastAsia="Arial" w:hAnsi="Arial" w:cs="Arial"/>
          <w:b/>
        </w:rPr>
        <w:t xml:space="preserve"> </w:t>
      </w:r>
      <w:r w:rsidR="008B3C64">
        <w:rPr>
          <w:rFonts w:ascii="Arial" w:eastAsia="Arial" w:hAnsi="Arial" w:cs="Arial"/>
        </w:rPr>
        <w:t>Del 09 al 30 de septiembre de 2022.</w:t>
      </w:r>
    </w:p>
    <w:p w14:paraId="152D8D07" w14:textId="7BBB472D" w:rsidR="00906580" w:rsidRPr="008B3C64" w:rsidRDefault="00743167" w:rsidP="0084677D">
      <w:pPr>
        <w:pStyle w:val="Subttulo"/>
        <w:numPr>
          <w:ilvl w:val="0"/>
          <w:numId w:val="2"/>
        </w:numPr>
        <w:tabs>
          <w:tab w:val="left" w:pos="284"/>
        </w:tabs>
        <w:spacing w:before="120" w:after="120"/>
        <w:ind w:left="284" w:hanging="426"/>
        <w:jc w:val="both"/>
        <w:rPr>
          <w:rFonts w:ascii="Arial" w:eastAsia="Arial" w:hAnsi="Arial" w:cs="Arial"/>
          <w:b/>
        </w:rPr>
      </w:pPr>
      <w:r w:rsidRPr="002D0BC6">
        <w:rPr>
          <w:rFonts w:ascii="Arial" w:eastAsia="Arial" w:hAnsi="Arial" w:cs="Arial"/>
          <w:b/>
        </w:rPr>
        <w:t>Insumos:</w:t>
      </w:r>
      <w:r w:rsidR="008B3C64">
        <w:rPr>
          <w:rFonts w:ascii="Arial" w:eastAsia="Arial" w:hAnsi="Arial" w:cs="Arial"/>
          <w:b/>
        </w:rPr>
        <w:t xml:space="preserve"> </w:t>
      </w:r>
      <w:r w:rsidR="008B3C64">
        <w:rPr>
          <w:rFonts w:ascii="Arial" w:eastAsia="Arial" w:hAnsi="Arial" w:cs="Arial"/>
        </w:rPr>
        <w:t>Los resultados se fundamentan en la evaluación de la información publicada en la página web institucional, en el enlace https://idpc.gov.co/transparencia-y-acceso-a-la-informacion-publica-ley-1712-del-6-de-marzo-de-2014 y en la validación de la información proporcionada por parte de las dependencias con respecto a las condiciones técnicas y de seguridad digital.</w:t>
      </w:r>
    </w:p>
    <w:p w14:paraId="0F87F1E7" w14:textId="224BE03C" w:rsidR="00906580" w:rsidRPr="002D0BC6" w:rsidRDefault="00743167" w:rsidP="00C73C23">
      <w:pPr>
        <w:pStyle w:val="Subttulo"/>
        <w:numPr>
          <w:ilvl w:val="0"/>
          <w:numId w:val="1"/>
        </w:numPr>
        <w:tabs>
          <w:tab w:val="left" w:pos="284"/>
        </w:tabs>
        <w:spacing w:before="120" w:after="120"/>
        <w:ind w:left="284" w:hanging="426"/>
        <w:jc w:val="left"/>
        <w:rPr>
          <w:rFonts w:ascii="Arial" w:eastAsia="Arial" w:hAnsi="Arial" w:cs="Arial"/>
          <w:b/>
        </w:rPr>
      </w:pPr>
      <w:r w:rsidRPr="002D0BC6">
        <w:rPr>
          <w:rFonts w:ascii="Arial" w:eastAsia="Arial" w:hAnsi="Arial" w:cs="Arial"/>
          <w:b/>
        </w:rPr>
        <w:t xml:space="preserve">Limitaciones </w:t>
      </w:r>
      <w:r w:rsidR="00FA4153" w:rsidRPr="002D0BC6">
        <w:rPr>
          <w:rFonts w:ascii="Arial" w:eastAsia="Arial" w:hAnsi="Arial" w:cs="Arial"/>
          <w:b/>
        </w:rPr>
        <w:t>al seguimiento o evaluación</w:t>
      </w:r>
      <w:r w:rsidRPr="002D0BC6">
        <w:rPr>
          <w:rFonts w:ascii="Arial" w:eastAsia="Arial" w:hAnsi="Arial" w:cs="Arial"/>
          <w:b/>
        </w:rPr>
        <w:t>:</w:t>
      </w:r>
      <w:r w:rsidR="008B3C64">
        <w:rPr>
          <w:rFonts w:ascii="Arial" w:eastAsia="Arial" w:hAnsi="Arial" w:cs="Arial"/>
          <w:b/>
        </w:rPr>
        <w:t xml:space="preserve"> </w:t>
      </w:r>
      <w:r w:rsidR="008B3C64">
        <w:rPr>
          <w:rFonts w:ascii="Arial" w:eastAsia="Arial" w:hAnsi="Arial" w:cs="Arial"/>
        </w:rPr>
        <w:t>Ninguna.</w:t>
      </w:r>
    </w:p>
    <w:p w14:paraId="431AFE45" w14:textId="23ADD2E4" w:rsidR="00FA4153" w:rsidRPr="00FA4153" w:rsidRDefault="00743167" w:rsidP="00C73C23">
      <w:pPr>
        <w:pStyle w:val="Ttulo1"/>
        <w:spacing w:before="240" w:line="240" w:lineRule="auto"/>
        <w:ind w:left="-142"/>
        <w:jc w:val="both"/>
        <w:rPr>
          <w:color w:val="002060"/>
        </w:rPr>
      </w:pPr>
      <w:r>
        <w:rPr>
          <w:color w:val="002060"/>
        </w:rPr>
        <w:t>RESULTADOS DE LA EVALUACIÓN Y/O SEGUIMIENTO</w:t>
      </w:r>
    </w:p>
    <w:p w14:paraId="074C35DE" w14:textId="6A683464" w:rsidR="00FA4153" w:rsidRPr="00361A35" w:rsidRDefault="00FA4153" w:rsidP="00C73C23">
      <w:pPr>
        <w:pStyle w:val="Subttulo"/>
        <w:spacing w:before="120" w:after="120"/>
        <w:ind w:left="-142"/>
        <w:jc w:val="both"/>
        <w:rPr>
          <w:rFonts w:ascii="Arial" w:hAnsi="Arial" w:cs="Arial"/>
          <w:b/>
          <w:bCs/>
        </w:rPr>
      </w:pPr>
      <w:r w:rsidRPr="00361A35">
        <w:rPr>
          <w:rFonts w:ascii="Arial" w:hAnsi="Arial" w:cs="Arial"/>
          <w:b/>
          <w:bCs/>
        </w:rPr>
        <w:t>H</w:t>
      </w:r>
      <w:r w:rsidR="00016566">
        <w:rPr>
          <w:rFonts w:ascii="Arial" w:hAnsi="Arial" w:cs="Arial"/>
          <w:b/>
          <w:bCs/>
        </w:rPr>
        <w:t>allazgos</w:t>
      </w:r>
    </w:p>
    <w:p w14:paraId="6209772F" w14:textId="678A8FE7" w:rsidR="00906580" w:rsidRDefault="00743167" w:rsidP="00C73C23">
      <w:pPr>
        <w:pStyle w:val="Subttulo"/>
        <w:numPr>
          <w:ilvl w:val="0"/>
          <w:numId w:val="1"/>
        </w:numPr>
        <w:tabs>
          <w:tab w:val="left" w:pos="284"/>
        </w:tabs>
        <w:spacing w:before="120" w:after="120"/>
        <w:ind w:left="0" w:hanging="142"/>
        <w:jc w:val="left"/>
        <w:rPr>
          <w:rFonts w:ascii="Arial" w:eastAsia="Arial" w:hAnsi="Arial" w:cs="Arial"/>
          <w:b/>
        </w:rPr>
      </w:pPr>
      <w:r w:rsidRPr="002D0BC6">
        <w:rPr>
          <w:rFonts w:ascii="Arial" w:eastAsia="Arial" w:hAnsi="Arial" w:cs="Arial"/>
          <w:b/>
        </w:rPr>
        <w:t>Fortalezas evidenciadas</w:t>
      </w:r>
      <w:r w:rsidR="002D0BC6" w:rsidRPr="002D0BC6">
        <w:rPr>
          <w:rFonts w:ascii="Arial" w:eastAsia="Arial" w:hAnsi="Arial" w:cs="Arial"/>
          <w:b/>
        </w:rPr>
        <w:t>:</w:t>
      </w:r>
    </w:p>
    <w:tbl>
      <w:tblPr>
        <w:tblStyle w:val="Tablaconcuadrcula1"/>
        <w:tblW w:w="9781"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20" w:firstRow="1" w:lastRow="0" w:firstColumn="0" w:lastColumn="0" w:noHBand="0" w:noVBand="1"/>
      </w:tblPr>
      <w:tblGrid>
        <w:gridCol w:w="709"/>
        <w:gridCol w:w="9072"/>
      </w:tblGrid>
      <w:tr w:rsidR="000E24A7" w14:paraId="04F009FC" w14:textId="77777777" w:rsidTr="00FA584D">
        <w:trPr>
          <w:trHeight w:val="404"/>
          <w:tblHeader/>
        </w:trPr>
        <w:tc>
          <w:tcPr>
            <w:tcW w:w="709" w:type="dxa"/>
            <w:shd w:val="clear" w:color="auto" w:fill="F2F2F2" w:themeFill="background1" w:themeFillShade="F2"/>
            <w:vAlign w:val="center"/>
          </w:tcPr>
          <w:p w14:paraId="537477D9" w14:textId="77777777" w:rsidR="000E24A7" w:rsidRPr="004F6ABD" w:rsidRDefault="000E24A7" w:rsidP="008178F1">
            <w:pPr>
              <w:spacing w:before="120" w:after="120"/>
              <w:jc w:val="center"/>
              <w:rPr>
                <w:rFonts w:ascii="Arial" w:hAnsi="Arial" w:cs="Arial"/>
                <w:b/>
                <w:color w:val="000000"/>
                <w:sz w:val="24"/>
                <w:szCs w:val="24"/>
              </w:rPr>
            </w:pPr>
            <w:r w:rsidRPr="004F6ABD">
              <w:rPr>
                <w:rFonts w:ascii="Arial" w:hAnsi="Arial" w:cs="Arial"/>
                <w:b/>
                <w:color w:val="000000"/>
                <w:sz w:val="24"/>
                <w:szCs w:val="24"/>
              </w:rPr>
              <w:lastRenderedPageBreak/>
              <w:t>No.</w:t>
            </w:r>
          </w:p>
        </w:tc>
        <w:tc>
          <w:tcPr>
            <w:tcW w:w="9072" w:type="dxa"/>
            <w:shd w:val="clear" w:color="auto" w:fill="F2F2F2" w:themeFill="background1" w:themeFillShade="F2"/>
            <w:vAlign w:val="center"/>
          </w:tcPr>
          <w:p w14:paraId="3626AE0D" w14:textId="7E95BE25" w:rsidR="000E24A7" w:rsidRPr="004F6ABD" w:rsidRDefault="000E24A7" w:rsidP="008178F1">
            <w:pPr>
              <w:spacing w:before="120" w:after="120"/>
              <w:jc w:val="center"/>
              <w:rPr>
                <w:rFonts w:ascii="Arial" w:hAnsi="Arial" w:cs="Arial"/>
                <w:b/>
                <w:color w:val="000000"/>
                <w:sz w:val="24"/>
                <w:szCs w:val="24"/>
              </w:rPr>
            </w:pPr>
            <w:r w:rsidRPr="004F6ABD">
              <w:rPr>
                <w:rFonts w:ascii="Arial" w:hAnsi="Arial" w:cs="Arial"/>
                <w:b/>
                <w:color w:val="000000"/>
                <w:sz w:val="24"/>
                <w:szCs w:val="24"/>
              </w:rPr>
              <w:t>Descripción Fortaleza</w:t>
            </w:r>
          </w:p>
        </w:tc>
      </w:tr>
      <w:tr w:rsidR="001C3E01" w14:paraId="1410CC7D" w14:textId="77777777" w:rsidTr="00FA584D">
        <w:trPr>
          <w:trHeight w:val="700"/>
        </w:trPr>
        <w:tc>
          <w:tcPr>
            <w:tcW w:w="709" w:type="dxa"/>
            <w:vAlign w:val="center"/>
          </w:tcPr>
          <w:p w14:paraId="07BBB32F" w14:textId="234C68CB" w:rsidR="001C3E01" w:rsidRPr="004F6ABD" w:rsidRDefault="001C3E01" w:rsidP="00742970">
            <w:pPr>
              <w:jc w:val="center"/>
              <w:rPr>
                <w:rFonts w:ascii="Arial" w:hAnsi="Arial" w:cs="Arial"/>
                <w:color w:val="000000"/>
                <w:sz w:val="24"/>
                <w:szCs w:val="24"/>
              </w:rPr>
            </w:pPr>
            <w:r>
              <w:rPr>
                <w:rFonts w:ascii="Arial" w:eastAsia="Arial" w:hAnsi="Arial" w:cs="Arial"/>
                <w:color w:val="000000"/>
                <w:sz w:val="24"/>
                <w:szCs w:val="24"/>
              </w:rPr>
              <w:t>1</w:t>
            </w:r>
          </w:p>
        </w:tc>
        <w:tc>
          <w:tcPr>
            <w:tcW w:w="9072" w:type="dxa"/>
            <w:vAlign w:val="center"/>
          </w:tcPr>
          <w:p w14:paraId="46D5D31D" w14:textId="455CF71B" w:rsidR="001C3E01" w:rsidRPr="004F6ABD" w:rsidRDefault="001C3E01" w:rsidP="00742970">
            <w:pPr>
              <w:jc w:val="both"/>
              <w:rPr>
                <w:rFonts w:ascii="Arial" w:hAnsi="Arial" w:cs="Arial"/>
                <w:color w:val="000000"/>
                <w:sz w:val="24"/>
                <w:szCs w:val="24"/>
              </w:rPr>
            </w:pPr>
            <w:r>
              <w:rPr>
                <w:rFonts w:ascii="Arial" w:eastAsia="Arial" w:hAnsi="Arial" w:cs="Arial"/>
                <w:color w:val="000000"/>
                <w:sz w:val="24"/>
                <w:szCs w:val="24"/>
              </w:rPr>
              <w:t>La entidad cuenta con talento humano que muestra buena disposición para la oportuna entrega de la información.</w:t>
            </w:r>
          </w:p>
        </w:tc>
      </w:tr>
      <w:tr w:rsidR="001C3E01" w14:paraId="572E9799" w14:textId="77777777" w:rsidTr="00FA584D">
        <w:trPr>
          <w:trHeight w:val="710"/>
        </w:trPr>
        <w:tc>
          <w:tcPr>
            <w:tcW w:w="709" w:type="dxa"/>
            <w:vAlign w:val="center"/>
          </w:tcPr>
          <w:p w14:paraId="63819FCA" w14:textId="1A80ABF7" w:rsidR="001C3E01" w:rsidRPr="004F6ABD" w:rsidRDefault="001C3E01" w:rsidP="00742970">
            <w:pPr>
              <w:jc w:val="center"/>
              <w:rPr>
                <w:rFonts w:ascii="Arial" w:hAnsi="Arial" w:cs="Arial"/>
                <w:color w:val="000000"/>
                <w:sz w:val="24"/>
                <w:szCs w:val="24"/>
              </w:rPr>
            </w:pPr>
            <w:r>
              <w:rPr>
                <w:rFonts w:ascii="Arial" w:eastAsia="Arial" w:hAnsi="Arial" w:cs="Arial"/>
                <w:color w:val="000000"/>
                <w:sz w:val="24"/>
                <w:szCs w:val="24"/>
              </w:rPr>
              <w:t>2</w:t>
            </w:r>
          </w:p>
        </w:tc>
        <w:tc>
          <w:tcPr>
            <w:tcW w:w="9072" w:type="dxa"/>
            <w:vAlign w:val="center"/>
          </w:tcPr>
          <w:p w14:paraId="7EDBF40D" w14:textId="5551DE73" w:rsidR="001C3E01" w:rsidRPr="004F6ABD" w:rsidRDefault="001C3E01" w:rsidP="00742970">
            <w:pPr>
              <w:jc w:val="both"/>
              <w:rPr>
                <w:rFonts w:ascii="Arial" w:hAnsi="Arial" w:cs="Arial"/>
                <w:color w:val="000000"/>
                <w:sz w:val="24"/>
                <w:szCs w:val="24"/>
              </w:rPr>
            </w:pPr>
            <w:r>
              <w:rPr>
                <w:rFonts w:ascii="Arial" w:eastAsia="Arial" w:hAnsi="Arial" w:cs="Arial"/>
                <w:color w:val="000000"/>
                <w:sz w:val="24"/>
                <w:szCs w:val="24"/>
              </w:rPr>
              <w:t>Se han realizado ajustes sobre observaciones y no conformidades identificadas con anterioridad.</w:t>
            </w:r>
          </w:p>
        </w:tc>
      </w:tr>
      <w:tr w:rsidR="001C3E01" w14:paraId="0F05280F" w14:textId="77777777" w:rsidTr="00FA584D">
        <w:trPr>
          <w:trHeight w:val="693"/>
        </w:trPr>
        <w:tc>
          <w:tcPr>
            <w:tcW w:w="709" w:type="dxa"/>
            <w:vAlign w:val="center"/>
          </w:tcPr>
          <w:p w14:paraId="317AB29B" w14:textId="40CFB2B3" w:rsidR="001C3E01" w:rsidRPr="004F6ABD" w:rsidRDefault="001C3E01" w:rsidP="00742970">
            <w:pPr>
              <w:jc w:val="center"/>
              <w:rPr>
                <w:rFonts w:ascii="Arial" w:hAnsi="Arial" w:cs="Arial"/>
                <w:color w:val="000000"/>
                <w:sz w:val="24"/>
                <w:szCs w:val="24"/>
              </w:rPr>
            </w:pPr>
            <w:r>
              <w:rPr>
                <w:rFonts w:ascii="Arial" w:hAnsi="Arial" w:cs="Arial"/>
                <w:color w:val="000000"/>
                <w:sz w:val="24"/>
                <w:szCs w:val="24"/>
              </w:rPr>
              <w:t>3</w:t>
            </w:r>
          </w:p>
        </w:tc>
        <w:tc>
          <w:tcPr>
            <w:tcW w:w="9072" w:type="dxa"/>
            <w:vAlign w:val="center"/>
          </w:tcPr>
          <w:p w14:paraId="4B22BEF9" w14:textId="1DCE5019" w:rsidR="001C3E01" w:rsidRPr="004F6ABD" w:rsidRDefault="00EB0E74" w:rsidP="00742970">
            <w:pPr>
              <w:jc w:val="both"/>
              <w:rPr>
                <w:rFonts w:ascii="Arial" w:hAnsi="Arial" w:cs="Arial"/>
                <w:color w:val="000000"/>
                <w:sz w:val="24"/>
                <w:szCs w:val="24"/>
              </w:rPr>
            </w:pPr>
            <w:r>
              <w:rPr>
                <w:rFonts w:ascii="Arial" w:hAnsi="Arial" w:cs="Arial"/>
                <w:color w:val="000000"/>
                <w:sz w:val="24"/>
                <w:szCs w:val="24"/>
              </w:rPr>
              <w:t>Se evidencia acciones proactivas encaminadas al cumplimiento total de los lineamientos.</w:t>
            </w:r>
          </w:p>
        </w:tc>
      </w:tr>
    </w:tbl>
    <w:p w14:paraId="202E3D96" w14:textId="306F4170" w:rsidR="00906580" w:rsidRDefault="00743167" w:rsidP="00634C71">
      <w:pPr>
        <w:pStyle w:val="Subttulo"/>
        <w:numPr>
          <w:ilvl w:val="0"/>
          <w:numId w:val="1"/>
        </w:numPr>
        <w:tabs>
          <w:tab w:val="left" w:pos="284"/>
        </w:tabs>
        <w:spacing w:before="120" w:after="120"/>
        <w:ind w:left="-142" w:right="-234" w:firstLine="0"/>
        <w:jc w:val="left"/>
        <w:rPr>
          <w:rFonts w:ascii="Arial" w:eastAsia="Arial" w:hAnsi="Arial" w:cs="Arial"/>
          <w:b/>
        </w:rPr>
      </w:pPr>
      <w:r w:rsidRPr="002D0BC6">
        <w:rPr>
          <w:rFonts w:ascii="Arial" w:eastAsia="Arial" w:hAnsi="Arial" w:cs="Arial"/>
          <w:b/>
        </w:rPr>
        <w:t>Observaciones</w:t>
      </w:r>
      <w:r w:rsidR="002D0BC6" w:rsidRPr="002D0BC6">
        <w:rPr>
          <w:rFonts w:ascii="Arial" w:eastAsia="Arial" w:hAnsi="Arial" w:cs="Arial"/>
          <w:b/>
        </w:rPr>
        <w:t>:</w:t>
      </w:r>
    </w:p>
    <w:tbl>
      <w:tblPr>
        <w:tblStyle w:val="Tablaconcuadrcula1"/>
        <w:tblW w:w="9781"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20" w:firstRow="1" w:lastRow="0" w:firstColumn="0" w:lastColumn="0" w:noHBand="0" w:noVBand="1"/>
      </w:tblPr>
      <w:tblGrid>
        <w:gridCol w:w="709"/>
        <w:gridCol w:w="9072"/>
      </w:tblGrid>
      <w:tr w:rsidR="000E24A7" w14:paraId="09B034B4" w14:textId="77777777" w:rsidTr="00FA584D">
        <w:trPr>
          <w:trHeight w:val="404"/>
          <w:tblHeader/>
        </w:trPr>
        <w:tc>
          <w:tcPr>
            <w:tcW w:w="709" w:type="dxa"/>
            <w:shd w:val="clear" w:color="auto" w:fill="F2F2F2" w:themeFill="background1" w:themeFillShade="F2"/>
            <w:vAlign w:val="center"/>
          </w:tcPr>
          <w:p w14:paraId="48CC2E58" w14:textId="77777777" w:rsidR="000E24A7" w:rsidRPr="004F6ABD" w:rsidRDefault="000E24A7" w:rsidP="008178F1">
            <w:pPr>
              <w:spacing w:before="120" w:after="120"/>
              <w:jc w:val="center"/>
              <w:rPr>
                <w:rFonts w:ascii="Arial" w:hAnsi="Arial" w:cs="Arial"/>
                <w:b/>
                <w:color w:val="000000"/>
                <w:sz w:val="24"/>
                <w:szCs w:val="24"/>
              </w:rPr>
            </w:pPr>
            <w:r w:rsidRPr="004F6ABD">
              <w:rPr>
                <w:rFonts w:ascii="Arial" w:hAnsi="Arial" w:cs="Arial"/>
                <w:b/>
                <w:color w:val="000000"/>
                <w:sz w:val="24"/>
                <w:szCs w:val="24"/>
              </w:rPr>
              <w:t>No.</w:t>
            </w:r>
          </w:p>
        </w:tc>
        <w:tc>
          <w:tcPr>
            <w:tcW w:w="9072" w:type="dxa"/>
            <w:shd w:val="clear" w:color="auto" w:fill="F2F2F2" w:themeFill="background1" w:themeFillShade="F2"/>
            <w:vAlign w:val="center"/>
          </w:tcPr>
          <w:p w14:paraId="5C1AC2CE" w14:textId="51AC85E1" w:rsidR="000E24A7" w:rsidRPr="004F6ABD" w:rsidRDefault="000E24A7" w:rsidP="008178F1">
            <w:pPr>
              <w:spacing w:before="120" w:after="120"/>
              <w:jc w:val="center"/>
              <w:rPr>
                <w:rFonts w:ascii="Arial" w:hAnsi="Arial" w:cs="Arial"/>
                <w:b/>
                <w:color w:val="000000"/>
                <w:sz w:val="24"/>
                <w:szCs w:val="24"/>
              </w:rPr>
            </w:pPr>
            <w:r w:rsidRPr="004F6ABD">
              <w:rPr>
                <w:rFonts w:ascii="Arial" w:hAnsi="Arial" w:cs="Arial"/>
                <w:b/>
                <w:color w:val="000000"/>
                <w:sz w:val="24"/>
                <w:szCs w:val="24"/>
              </w:rPr>
              <w:t xml:space="preserve">Descripción </w:t>
            </w:r>
            <w:r>
              <w:rPr>
                <w:rFonts w:ascii="Arial" w:hAnsi="Arial" w:cs="Arial"/>
                <w:b/>
                <w:color w:val="000000"/>
                <w:sz w:val="24"/>
                <w:szCs w:val="24"/>
              </w:rPr>
              <w:t>Observación</w:t>
            </w:r>
          </w:p>
        </w:tc>
      </w:tr>
      <w:tr w:rsidR="000E24A7" w14:paraId="67D8D674" w14:textId="77777777" w:rsidTr="00741A08">
        <w:trPr>
          <w:trHeight w:val="1000"/>
        </w:trPr>
        <w:tc>
          <w:tcPr>
            <w:tcW w:w="709" w:type="dxa"/>
            <w:vAlign w:val="center"/>
          </w:tcPr>
          <w:p w14:paraId="47E28507" w14:textId="60C4E829" w:rsidR="000E24A7" w:rsidRPr="004F6ABD" w:rsidRDefault="00D43C60" w:rsidP="008178F1">
            <w:pPr>
              <w:jc w:val="center"/>
              <w:rPr>
                <w:rFonts w:ascii="Arial" w:hAnsi="Arial" w:cs="Arial"/>
                <w:color w:val="000000"/>
                <w:sz w:val="24"/>
                <w:szCs w:val="24"/>
              </w:rPr>
            </w:pPr>
            <w:r>
              <w:rPr>
                <w:rFonts w:ascii="Arial" w:hAnsi="Arial" w:cs="Arial"/>
                <w:color w:val="000000"/>
                <w:sz w:val="24"/>
                <w:szCs w:val="24"/>
              </w:rPr>
              <w:t>1</w:t>
            </w:r>
          </w:p>
        </w:tc>
        <w:tc>
          <w:tcPr>
            <w:tcW w:w="9072" w:type="dxa"/>
            <w:vAlign w:val="center"/>
          </w:tcPr>
          <w:p w14:paraId="44FC7756" w14:textId="6EDD0346" w:rsidR="000E24A7" w:rsidRDefault="00D43C60" w:rsidP="008178F1">
            <w:pPr>
              <w:rPr>
                <w:rFonts w:ascii="Arial" w:hAnsi="Arial" w:cs="Arial"/>
                <w:color w:val="000000"/>
                <w:sz w:val="24"/>
                <w:szCs w:val="24"/>
              </w:rPr>
            </w:pPr>
            <w:r>
              <w:rPr>
                <w:rFonts w:ascii="Arial" w:hAnsi="Arial" w:cs="Arial"/>
                <w:color w:val="000000"/>
                <w:sz w:val="24"/>
                <w:szCs w:val="24"/>
              </w:rPr>
              <w:t xml:space="preserve">Anexo 1, Numeral 2.2.3.1 </w:t>
            </w:r>
            <w:r w:rsidR="00A81618">
              <w:rPr>
                <w:rFonts w:ascii="Arial" w:hAnsi="Arial" w:cs="Arial"/>
                <w:color w:val="000000"/>
                <w:sz w:val="24"/>
                <w:szCs w:val="24"/>
              </w:rPr>
              <w:t>Alternativas a lo sensorial</w:t>
            </w:r>
            <w:r w:rsidR="00A92BF2">
              <w:rPr>
                <w:rFonts w:ascii="Arial" w:hAnsi="Arial" w:cs="Arial"/>
                <w:color w:val="000000"/>
                <w:sz w:val="24"/>
                <w:szCs w:val="24"/>
              </w:rPr>
              <w:t>.</w:t>
            </w:r>
          </w:p>
          <w:p w14:paraId="58163AC1" w14:textId="42F00F84" w:rsidR="00A81618" w:rsidRPr="00741A08" w:rsidRDefault="00A81618" w:rsidP="00741A08">
            <w:pPr>
              <w:pStyle w:val="Prrafodelista"/>
              <w:numPr>
                <w:ilvl w:val="0"/>
                <w:numId w:val="1"/>
              </w:numPr>
              <w:ind w:left="324" w:hanging="324"/>
              <w:rPr>
                <w:rFonts w:cs="Arial"/>
                <w:color w:val="000000"/>
                <w:sz w:val="24"/>
                <w:szCs w:val="24"/>
              </w:rPr>
            </w:pPr>
            <w:r>
              <w:rPr>
                <w:rFonts w:eastAsia="Arial" w:cs="Arial"/>
                <w:color w:val="000000"/>
                <w:sz w:val="24"/>
                <w:szCs w:val="24"/>
              </w:rPr>
              <w:t>Complemento para videos o elementos multimedia: En la página web se identifican algunos videos con subtítulos incorporados en el momento y tiempo preciso. Sin embargo, en otros videos solo es posible activar la opción de subtítulos generados automáticamente en Youtube que no concuerdan completamente con el contenido.</w:t>
            </w:r>
          </w:p>
        </w:tc>
      </w:tr>
      <w:tr w:rsidR="000E24A7" w14:paraId="7245CF4F" w14:textId="77777777" w:rsidTr="00FA584D">
        <w:trPr>
          <w:trHeight w:val="1269"/>
        </w:trPr>
        <w:tc>
          <w:tcPr>
            <w:tcW w:w="709" w:type="dxa"/>
            <w:vAlign w:val="center"/>
          </w:tcPr>
          <w:p w14:paraId="04A7FFE7" w14:textId="054AB009" w:rsidR="000E24A7" w:rsidRPr="004F6ABD" w:rsidRDefault="00A81618" w:rsidP="008178F1">
            <w:pPr>
              <w:jc w:val="center"/>
              <w:rPr>
                <w:rFonts w:ascii="Arial" w:hAnsi="Arial" w:cs="Arial"/>
                <w:color w:val="000000"/>
                <w:sz w:val="24"/>
                <w:szCs w:val="24"/>
              </w:rPr>
            </w:pPr>
            <w:r>
              <w:rPr>
                <w:rFonts w:ascii="Arial" w:hAnsi="Arial" w:cs="Arial"/>
                <w:color w:val="000000"/>
                <w:sz w:val="24"/>
                <w:szCs w:val="24"/>
              </w:rPr>
              <w:t>2</w:t>
            </w:r>
          </w:p>
        </w:tc>
        <w:tc>
          <w:tcPr>
            <w:tcW w:w="9072" w:type="dxa"/>
            <w:vAlign w:val="center"/>
          </w:tcPr>
          <w:p w14:paraId="6079BA50" w14:textId="2FD394EF" w:rsidR="000E24A7" w:rsidRDefault="00C35BAB" w:rsidP="00C35BAB">
            <w:pPr>
              <w:jc w:val="both"/>
              <w:rPr>
                <w:rFonts w:ascii="Arial" w:eastAsia="Arial" w:hAnsi="Arial" w:cs="Arial"/>
                <w:color w:val="000000"/>
                <w:sz w:val="24"/>
                <w:szCs w:val="24"/>
              </w:rPr>
            </w:pPr>
            <w:r>
              <w:rPr>
                <w:rFonts w:ascii="Arial" w:eastAsia="Arial" w:hAnsi="Arial" w:cs="Arial"/>
                <w:color w:val="000000"/>
                <w:sz w:val="24"/>
                <w:szCs w:val="24"/>
              </w:rPr>
              <w:t>Anexo 1,</w:t>
            </w:r>
            <w:r>
              <w:rPr>
                <w:rFonts w:ascii="Arial" w:eastAsia="Arial" w:hAnsi="Arial" w:cs="Arial"/>
                <w:sz w:val="24"/>
                <w:szCs w:val="24"/>
              </w:rPr>
              <w:t xml:space="preserve"> </w:t>
            </w:r>
            <w:r>
              <w:rPr>
                <w:rFonts w:ascii="Arial" w:eastAsia="Arial" w:hAnsi="Arial" w:cs="Arial"/>
                <w:color w:val="000000"/>
                <w:sz w:val="24"/>
                <w:szCs w:val="24"/>
              </w:rPr>
              <w:t>Numeral 2.2.3.4 Secuencia y orden revisado</w:t>
            </w:r>
            <w:r w:rsidR="00A92BF2">
              <w:rPr>
                <w:rFonts w:ascii="Arial" w:eastAsia="Arial" w:hAnsi="Arial" w:cs="Arial"/>
                <w:color w:val="000000"/>
                <w:sz w:val="24"/>
                <w:szCs w:val="24"/>
              </w:rPr>
              <w:t>.</w:t>
            </w:r>
          </w:p>
          <w:p w14:paraId="3C10F9A4" w14:textId="61EB2D0F" w:rsidR="00C35BAB" w:rsidRPr="00C35BAB" w:rsidRDefault="00C35BAB" w:rsidP="00C35BAB">
            <w:pPr>
              <w:pStyle w:val="Prrafodelista"/>
              <w:numPr>
                <w:ilvl w:val="0"/>
                <w:numId w:val="1"/>
              </w:numPr>
              <w:ind w:left="324" w:hanging="324"/>
              <w:rPr>
                <w:rFonts w:cs="Arial"/>
                <w:color w:val="000000"/>
                <w:sz w:val="24"/>
                <w:szCs w:val="24"/>
              </w:rPr>
            </w:pPr>
            <w:r>
              <w:rPr>
                <w:rFonts w:eastAsia="Arial" w:cs="Arial"/>
                <w:color w:val="000000"/>
                <w:sz w:val="24"/>
                <w:szCs w:val="24"/>
              </w:rPr>
              <w:t>Foco visible al navegar con tabulación: Al navegar con la tecla Tabulador, las opciones en las que se detiene el sistema son visibles a nivel general. No obstante, en algunos elementos puntuales no es visible el resaltado</w:t>
            </w:r>
            <w:r w:rsidR="00DE63D0">
              <w:rPr>
                <w:rFonts w:eastAsia="Arial" w:cs="Arial"/>
                <w:color w:val="000000"/>
                <w:sz w:val="24"/>
                <w:szCs w:val="24"/>
              </w:rPr>
              <w:t>.</w:t>
            </w:r>
          </w:p>
        </w:tc>
      </w:tr>
      <w:tr w:rsidR="00A81618" w14:paraId="241566A9" w14:textId="77777777" w:rsidTr="00FA584D">
        <w:trPr>
          <w:trHeight w:val="748"/>
        </w:trPr>
        <w:tc>
          <w:tcPr>
            <w:tcW w:w="709" w:type="dxa"/>
            <w:vAlign w:val="center"/>
          </w:tcPr>
          <w:p w14:paraId="5E64FAB7" w14:textId="253CE9BD" w:rsidR="00A81618" w:rsidRPr="004F6ABD" w:rsidRDefault="00607674" w:rsidP="008178F1">
            <w:pPr>
              <w:jc w:val="center"/>
              <w:rPr>
                <w:rFonts w:ascii="Arial" w:hAnsi="Arial" w:cs="Arial"/>
                <w:color w:val="000000"/>
                <w:sz w:val="24"/>
                <w:szCs w:val="24"/>
              </w:rPr>
            </w:pPr>
            <w:r>
              <w:rPr>
                <w:rFonts w:ascii="Arial" w:hAnsi="Arial" w:cs="Arial"/>
                <w:color w:val="000000"/>
                <w:sz w:val="24"/>
                <w:szCs w:val="24"/>
              </w:rPr>
              <w:t>3</w:t>
            </w:r>
          </w:p>
        </w:tc>
        <w:tc>
          <w:tcPr>
            <w:tcW w:w="9072" w:type="dxa"/>
            <w:vAlign w:val="center"/>
          </w:tcPr>
          <w:p w14:paraId="1DB14CC4" w14:textId="5FAA6180" w:rsidR="00A81618" w:rsidRDefault="00AF3225" w:rsidP="008178F1">
            <w:pPr>
              <w:rPr>
                <w:rFonts w:ascii="Arial" w:eastAsia="Arial" w:hAnsi="Arial" w:cs="Arial"/>
                <w:color w:val="000000"/>
                <w:sz w:val="24"/>
                <w:szCs w:val="24"/>
              </w:rPr>
            </w:pPr>
            <w:r>
              <w:rPr>
                <w:rFonts w:ascii="Arial" w:eastAsia="Arial" w:hAnsi="Arial" w:cs="Arial"/>
                <w:color w:val="000000"/>
                <w:sz w:val="24"/>
                <w:szCs w:val="24"/>
              </w:rPr>
              <w:t>Anexo 1, Numeral 2.2.3.6 Etiquetas e instrucciones adecuadas</w:t>
            </w:r>
            <w:r w:rsidR="00A92BF2">
              <w:rPr>
                <w:rFonts w:ascii="Arial" w:eastAsia="Arial" w:hAnsi="Arial" w:cs="Arial"/>
                <w:color w:val="000000"/>
                <w:sz w:val="24"/>
                <w:szCs w:val="24"/>
              </w:rPr>
              <w:t>.</w:t>
            </w:r>
          </w:p>
          <w:p w14:paraId="5A9C7F35" w14:textId="77777777" w:rsidR="00FE064E" w:rsidRPr="00FE064E" w:rsidRDefault="00FE064E" w:rsidP="00AF3225">
            <w:pPr>
              <w:pStyle w:val="Prrafodelista"/>
              <w:numPr>
                <w:ilvl w:val="0"/>
                <w:numId w:val="1"/>
              </w:numPr>
              <w:ind w:left="324" w:hanging="284"/>
              <w:rPr>
                <w:rFonts w:cs="Arial"/>
                <w:color w:val="000000"/>
                <w:sz w:val="24"/>
                <w:szCs w:val="24"/>
              </w:rPr>
            </w:pPr>
            <w:r>
              <w:rPr>
                <w:rFonts w:eastAsia="Arial" w:cs="Arial"/>
                <w:color w:val="000000"/>
                <w:sz w:val="24"/>
                <w:szCs w:val="24"/>
              </w:rPr>
              <w:t>Enlaces adecuados: A nivel general, los enlaces cuentan con un texto indicativo del sitio, ventana o documentos que abrirán. Sin embargo, se identifican varias opciones como “leer más”, “ver más” y “conoce más” que se muestran como repetidas.</w:t>
            </w:r>
          </w:p>
          <w:p w14:paraId="62F31FBC" w14:textId="40C90519" w:rsidR="00FE064E" w:rsidRPr="00AF3225" w:rsidRDefault="00FE064E" w:rsidP="00AF3225">
            <w:pPr>
              <w:pStyle w:val="Prrafodelista"/>
              <w:numPr>
                <w:ilvl w:val="0"/>
                <w:numId w:val="1"/>
              </w:numPr>
              <w:ind w:left="324" w:hanging="284"/>
              <w:rPr>
                <w:rFonts w:cs="Arial"/>
                <w:color w:val="000000"/>
                <w:sz w:val="24"/>
                <w:szCs w:val="24"/>
              </w:rPr>
            </w:pPr>
            <w:r>
              <w:rPr>
                <w:rFonts w:eastAsia="Arial" w:cs="Arial"/>
                <w:color w:val="000000"/>
                <w:sz w:val="24"/>
                <w:szCs w:val="24"/>
              </w:rPr>
              <w:t>Imágenes de texto: En el sitio web se evidencian diferentes casos en los cuales la información se encuentra incorporada a imágenes. En publicaciones puntuales, se presenta paralelamente la información en texto, no obstante, a nivel general no se cuenta con esta opción.</w:t>
            </w:r>
          </w:p>
        </w:tc>
      </w:tr>
      <w:tr w:rsidR="00A81618" w14:paraId="6CF3578B" w14:textId="77777777" w:rsidTr="00FA584D">
        <w:trPr>
          <w:trHeight w:val="1545"/>
        </w:trPr>
        <w:tc>
          <w:tcPr>
            <w:tcW w:w="709" w:type="dxa"/>
            <w:vAlign w:val="center"/>
          </w:tcPr>
          <w:p w14:paraId="2B07712D" w14:textId="1EAC0D3F" w:rsidR="00A81618" w:rsidRPr="004F6ABD" w:rsidRDefault="00607674" w:rsidP="008178F1">
            <w:pPr>
              <w:jc w:val="center"/>
              <w:rPr>
                <w:rFonts w:ascii="Arial" w:hAnsi="Arial" w:cs="Arial"/>
                <w:color w:val="000000"/>
                <w:sz w:val="24"/>
                <w:szCs w:val="24"/>
              </w:rPr>
            </w:pPr>
            <w:r>
              <w:rPr>
                <w:rFonts w:ascii="Arial" w:hAnsi="Arial" w:cs="Arial"/>
                <w:color w:val="000000"/>
                <w:sz w:val="24"/>
                <w:szCs w:val="24"/>
              </w:rPr>
              <w:t>4</w:t>
            </w:r>
          </w:p>
        </w:tc>
        <w:tc>
          <w:tcPr>
            <w:tcW w:w="9072" w:type="dxa"/>
            <w:vAlign w:val="center"/>
          </w:tcPr>
          <w:p w14:paraId="58EB368B" w14:textId="266B5D78" w:rsidR="00A81618" w:rsidRDefault="00FE064E" w:rsidP="008178F1">
            <w:pPr>
              <w:rPr>
                <w:rFonts w:ascii="Arial" w:eastAsia="Arial" w:hAnsi="Arial" w:cs="Arial"/>
                <w:color w:val="000000"/>
                <w:sz w:val="24"/>
                <w:szCs w:val="24"/>
              </w:rPr>
            </w:pPr>
            <w:r>
              <w:rPr>
                <w:rFonts w:ascii="Arial" w:eastAsia="Arial" w:hAnsi="Arial" w:cs="Arial"/>
                <w:color w:val="000000"/>
                <w:sz w:val="24"/>
                <w:szCs w:val="24"/>
              </w:rPr>
              <w:t>Anexo 1, Numeral 2.2.3.8 Revisión de la accesibilidad de un sitio web</w:t>
            </w:r>
            <w:r w:rsidR="00A92BF2">
              <w:rPr>
                <w:rFonts w:ascii="Arial" w:eastAsia="Arial" w:hAnsi="Arial" w:cs="Arial"/>
                <w:color w:val="000000"/>
                <w:sz w:val="24"/>
                <w:szCs w:val="24"/>
              </w:rPr>
              <w:t>.</w:t>
            </w:r>
          </w:p>
          <w:p w14:paraId="578D90A8" w14:textId="2A10791C" w:rsidR="00FE064E" w:rsidRPr="00FE064E" w:rsidRDefault="00FE064E" w:rsidP="00FE064E">
            <w:pPr>
              <w:pStyle w:val="Prrafodelista"/>
              <w:numPr>
                <w:ilvl w:val="0"/>
                <w:numId w:val="1"/>
              </w:numPr>
              <w:ind w:left="324" w:hanging="284"/>
              <w:rPr>
                <w:rFonts w:cs="Arial"/>
                <w:color w:val="000000"/>
                <w:sz w:val="24"/>
                <w:szCs w:val="24"/>
              </w:rPr>
            </w:pPr>
            <w:r>
              <w:rPr>
                <w:rFonts w:eastAsia="Arial" w:cs="Arial"/>
                <w:color w:val="000000"/>
                <w:sz w:val="24"/>
                <w:szCs w:val="24"/>
              </w:rPr>
              <w:t xml:space="preserve">El área de </w:t>
            </w:r>
            <w:r w:rsidR="00A224F7">
              <w:rPr>
                <w:rFonts w:eastAsia="Arial" w:cs="Arial"/>
                <w:color w:val="000000"/>
                <w:sz w:val="24"/>
                <w:szCs w:val="24"/>
              </w:rPr>
              <w:t>tecnología</w:t>
            </w:r>
            <w:r>
              <w:rPr>
                <w:rFonts w:eastAsia="Arial" w:cs="Arial"/>
                <w:color w:val="000000"/>
                <w:sz w:val="24"/>
                <w:szCs w:val="24"/>
              </w:rPr>
              <w:t xml:space="preserve"> realiza revisiones asociadas al funcionamiento de la página periódicamente. Asimismo, se encuentra ejecutando un plan de trabajo establecido para la completa y adecuada implementación del Anexo 1 y 2 de esta resolución.</w:t>
            </w:r>
          </w:p>
        </w:tc>
      </w:tr>
      <w:tr w:rsidR="00A81618" w14:paraId="27E5CFD1" w14:textId="77777777" w:rsidTr="00FA584D">
        <w:trPr>
          <w:trHeight w:val="1257"/>
        </w:trPr>
        <w:tc>
          <w:tcPr>
            <w:tcW w:w="709" w:type="dxa"/>
            <w:vAlign w:val="center"/>
          </w:tcPr>
          <w:p w14:paraId="3E4AD7A7" w14:textId="0CCAA0D1" w:rsidR="00A81618" w:rsidRPr="004F6ABD" w:rsidRDefault="00607674" w:rsidP="008178F1">
            <w:pPr>
              <w:jc w:val="center"/>
              <w:rPr>
                <w:rFonts w:ascii="Arial" w:hAnsi="Arial" w:cs="Arial"/>
                <w:color w:val="000000"/>
                <w:sz w:val="24"/>
                <w:szCs w:val="24"/>
              </w:rPr>
            </w:pPr>
            <w:r>
              <w:rPr>
                <w:rFonts w:ascii="Arial" w:hAnsi="Arial" w:cs="Arial"/>
                <w:color w:val="000000"/>
                <w:sz w:val="24"/>
                <w:szCs w:val="24"/>
              </w:rPr>
              <w:t>5</w:t>
            </w:r>
          </w:p>
        </w:tc>
        <w:tc>
          <w:tcPr>
            <w:tcW w:w="9072" w:type="dxa"/>
            <w:vAlign w:val="center"/>
          </w:tcPr>
          <w:p w14:paraId="055286AB" w14:textId="7FED82A1" w:rsidR="00A81618" w:rsidRDefault="005351ED" w:rsidP="008178F1">
            <w:pPr>
              <w:rPr>
                <w:rFonts w:ascii="Arial" w:eastAsia="Arial" w:hAnsi="Arial" w:cs="Arial"/>
                <w:color w:val="000000"/>
                <w:sz w:val="24"/>
                <w:szCs w:val="24"/>
              </w:rPr>
            </w:pPr>
            <w:r>
              <w:rPr>
                <w:rFonts w:ascii="Arial" w:eastAsia="Arial" w:hAnsi="Arial" w:cs="Arial"/>
                <w:color w:val="000000"/>
                <w:sz w:val="24"/>
                <w:szCs w:val="24"/>
              </w:rPr>
              <w:t>Anexo 1, Numeral 2.2.3.9 Recomendaciones finales</w:t>
            </w:r>
            <w:r w:rsidR="00A92BF2">
              <w:rPr>
                <w:rFonts w:ascii="Arial" w:eastAsia="Arial" w:hAnsi="Arial" w:cs="Arial"/>
                <w:color w:val="000000"/>
                <w:sz w:val="24"/>
                <w:szCs w:val="24"/>
              </w:rPr>
              <w:t>.</w:t>
            </w:r>
          </w:p>
          <w:p w14:paraId="583FEFF8" w14:textId="5B519798" w:rsidR="005351ED" w:rsidRPr="005351ED" w:rsidRDefault="005351ED" w:rsidP="005351ED">
            <w:pPr>
              <w:pStyle w:val="Prrafodelista"/>
              <w:numPr>
                <w:ilvl w:val="0"/>
                <w:numId w:val="1"/>
              </w:numPr>
              <w:ind w:left="324" w:hanging="284"/>
              <w:rPr>
                <w:rFonts w:cs="Arial"/>
                <w:color w:val="000000"/>
                <w:sz w:val="24"/>
                <w:szCs w:val="24"/>
              </w:rPr>
            </w:pPr>
            <w:r>
              <w:rPr>
                <w:rFonts w:eastAsia="Arial" w:cs="Arial"/>
                <w:color w:val="000000"/>
                <w:sz w:val="24"/>
                <w:szCs w:val="24"/>
              </w:rPr>
              <w:t>En general, la herramienta permite visualizar el foco a medida en que se genera movimiento con Tabulador. Sin embargo, en el caso de las imágenes y mapas integrados no es visible dicho foco.</w:t>
            </w:r>
          </w:p>
        </w:tc>
      </w:tr>
      <w:tr w:rsidR="00A81618" w14:paraId="7E7D8006" w14:textId="77777777" w:rsidTr="00FA584D">
        <w:trPr>
          <w:trHeight w:val="606"/>
        </w:trPr>
        <w:tc>
          <w:tcPr>
            <w:tcW w:w="709" w:type="dxa"/>
            <w:vAlign w:val="center"/>
          </w:tcPr>
          <w:p w14:paraId="4F406301" w14:textId="085A17B6" w:rsidR="00A81618" w:rsidRPr="004F6ABD" w:rsidRDefault="00607674" w:rsidP="008178F1">
            <w:pPr>
              <w:jc w:val="center"/>
              <w:rPr>
                <w:rFonts w:ascii="Arial" w:hAnsi="Arial" w:cs="Arial"/>
                <w:color w:val="000000"/>
                <w:sz w:val="24"/>
                <w:szCs w:val="24"/>
              </w:rPr>
            </w:pPr>
            <w:r>
              <w:rPr>
                <w:rFonts w:ascii="Arial" w:hAnsi="Arial" w:cs="Arial"/>
                <w:color w:val="000000"/>
                <w:sz w:val="24"/>
                <w:szCs w:val="24"/>
              </w:rPr>
              <w:t>6</w:t>
            </w:r>
          </w:p>
        </w:tc>
        <w:tc>
          <w:tcPr>
            <w:tcW w:w="9072" w:type="dxa"/>
            <w:vAlign w:val="center"/>
          </w:tcPr>
          <w:p w14:paraId="4BC1EDE4" w14:textId="55B969FA" w:rsidR="00A81618" w:rsidRDefault="005025A4" w:rsidP="00D4624B">
            <w:pPr>
              <w:jc w:val="both"/>
              <w:rPr>
                <w:rFonts w:ascii="Arial" w:eastAsia="Arial" w:hAnsi="Arial" w:cs="Arial"/>
                <w:color w:val="000000"/>
                <w:sz w:val="24"/>
                <w:szCs w:val="24"/>
              </w:rPr>
            </w:pPr>
            <w:r>
              <w:rPr>
                <w:rFonts w:ascii="Arial" w:eastAsia="Arial" w:hAnsi="Arial" w:cs="Arial"/>
                <w:color w:val="000000"/>
                <w:sz w:val="24"/>
                <w:szCs w:val="24"/>
              </w:rPr>
              <w:t>Anexo 1, Numeral 3.1 Documentos de procesador de textos</w:t>
            </w:r>
            <w:r w:rsidR="00A92BF2">
              <w:rPr>
                <w:rFonts w:ascii="Arial" w:eastAsia="Arial" w:hAnsi="Arial" w:cs="Arial"/>
                <w:color w:val="000000"/>
                <w:sz w:val="24"/>
                <w:szCs w:val="24"/>
              </w:rPr>
              <w:t>.</w:t>
            </w:r>
          </w:p>
          <w:p w14:paraId="00EA902F" w14:textId="77777777" w:rsidR="005025A4" w:rsidRPr="005025A4" w:rsidRDefault="005025A4" w:rsidP="00D4624B">
            <w:pPr>
              <w:pStyle w:val="Prrafodelista"/>
              <w:numPr>
                <w:ilvl w:val="0"/>
                <w:numId w:val="1"/>
              </w:numPr>
              <w:ind w:left="324" w:hanging="284"/>
              <w:rPr>
                <w:rFonts w:cs="Arial"/>
                <w:color w:val="000000"/>
                <w:sz w:val="24"/>
                <w:szCs w:val="24"/>
              </w:rPr>
            </w:pPr>
            <w:r>
              <w:rPr>
                <w:rFonts w:eastAsia="Arial" w:cs="Arial"/>
                <w:color w:val="000000"/>
                <w:sz w:val="24"/>
                <w:szCs w:val="24"/>
              </w:rPr>
              <w:lastRenderedPageBreak/>
              <w:t>Diseño: En términos generales, los títulos tienen asignado el estilo correspondiente, no obstante, se presentan casos puntuales dentro de los documentos en los cuales los títulos se muestran solo a nivel de tamaño o resaltado y también se presenta el uso de columnas.</w:t>
            </w:r>
          </w:p>
          <w:p w14:paraId="50EDD5BC" w14:textId="77777777" w:rsidR="005025A4" w:rsidRPr="005025A4" w:rsidRDefault="005025A4" w:rsidP="00D4624B">
            <w:pPr>
              <w:pStyle w:val="Prrafodelista"/>
              <w:numPr>
                <w:ilvl w:val="0"/>
                <w:numId w:val="1"/>
              </w:numPr>
              <w:ind w:left="324" w:hanging="284"/>
              <w:rPr>
                <w:rFonts w:cs="Arial"/>
                <w:color w:val="000000"/>
                <w:sz w:val="24"/>
                <w:szCs w:val="24"/>
              </w:rPr>
            </w:pPr>
            <w:r>
              <w:rPr>
                <w:rFonts w:eastAsia="Arial" w:cs="Arial"/>
                <w:color w:val="000000"/>
                <w:sz w:val="24"/>
                <w:szCs w:val="24"/>
              </w:rPr>
              <w:t>Defina el tamaño de la fuente: En algunos casos, se identifican tamaños de fuentes inferiores a 12 puntos en los documentos.</w:t>
            </w:r>
          </w:p>
          <w:p w14:paraId="211BF0A7" w14:textId="77777777" w:rsidR="005025A4" w:rsidRPr="005025A4" w:rsidRDefault="005025A4" w:rsidP="00D4624B">
            <w:pPr>
              <w:pStyle w:val="Prrafodelista"/>
              <w:numPr>
                <w:ilvl w:val="0"/>
                <w:numId w:val="1"/>
              </w:numPr>
              <w:ind w:left="324" w:hanging="284"/>
              <w:rPr>
                <w:rFonts w:cs="Arial"/>
                <w:color w:val="000000"/>
                <w:sz w:val="24"/>
                <w:szCs w:val="24"/>
              </w:rPr>
            </w:pPr>
            <w:r>
              <w:rPr>
                <w:rFonts w:eastAsia="Arial" w:cs="Arial"/>
                <w:color w:val="000000"/>
                <w:sz w:val="24"/>
                <w:szCs w:val="24"/>
              </w:rPr>
              <w:t>Defina una estructura de títulos correcta y clara: Los títulos se encuentran jerarquizados, sin embargo, debido que no se otorga este estilo a todas las secciones estas no se muestran en su totalidad bajo la opción de panel de navegación.</w:t>
            </w:r>
          </w:p>
          <w:p w14:paraId="1DF9BBE1" w14:textId="43BDF021" w:rsidR="005025A4" w:rsidRPr="00417A5B" w:rsidRDefault="005025A4" w:rsidP="00D4624B">
            <w:pPr>
              <w:pStyle w:val="Prrafodelista"/>
              <w:numPr>
                <w:ilvl w:val="0"/>
                <w:numId w:val="1"/>
              </w:numPr>
              <w:ind w:left="324" w:hanging="284"/>
              <w:rPr>
                <w:rFonts w:cs="Arial"/>
                <w:color w:val="000000"/>
                <w:sz w:val="24"/>
                <w:szCs w:val="24"/>
              </w:rPr>
            </w:pPr>
            <w:r>
              <w:rPr>
                <w:rFonts w:eastAsia="Arial" w:cs="Arial"/>
                <w:color w:val="000000"/>
                <w:sz w:val="24"/>
                <w:szCs w:val="24"/>
              </w:rPr>
              <w:t xml:space="preserve">Forzar salto de página si fuese necesario: </w:t>
            </w:r>
            <w:r w:rsidR="00A224F7" w:rsidRPr="00A224F7">
              <w:rPr>
                <w:rFonts w:eastAsia="Arial" w:cs="Arial"/>
                <w:color w:val="000000"/>
                <w:sz w:val="24"/>
                <w:szCs w:val="24"/>
              </w:rPr>
              <w:t xml:space="preserve">Los saltos de página no son necesarios en todos los documentos, no obstante, se identifican casos en los cuales se </w:t>
            </w:r>
            <w:r w:rsidR="00A224F7" w:rsidRPr="00417A5B">
              <w:rPr>
                <w:rFonts w:eastAsia="Arial" w:cs="Arial"/>
                <w:color w:val="000000"/>
                <w:sz w:val="24"/>
                <w:szCs w:val="24"/>
              </w:rPr>
              <w:t>insertan espacios varias veces consecutivas lo cual hace demorada la navegación para algunos usuarios.</w:t>
            </w:r>
          </w:p>
          <w:p w14:paraId="337A05DA" w14:textId="77777777" w:rsidR="005025A4" w:rsidRPr="00417A5B" w:rsidRDefault="005025A4" w:rsidP="00D4624B">
            <w:pPr>
              <w:pStyle w:val="Prrafodelista"/>
              <w:numPr>
                <w:ilvl w:val="0"/>
                <w:numId w:val="1"/>
              </w:numPr>
              <w:ind w:left="324" w:hanging="284"/>
              <w:rPr>
                <w:rFonts w:cs="Arial"/>
                <w:color w:val="000000"/>
                <w:sz w:val="24"/>
                <w:szCs w:val="24"/>
              </w:rPr>
            </w:pPr>
            <w:r w:rsidRPr="00417A5B">
              <w:rPr>
                <w:rFonts w:eastAsia="Arial" w:cs="Arial"/>
                <w:color w:val="000000"/>
                <w:sz w:val="24"/>
                <w:szCs w:val="24"/>
              </w:rPr>
              <w:t>Utilice listas de viñetas o numeración siempre que aplique: A nivel general se observan listas a través de viñetas y numeraciones generadas mediante las opciones correspondientes.  No obstante, se identifican casos puntuales en los cuales se hace uso de la viñeta de círculo vacío la cual, de acuerdo con los lineamientos establecidos, no debe ser utilizada debido a que en realidad es una letra “o” y los lectores de pantalla la pronuncian como tal, confundiendo a estos usuarios.</w:t>
            </w:r>
          </w:p>
          <w:p w14:paraId="15AD4D6C" w14:textId="77777777" w:rsidR="005025A4" w:rsidRPr="005025A4" w:rsidRDefault="005025A4" w:rsidP="00D4624B">
            <w:pPr>
              <w:pStyle w:val="Prrafodelista"/>
              <w:numPr>
                <w:ilvl w:val="0"/>
                <w:numId w:val="1"/>
              </w:numPr>
              <w:ind w:left="324" w:hanging="284"/>
              <w:rPr>
                <w:rFonts w:cs="Arial"/>
                <w:color w:val="000000"/>
                <w:sz w:val="24"/>
                <w:szCs w:val="24"/>
              </w:rPr>
            </w:pPr>
            <w:r>
              <w:rPr>
                <w:rFonts w:eastAsia="Arial" w:cs="Arial"/>
                <w:color w:val="000000"/>
                <w:sz w:val="24"/>
                <w:szCs w:val="24"/>
              </w:rPr>
              <w:t>Tablas para mostrar datos tabulares y no para organizar: En términos generales, se observa el uso adecuado de tablas con el fin de relacionar datos. Sin embargo, se identifican casos en los cuales la tabla se pega como imagen o se combinan celdas. De igual forma, se observan tablas de gran tamaño y cantidad de texto, uso de celdas combinadas y tablas usadas para el diseño del documento pero que no relacionan datos que lo ameriten.</w:t>
            </w:r>
          </w:p>
          <w:p w14:paraId="742304D6" w14:textId="347FF4E3" w:rsidR="005025A4" w:rsidRPr="005025A4" w:rsidRDefault="005025A4" w:rsidP="00D4624B">
            <w:pPr>
              <w:pStyle w:val="Prrafodelista"/>
              <w:numPr>
                <w:ilvl w:val="0"/>
                <w:numId w:val="1"/>
              </w:numPr>
              <w:ind w:left="324" w:hanging="284"/>
              <w:rPr>
                <w:rFonts w:cs="Arial"/>
                <w:color w:val="000000"/>
                <w:sz w:val="24"/>
                <w:szCs w:val="24"/>
              </w:rPr>
            </w:pPr>
            <w:r>
              <w:rPr>
                <w:rFonts w:eastAsia="Arial" w:cs="Arial"/>
                <w:color w:val="000000"/>
                <w:sz w:val="24"/>
                <w:szCs w:val="24"/>
              </w:rPr>
              <w:t>Revisión automática de accesibilidad: Al realizar la comprobación de accesibilidad sobre los documentos, se identifican varios errores relacionados principalmente con la falta de textos alternativos, imágenes o textos no alineados, celdas combinadas o dividas en una tabla y nivel de contraste.</w:t>
            </w:r>
          </w:p>
        </w:tc>
      </w:tr>
      <w:tr w:rsidR="00A81618" w14:paraId="4E2E1861" w14:textId="77777777" w:rsidTr="00741A08">
        <w:trPr>
          <w:trHeight w:val="628"/>
        </w:trPr>
        <w:tc>
          <w:tcPr>
            <w:tcW w:w="709" w:type="dxa"/>
            <w:vAlign w:val="center"/>
          </w:tcPr>
          <w:p w14:paraId="1932092E" w14:textId="22C357FA" w:rsidR="00A81618" w:rsidRPr="004F6ABD" w:rsidRDefault="00607674" w:rsidP="008178F1">
            <w:pPr>
              <w:jc w:val="center"/>
              <w:rPr>
                <w:rFonts w:ascii="Arial" w:hAnsi="Arial" w:cs="Arial"/>
                <w:color w:val="000000"/>
                <w:sz w:val="24"/>
                <w:szCs w:val="24"/>
              </w:rPr>
            </w:pPr>
            <w:r>
              <w:rPr>
                <w:rFonts w:ascii="Arial" w:hAnsi="Arial" w:cs="Arial"/>
                <w:color w:val="000000"/>
                <w:sz w:val="24"/>
                <w:szCs w:val="24"/>
              </w:rPr>
              <w:lastRenderedPageBreak/>
              <w:t>7</w:t>
            </w:r>
          </w:p>
        </w:tc>
        <w:tc>
          <w:tcPr>
            <w:tcW w:w="9072" w:type="dxa"/>
            <w:vAlign w:val="center"/>
          </w:tcPr>
          <w:p w14:paraId="45A39AA0" w14:textId="45236FAA" w:rsidR="00A81618" w:rsidRDefault="001D38CC" w:rsidP="008178F1">
            <w:pPr>
              <w:rPr>
                <w:rFonts w:ascii="Arial" w:eastAsia="Arial" w:hAnsi="Arial" w:cs="Arial"/>
                <w:color w:val="000000"/>
                <w:sz w:val="24"/>
                <w:szCs w:val="24"/>
              </w:rPr>
            </w:pPr>
            <w:r>
              <w:rPr>
                <w:rFonts w:ascii="Arial" w:eastAsia="Arial" w:hAnsi="Arial" w:cs="Arial"/>
                <w:color w:val="000000"/>
                <w:sz w:val="24"/>
                <w:szCs w:val="24"/>
              </w:rPr>
              <w:t>Anexo 1, Numeral 3.2 Documento de hoja de cálculo</w:t>
            </w:r>
            <w:r w:rsidR="00A92BF2">
              <w:rPr>
                <w:rFonts w:ascii="Arial" w:eastAsia="Arial" w:hAnsi="Arial" w:cs="Arial"/>
                <w:color w:val="000000"/>
                <w:sz w:val="24"/>
                <w:szCs w:val="24"/>
              </w:rPr>
              <w:t>.</w:t>
            </w:r>
          </w:p>
          <w:p w14:paraId="3A373D20" w14:textId="77777777" w:rsidR="001D38CC" w:rsidRPr="001D38CC" w:rsidRDefault="001D38CC" w:rsidP="001D38CC">
            <w:pPr>
              <w:pStyle w:val="Prrafodelista"/>
              <w:numPr>
                <w:ilvl w:val="0"/>
                <w:numId w:val="1"/>
              </w:numPr>
              <w:ind w:left="324" w:hanging="284"/>
              <w:rPr>
                <w:rFonts w:cs="Arial"/>
                <w:color w:val="000000"/>
                <w:sz w:val="24"/>
                <w:szCs w:val="24"/>
              </w:rPr>
            </w:pPr>
            <w:r>
              <w:rPr>
                <w:rFonts w:eastAsia="Arial" w:cs="Arial"/>
                <w:color w:val="000000"/>
                <w:sz w:val="24"/>
                <w:szCs w:val="24"/>
              </w:rPr>
              <w:t>Contraste de color: En términos generales se manejan contraste de colores adecuados. No obstante, se presentan casos en los cuales el color de la letra es negro y el fondo de la celda gris oscuro dificultando su visualización.</w:t>
            </w:r>
          </w:p>
          <w:p w14:paraId="2529F3A6" w14:textId="57B51291" w:rsidR="001D38CC" w:rsidRPr="001D38CC" w:rsidRDefault="001D38CC" w:rsidP="001D38CC">
            <w:pPr>
              <w:pStyle w:val="Prrafodelista"/>
              <w:numPr>
                <w:ilvl w:val="0"/>
                <w:numId w:val="1"/>
              </w:numPr>
              <w:ind w:left="324" w:hanging="284"/>
              <w:rPr>
                <w:rFonts w:cs="Arial"/>
                <w:color w:val="000000"/>
                <w:sz w:val="24"/>
                <w:szCs w:val="24"/>
              </w:rPr>
            </w:pPr>
            <w:r>
              <w:rPr>
                <w:rFonts w:eastAsia="Arial" w:cs="Arial"/>
                <w:color w:val="000000"/>
                <w:sz w:val="24"/>
                <w:szCs w:val="24"/>
              </w:rPr>
              <w:t xml:space="preserve">Ocultar o identificar elementos no usados: Se observa que, </w:t>
            </w:r>
            <w:r w:rsidR="00A224F7">
              <w:rPr>
                <w:rFonts w:eastAsia="Arial" w:cs="Arial"/>
                <w:color w:val="000000"/>
                <w:sz w:val="24"/>
                <w:szCs w:val="24"/>
              </w:rPr>
              <w:t>a nivel general</w:t>
            </w:r>
            <w:r>
              <w:rPr>
                <w:rFonts w:eastAsia="Arial" w:cs="Arial"/>
                <w:color w:val="000000"/>
                <w:sz w:val="24"/>
                <w:szCs w:val="24"/>
              </w:rPr>
              <w:t>, las columnas que están en la parte derecha de los datos o las filas que en la parte inferior que no sean utilizadas no se ocultan y se observan celdas sin datos.</w:t>
            </w:r>
          </w:p>
          <w:p w14:paraId="0F5356EC" w14:textId="77777777" w:rsidR="001D38CC" w:rsidRPr="001D38CC" w:rsidRDefault="001D38CC" w:rsidP="001D38CC">
            <w:pPr>
              <w:pStyle w:val="Prrafodelista"/>
              <w:numPr>
                <w:ilvl w:val="0"/>
                <w:numId w:val="1"/>
              </w:numPr>
              <w:ind w:left="324" w:hanging="284"/>
              <w:rPr>
                <w:rFonts w:cs="Arial"/>
                <w:color w:val="000000"/>
                <w:sz w:val="24"/>
                <w:szCs w:val="24"/>
              </w:rPr>
            </w:pPr>
            <w:r>
              <w:rPr>
                <w:rFonts w:eastAsia="Arial" w:cs="Arial"/>
                <w:color w:val="000000"/>
                <w:sz w:val="24"/>
                <w:szCs w:val="24"/>
              </w:rPr>
              <w:t>Incluya Texto alternativo para las imágenes y gráficos: Se observan casos específicos para los cuales se insertan imágenes y no se les asigna un texto alternativo.</w:t>
            </w:r>
          </w:p>
          <w:p w14:paraId="2BA7BEAB" w14:textId="173D0E23" w:rsidR="001D38CC" w:rsidRPr="001D38CC" w:rsidRDefault="001D38CC" w:rsidP="001D38CC">
            <w:pPr>
              <w:pStyle w:val="Prrafodelista"/>
              <w:numPr>
                <w:ilvl w:val="0"/>
                <w:numId w:val="1"/>
              </w:numPr>
              <w:ind w:left="324" w:hanging="284"/>
              <w:rPr>
                <w:rFonts w:cs="Arial"/>
                <w:color w:val="000000"/>
                <w:sz w:val="24"/>
                <w:szCs w:val="24"/>
              </w:rPr>
            </w:pPr>
            <w:r>
              <w:rPr>
                <w:rFonts w:eastAsia="Arial" w:cs="Arial"/>
                <w:color w:val="000000"/>
                <w:sz w:val="24"/>
                <w:szCs w:val="24"/>
              </w:rPr>
              <w:t xml:space="preserve">Nombre adecuado a cada hoja: Se </w:t>
            </w:r>
            <w:r w:rsidR="0002391A">
              <w:rPr>
                <w:rFonts w:eastAsia="Arial" w:cs="Arial"/>
                <w:color w:val="000000"/>
                <w:sz w:val="24"/>
                <w:szCs w:val="24"/>
              </w:rPr>
              <w:t>identifican</w:t>
            </w:r>
            <w:r>
              <w:rPr>
                <w:rFonts w:eastAsia="Arial" w:cs="Arial"/>
                <w:color w:val="000000"/>
                <w:sz w:val="24"/>
                <w:szCs w:val="24"/>
              </w:rPr>
              <w:t xml:space="preserve"> casos en los cuales el nombre de la hoja no es claro con respecto a su contenido.</w:t>
            </w:r>
          </w:p>
          <w:p w14:paraId="1E4E983D" w14:textId="77777777" w:rsidR="001D38CC" w:rsidRPr="001D38CC" w:rsidRDefault="001D38CC" w:rsidP="001D38CC">
            <w:pPr>
              <w:pStyle w:val="Prrafodelista"/>
              <w:numPr>
                <w:ilvl w:val="0"/>
                <w:numId w:val="1"/>
              </w:numPr>
              <w:ind w:left="324" w:hanging="284"/>
              <w:rPr>
                <w:rFonts w:cs="Arial"/>
                <w:color w:val="000000"/>
                <w:sz w:val="24"/>
                <w:szCs w:val="24"/>
              </w:rPr>
            </w:pPr>
            <w:r>
              <w:rPr>
                <w:rFonts w:eastAsia="Arial" w:cs="Arial"/>
                <w:color w:val="000000"/>
                <w:sz w:val="24"/>
                <w:szCs w:val="24"/>
              </w:rPr>
              <w:lastRenderedPageBreak/>
              <w:t>Utilice los datos en Tablas: Se observa que a nivel general los datos son organizados en estructura de tablas, sin embargo, no se evidencia el uso específico de las opciones de tabla que permiten las hojas de cálculo.</w:t>
            </w:r>
          </w:p>
          <w:p w14:paraId="2F96FB29" w14:textId="3F11EF56" w:rsidR="001D38CC" w:rsidRPr="001D38CC" w:rsidRDefault="001D38CC" w:rsidP="001D38CC">
            <w:pPr>
              <w:pStyle w:val="Prrafodelista"/>
              <w:numPr>
                <w:ilvl w:val="0"/>
                <w:numId w:val="1"/>
              </w:numPr>
              <w:ind w:left="324" w:hanging="284"/>
              <w:rPr>
                <w:rFonts w:cs="Arial"/>
                <w:color w:val="000000"/>
                <w:sz w:val="24"/>
                <w:szCs w:val="24"/>
              </w:rPr>
            </w:pPr>
            <w:r>
              <w:rPr>
                <w:rFonts w:eastAsia="Arial" w:cs="Arial"/>
                <w:color w:val="000000"/>
                <w:sz w:val="24"/>
                <w:szCs w:val="24"/>
              </w:rPr>
              <w:t>Revisión automática de accesibilidad: Al realizar la comprobación de accesibilidad sobre los documentos, se identifican varios errores relacionados principalmente con celdas combinadas, contraste de texto difícil de leer y falta de texto alternativo.</w:t>
            </w:r>
          </w:p>
        </w:tc>
      </w:tr>
      <w:tr w:rsidR="00A81618" w14:paraId="5FA1DFB7" w14:textId="77777777" w:rsidTr="00232C5F">
        <w:trPr>
          <w:trHeight w:val="2719"/>
        </w:trPr>
        <w:tc>
          <w:tcPr>
            <w:tcW w:w="709" w:type="dxa"/>
            <w:vAlign w:val="center"/>
          </w:tcPr>
          <w:p w14:paraId="46CDB67C" w14:textId="5F5DA147" w:rsidR="00A81618" w:rsidRPr="004F6ABD" w:rsidRDefault="00607674" w:rsidP="008178F1">
            <w:pPr>
              <w:jc w:val="center"/>
              <w:rPr>
                <w:rFonts w:ascii="Arial" w:hAnsi="Arial" w:cs="Arial"/>
                <w:color w:val="000000"/>
                <w:sz w:val="24"/>
                <w:szCs w:val="24"/>
              </w:rPr>
            </w:pPr>
            <w:r>
              <w:rPr>
                <w:rFonts w:ascii="Arial" w:hAnsi="Arial" w:cs="Arial"/>
                <w:color w:val="000000"/>
                <w:sz w:val="24"/>
                <w:szCs w:val="24"/>
              </w:rPr>
              <w:lastRenderedPageBreak/>
              <w:t>8</w:t>
            </w:r>
          </w:p>
        </w:tc>
        <w:tc>
          <w:tcPr>
            <w:tcW w:w="9072" w:type="dxa"/>
            <w:vAlign w:val="center"/>
          </w:tcPr>
          <w:p w14:paraId="41CD58B0" w14:textId="7B7FB069" w:rsidR="00A81618" w:rsidRDefault="005626D0" w:rsidP="008178F1">
            <w:pPr>
              <w:rPr>
                <w:rFonts w:ascii="Arial" w:eastAsia="Arial" w:hAnsi="Arial" w:cs="Arial"/>
                <w:color w:val="000000"/>
                <w:sz w:val="24"/>
                <w:szCs w:val="24"/>
              </w:rPr>
            </w:pPr>
            <w:r>
              <w:rPr>
                <w:rFonts w:ascii="Arial" w:eastAsia="Arial" w:hAnsi="Arial" w:cs="Arial"/>
                <w:color w:val="000000"/>
                <w:sz w:val="24"/>
                <w:szCs w:val="24"/>
              </w:rPr>
              <w:t>Anexo 1, Numeral 3.3 Documentos PDF</w:t>
            </w:r>
            <w:r w:rsidR="00A92BF2">
              <w:rPr>
                <w:rFonts w:ascii="Arial" w:eastAsia="Arial" w:hAnsi="Arial" w:cs="Arial"/>
                <w:color w:val="000000"/>
                <w:sz w:val="24"/>
                <w:szCs w:val="24"/>
              </w:rPr>
              <w:t>.</w:t>
            </w:r>
          </w:p>
          <w:p w14:paraId="68D847A7" w14:textId="77777777" w:rsidR="005626D0" w:rsidRPr="005626D0" w:rsidRDefault="005626D0" w:rsidP="005626D0">
            <w:pPr>
              <w:pStyle w:val="Prrafodelista"/>
              <w:numPr>
                <w:ilvl w:val="0"/>
                <w:numId w:val="1"/>
              </w:numPr>
              <w:ind w:left="322" w:hanging="284"/>
              <w:rPr>
                <w:rFonts w:cs="Arial"/>
                <w:color w:val="000000"/>
                <w:sz w:val="24"/>
                <w:szCs w:val="24"/>
              </w:rPr>
            </w:pPr>
            <w:r>
              <w:rPr>
                <w:rFonts w:eastAsia="Arial" w:cs="Arial"/>
                <w:color w:val="000000"/>
                <w:sz w:val="24"/>
                <w:szCs w:val="24"/>
              </w:rPr>
              <w:t>Etiquetado: A nivel general los documentos PDF publicados son generados desde el procesador de textos, no obstante, se presentan casos en los cuales los documentos son escaneados y dificultan su accesibilidad.</w:t>
            </w:r>
          </w:p>
          <w:p w14:paraId="44A4BF14" w14:textId="77777777" w:rsidR="005626D0" w:rsidRPr="005626D0" w:rsidRDefault="005626D0" w:rsidP="005626D0">
            <w:pPr>
              <w:pStyle w:val="Prrafodelista"/>
              <w:numPr>
                <w:ilvl w:val="0"/>
                <w:numId w:val="1"/>
              </w:numPr>
              <w:ind w:left="322" w:hanging="284"/>
              <w:rPr>
                <w:rFonts w:cs="Arial"/>
                <w:color w:val="000000"/>
                <w:sz w:val="24"/>
                <w:szCs w:val="24"/>
              </w:rPr>
            </w:pPr>
            <w:r>
              <w:rPr>
                <w:rFonts w:eastAsia="Arial" w:cs="Arial"/>
                <w:color w:val="000000"/>
                <w:sz w:val="24"/>
                <w:szCs w:val="24"/>
              </w:rPr>
              <w:t>Texto alternativo: Se observa que, en los documentos las imágenes que hacen parte del contenido cuentan con un nombre asociado, sin embargo, no se presenta una descripción puntual.</w:t>
            </w:r>
          </w:p>
          <w:p w14:paraId="5CDE8504" w14:textId="7709E0FE" w:rsidR="005626D0" w:rsidRPr="005626D0" w:rsidRDefault="005626D0" w:rsidP="005626D0">
            <w:pPr>
              <w:pStyle w:val="Prrafodelista"/>
              <w:numPr>
                <w:ilvl w:val="0"/>
                <w:numId w:val="1"/>
              </w:numPr>
              <w:ind w:left="322" w:hanging="284"/>
              <w:rPr>
                <w:rFonts w:cs="Arial"/>
                <w:color w:val="000000"/>
                <w:sz w:val="24"/>
                <w:szCs w:val="24"/>
              </w:rPr>
            </w:pPr>
            <w:r>
              <w:rPr>
                <w:rFonts w:eastAsia="Arial" w:cs="Arial"/>
                <w:color w:val="000000"/>
                <w:sz w:val="24"/>
                <w:szCs w:val="24"/>
              </w:rPr>
              <w:t>Seguridad en los documentos: En general los documentos PDF publicados son generados desde el procesador de textos, sin embargo, se presentan casos en los cuales los documentos son escaneados y dificultan su accesibilidad.</w:t>
            </w:r>
          </w:p>
        </w:tc>
      </w:tr>
      <w:tr w:rsidR="00A81618" w14:paraId="2A7929F0" w14:textId="77777777" w:rsidTr="00232C5F">
        <w:trPr>
          <w:trHeight w:val="344"/>
        </w:trPr>
        <w:tc>
          <w:tcPr>
            <w:tcW w:w="709" w:type="dxa"/>
            <w:vAlign w:val="center"/>
          </w:tcPr>
          <w:p w14:paraId="1A9C5348" w14:textId="0E14D09B" w:rsidR="00A81618" w:rsidRPr="004F6ABD" w:rsidRDefault="00607674" w:rsidP="008178F1">
            <w:pPr>
              <w:jc w:val="center"/>
              <w:rPr>
                <w:rFonts w:ascii="Arial" w:hAnsi="Arial" w:cs="Arial"/>
                <w:color w:val="000000"/>
                <w:sz w:val="24"/>
                <w:szCs w:val="24"/>
              </w:rPr>
            </w:pPr>
            <w:r>
              <w:rPr>
                <w:rFonts w:ascii="Arial" w:hAnsi="Arial" w:cs="Arial"/>
                <w:color w:val="000000"/>
                <w:sz w:val="24"/>
                <w:szCs w:val="24"/>
              </w:rPr>
              <w:t>9</w:t>
            </w:r>
          </w:p>
        </w:tc>
        <w:tc>
          <w:tcPr>
            <w:tcW w:w="9072" w:type="dxa"/>
            <w:vAlign w:val="center"/>
          </w:tcPr>
          <w:p w14:paraId="5A7EBDCE" w14:textId="6C9F9C4F" w:rsidR="00A81618" w:rsidRDefault="005626D0" w:rsidP="008178F1">
            <w:pPr>
              <w:rPr>
                <w:rFonts w:ascii="Arial" w:eastAsia="Arial" w:hAnsi="Arial" w:cs="Arial"/>
                <w:color w:val="000000"/>
                <w:sz w:val="24"/>
                <w:szCs w:val="24"/>
              </w:rPr>
            </w:pPr>
            <w:r>
              <w:rPr>
                <w:rFonts w:ascii="Arial" w:eastAsia="Arial" w:hAnsi="Arial" w:cs="Arial"/>
                <w:color w:val="000000"/>
                <w:sz w:val="24"/>
                <w:szCs w:val="24"/>
              </w:rPr>
              <w:t>Anexo 1, Numeral 3.4 Documentos y plantillas para presentaciones</w:t>
            </w:r>
            <w:r w:rsidR="00A92BF2">
              <w:rPr>
                <w:rFonts w:ascii="Arial" w:eastAsia="Arial" w:hAnsi="Arial" w:cs="Arial"/>
                <w:color w:val="000000"/>
                <w:sz w:val="24"/>
                <w:szCs w:val="24"/>
              </w:rPr>
              <w:t>.</w:t>
            </w:r>
          </w:p>
          <w:p w14:paraId="04AD9F43" w14:textId="77777777" w:rsidR="005626D0" w:rsidRPr="005626D0" w:rsidRDefault="005626D0" w:rsidP="005626D0">
            <w:pPr>
              <w:pStyle w:val="Prrafodelista"/>
              <w:numPr>
                <w:ilvl w:val="0"/>
                <w:numId w:val="1"/>
              </w:numPr>
              <w:ind w:left="322" w:hanging="284"/>
              <w:rPr>
                <w:rFonts w:cs="Arial"/>
                <w:color w:val="000000"/>
                <w:sz w:val="24"/>
                <w:szCs w:val="24"/>
              </w:rPr>
            </w:pPr>
            <w:r>
              <w:rPr>
                <w:rFonts w:eastAsia="Arial" w:cs="Arial"/>
                <w:color w:val="000000"/>
                <w:sz w:val="24"/>
                <w:szCs w:val="24"/>
              </w:rPr>
              <w:t>Estructura del documento de presentación: Las presentaciones identificadas han sido guardadas en formato PDF, estas cuentan con aspectos que permiten entender la globalidad del contenido. Sin embargo, no se generan a partir de plantillas preestablecidas y no cuentan con tablas de índice al inicio.</w:t>
            </w:r>
          </w:p>
          <w:p w14:paraId="01E988FF" w14:textId="271C29FA" w:rsidR="005626D0" w:rsidRPr="005626D0" w:rsidRDefault="005626D0" w:rsidP="005626D0">
            <w:pPr>
              <w:pStyle w:val="Prrafodelista"/>
              <w:numPr>
                <w:ilvl w:val="0"/>
                <w:numId w:val="1"/>
              </w:numPr>
              <w:ind w:left="322" w:hanging="284"/>
              <w:rPr>
                <w:rFonts w:cs="Arial"/>
                <w:color w:val="000000"/>
                <w:sz w:val="24"/>
                <w:szCs w:val="24"/>
              </w:rPr>
            </w:pPr>
            <w:r>
              <w:rPr>
                <w:rFonts w:eastAsia="Arial" w:cs="Arial"/>
                <w:color w:val="000000"/>
                <w:sz w:val="24"/>
                <w:szCs w:val="24"/>
              </w:rPr>
              <w:t>Texto alternativo</w:t>
            </w:r>
            <w:r w:rsidR="00D04F4B">
              <w:rPr>
                <w:rFonts w:eastAsia="Arial" w:cs="Arial"/>
                <w:color w:val="000000"/>
                <w:sz w:val="24"/>
                <w:szCs w:val="24"/>
              </w:rPr>
              <w:t>: A</w:t>
            </w:r>
            <w:r>
              <w:rPr>
                <w:rFonts w:eastAsia="Arial" w:cs="Arial"/>
                <w:color w:val="000000"/>
                <w:sz w:val="24"/>
                <w:szCs w:val="24"/>
              </w:rPr>
              <w:t>unque en general las imágenes se acompañan de un nombre no son visibles sus descripciones.</w:t>
            </w:r>
          </w:p>
          <w:p w14:paraId="742A439D" w14:textId="77777777" w:rsidR="005626D0" w:rsidRPr="005626D0" w:rsidRDefault="005626D0" w:rsidP="005626D0">
            <w:pPr>
              <w:pStyle w:val="Prrafodelista"/>
              <w:numPr>
                <w:ilvl w:val="0"/>
                <w:numId w:val="1"/>
              </w:numPr>
              <w:ind w:left="322" w:hanging="284"/>
              <w:rPr>
                <w:rFonts w:cs="Arial"/>
                <w:color w:val="000000"/>
                <w:sz w:val="24"/>
                <w:szCs w:val="24"/>
              </w:rPr>
            </w:pPr>
            <w:r>
              <w:rPr>
                <w:rFonts w:eastAsia="Arial" w:cs="Arial"/>
                <w:color w:val="000000"/>
                <w:sz w:val="24"/>
                <w:szCs w:val="24"/>
              </w:rPr>
              <w:t>Orden de lectura: Se observan presentaciones estructuradas bajo un orden aparentemente definido, no obstante, en los casos en los cuales se han integrado gran cantidad elementos en cada diapositiva el orden se torna confuso.</w:t>
            </w:r>
          </w:p>
          <w:p w14:paraId="7B892EC3" w14:textId="77777777" w:rsidR="005626D0" w:rsidRPr="005626D0" w:rsidRDefault="005626D0" w:rsidP="005626D0">
            <w:pPr>
              <w:pStyle w:val="Prrafodelista"/>
              <w:numPr>
                <w:ilvl w:val="0"/>
                <w:numId w:val="1"/>
              </w:numPr>
              <w:ind w:left="322" w:hanging="284"/>
              <w:rPr>
                <w:rFonts w:cs="Arial"/>
                <w:color w:val="000000"/>
                <w:sz w:val="24"/>
                <w:szCs w:val="24"/>
              </w:rPr>
            </w:pPr>
            <w:r>
              <w:rPr>
                <w:rFonts w:eastAsia="Arial" w:cs="Arial"/>
                <w:color w:val="000000"/>
                <w:sz w:val="24"/>
                <w:szCs w:val="24"/>
              </w:rPr>
              <w:t>Visibilización: La fuente de las presentaciones es legible y el contraste es adecuado, sin embargo, se resalta que el tamaño de la fuente es muy pequeño para algunas diapositivas puntuales en las cuales se incluye gran cantidad de información.</w:t>
            </w:r>
          </w:p>
          <w:p w14:paraId="7A33A621" w14:textId="5F06CBB0" w:rsidR="005626D0" w:rsidRPr="005626D0" w:rsidRDefault="005626D0" w:rsidP="005626D0">
            <w:pPr>
              <w:pStyle w:val="Prrafodelista"/>
              <w:numPr>
                <w:ilvl w:val="0"/>
                <w:numId w:val="1"/>
              </w:numPr>
              <w:ind w:left="322" w:hanging="284"/>
              <w:rPr>
                <w:rFonts w:cs="Arial"/>
                <w:color w:val="000000"/>
                <w:sz w:val="24"/>
                <w:szCs w:val="24"/>
              </w:rPr>
            </w:pPr>
            <w:r>
              <w:rPr>
                <w:rFonts w:eastAsia="Arial" w:cs="Arial"/>
                <w:color w:val="000000"/>
                <w:sz w:val="24"/>
                <w:szCs w:val="24"/>
              </w:rPr>
              <w:t>Título a las diapositivas: En general, cada diapositiva cuenta con un título. No obstante, se presentan casos en los cuales únicamente se incluyen imágenes.</w:t>
            </w:r>
          </w:p>
        </w:tc>
      </w:tr>
      <w:tr w:rsidR="005626D0" w14:paraId="378FB0EC" w14:textId="77777777" w:rsidTr="00C54081">
        <w:trPr>
          <w:trHeight w:val="1217"/>
        </w:trPr>
        <w:tc>
          <w:tcPr>
            <w:tcW w:w="709" w:type="dxa"/>
            <w:vAlign w:val="center"/>
          </w:tcPr>
          <w:p w14:paraId="71F6292F" w14:textId="39A9D239" w:rsidR="005626D0" w:rsidRPr="00417A5B" w:rsidRDefault="00CF358C" w:rsidP="008178F1">
            <w:pPr>
              <w:jc w:val="center"/>
              <w:rPr>
                <w:rFonts w:ascii="Arial" w:hAnsi="Arial" w:cs="Arial"/>
                <w:color w:val="000000"/>
                <w:sz w:val="24"/>
                <w:szCs w:val="24"/>
              </w:rPr>
            </w:pPr>
            <w:r>
              <w:rPr>
                <w:rFonts w:ascii="Arial" w:hAnsi="Arial" w:cs="Arial"/>
                <w:color w:val="000000"/>
                <w:sz w:val="24"/>
                <w:szCs w:val="24"/>
              </w:rPr>
              <w:t>10</w:t>
            </w:r>
          </w:p>
        </w:tc>
        <w:tc>
          <w:tcPr>
            <w:tcW w:w="9072" w:type="dxa"/>
            <w:vAlign w:val="center"/>
          </w:tcPr>
          <w:p w14:paraId="0E9BE5C2" w14:textId="25FDEF19" w:rsidR="005626D0" w:rsidRPr="00417A5B" w:rsidRDefault="00831AF7" w:rsidP="008178F1">
            <w:pPr>
              <w:rPr>
                <w:rFonts w:ascii="Arial" w:eastAsia="Arial" w:hAnsi="Arial" w:cs="Arial"/>
                <w:color w:val="000000"/>
                <w:sz w:val="24"/>
                <w:szCs w:val="24"/>
              </w:rPr>
            </w:pPr>
            <w:r w:rsidRPr="00417A5B">
              <w:rPr>
                <w:rFonts w:ascii="Arial" w:eastAsia="Arial" w:hAnsi="Arial" w:cs="Arial"/>
                <w:color w:val="000000"/>
                <w:sz w:val="24"/>
                <w:szCs w:val="24"/>
              </w:rPr>
              <w:t>Anexo 2, Criterios generales de publicación de información pública</w:t>
            </w:r>
            <w:r w:rsidR="00A92BF2" w:rsidRPr="00417A5B">
              <w:rPr>
                <w:rFonts w:ascii="Arial" w:eastAsia="Arial" w:hAnsi="Arial" w:cs="Arial"/>
                <w:color w:val="000000"/>
                <w:sz w:val="24"/>
                <w:szCs w:val="24"/>
              </w:rPr>
              <w:t>.</w:t>
            </w:r>
          </w:p>
          <w:p w14:paraId="0B96E9B0" w14:textId="08973496" w:rsidR="00CF3A03" w:rsidRPr="00417A5B" w:rsidRDefault="00CF3A03" w:rsidP="009B5D74">
            <w:pPr>
              <w:pStyle w:val="Prrafodelista"/>
              <w:numPr>
                <w:ilvl w:val="0"/>
                <w:numId w:val="1"/>
              </w:numPr>
              <w:ind w:left="322" w:hanging="284"/>
              <w:rPr>
                <w:rFonts w:eastAsia="Arial" w:cs="Arial"/>
                <w:color w:val="000000"/>
                <w:sz w:val="24"/>
                <w:szCs w:val="24"/>
              </w:rPr>
            </w:pPr>
            <w:r w:rsidRPr="00417A5B">
              <w:rPr>
                <w:rFonts w:eastAsia="Arial" w:cs="Arial"/>
                <w:color w:val="000000"/>
                <w:sz w:val="24"/>
                <w:szCs w:val="24"/>
              </w:rPr>
              <w:t>La mayor parte de los contenidos cumplen en cuanto a accesibilidad, sin embargo, algunos se encuentran guardados como imagen por lo cual no es posible realizar búsquedas en su interior.</w:t>
            </w:r>
          </w:p>
        </w:tc>
      </w:tr>
      <w:tr w:rsidR="00655455" w14:paraId="361732EF" w14:textId="77777777" w:rsidTr="00FA584D">
        <w:trPr>
          <w:trHeight w:val="1547"/>
        </w:trPr>
        <w:tc>
          <w:tcPr>
            <w:tcW w:w="709" w:type="dxa"/>
            <w:vAlign w:val="center"/>
          </w:tcPr>
          <w:p w14:paraId="5A5491ED" w14:textId="6FFD069C" w:rsidR="00655455" w:rsidRPr="00417A5B" w:rsidRDefault="00CF358C" w:rsidP="008178F1">
            <w:pPr>
              <w:jc w:val="center"/>
              <w:rPr>
                <w:rFonts w:ascii="Arial" w:hAnsi="Arial" w:cs="Arial"/>
                <w:color w:val="000000"/>
                <w:sz w:val="24"/>
                <w:szCs w:val="24"/>
              </w:rPr>
            </w:pPr>
            <w:r>
              <w:rPr>
                <w:rFonts w:ascii="Arial" w:hAnsi="Arial" w:cs="Arial"/>
                <w:color w:val="000000"/>
                <w:sz w:val="24"/>
                <w:szCs w:val="24"/>
              </w:rPr>
              <w:t>11</w:t>
            </w:r>
          </w:p>
        </w:tc>
        <w:tc>
          <w:tcPr>
            <w:tcW w:w="9072" w:type="dxa"/>
            <w:vAlign w:val="center"/>
          </w:tcPr>
          <w:p w14:paraId="799A09F2" w14:textId="77777777" w:rsidR="00655455" w:rsidRPr="00417A5B" w:rsidRDefault="00655455" w:rsidP="008178F1">
            <w:pPr>
              <w:rPr>
                <w:rFonts w:ascii="Arial" w:eastAsia="Arial" w:hAnsi="Arial" w:cs="Arial"/>
                <w:color w:val="000000"/>
                <w:sz w:val="24"/>
                <w:szCs w:val="24"/>
              </w:rPr>
            </w:pPr>
            <w:r w:rsidRPr="00417A5B">
              <w:rPr>
                <w:rFonts w:ascii="Arial" w:eastAsia="Arial" w:hAnsi="Arial" w:cs="Arial"/>
                <w:color w:val="000000"/>
                <w:sz w:val="24"/>
                <w:szCs w:val="24"/>
              </w:rPr>
              <w:t>Anexo 2, Numeral 2.1.5 Normativa.</w:t>
            </w:r>
          </w:p>
          <w:p w14:paraId="796F18CC" w14:textId="5CBA30C8" w:rsidR="00655455" w:rsidRPr="00417A5B" w:rsidRDefault="00655455" w:rsidP="00655455">
            <w:pPr>
              <w:pStyle w:val="Prrafodelista"/>
              <w:numPr>
                <w:ilvl w:val="0"/>
                <w:numId w:val="1"/>
              </w:numPr>
              <w:ind w:left="319" w:hanging="284"/>
              <w:rPr>
                <w:rFonts w:eastAsia="Arial" w:cs="Arial"/>
                <w:color w:val="000000"/>
                <w:sz w:val="24"/>
                <w:szCs w:val="24"/>
              </w:rPr>
            </w:pPr>
            <w:r w:rsidRPr="00417A5B">
              <w:rPr>
                <w:rFonts w:eastAsia="Arial" w:cs="Arial"/>
                <w:color w:val="000000"/>
                <w:sz w:val="24"/>
                <w:szCs w:val="24"/>
              </w:rPr>
              <w:t>Se identifican documentos desactualizados y otros que no permiten la búsqueda de información en su interior de acuerdo con lo dispuesto en el Anexo 2 de la Resolución 1519 de 2020, numeral 2.4.1 criterios generales de población de información, en su literal g, inciso i.</w:t>
            </w:r>
          </w:p>
        </w:tc>
      </w:tr>
      <w:tr w:rsidR="005626D0" w14:paraId="42905185" w14:textId="77777777" w:rsidTr="00FA584D">
        <w:trPr>
          <w:trHeight w:val="1740"/>
        </w:trPr>
        <w:tc>
          <w:tcPr>
            <w:tcW w:w="709" w:type="dxa"/>
            <w:vAlign w:val="center"/>
          </w:tcPr>
          <w:p w14:paraId="17F3B255" w14:textId="12809BEA" w:rsidR="005626D0" w:rsidRDefault="00CF358C" w:rsidP="008178F1">
            <w:pPr>
              <w:jc w:val="center"/>
              <w:rPr>
                <w:rFonts w:ascii="Arial" w:hAnsi="Arial" w:cs="Arial"/>
                <w:color w:val="000000"/>
                <w:sz w:val="24"/>
                <w:szCs w:val="24"/>
              </w:rPr>
            </w:pPr>
            <w:r>
              <w:rPr>
                <w:rFonts w:ascii="Arial" w:hAnsi="Arial" w:cs="Arial"/>
                <w:color w:val="000000"/>
                <w:sz w:val="24"/>
                <w:szCs w:val="24"/>
              </w:rPr>
              <w:lastRenderedPageBreak/>
              <w:t>12</w:t>
            </w:r>
          </w:p>
        </w:tc>
        <w:tc>
          <w:tcPr>
            <w:tcW w:w="9072" w:type="dxa"/>
            <w:vAlign w:val="center"/>
          </w:tcPr>
          <w:p w14:paraId="6D696FB4" w14:textId="515B929B" w:rsidR="005626D0" w:rsidRDefault="00BE6EA7" w:rsidP="00734896">
            <w:pPr>
              <w:jc w:val="both"/>
              <w:rPr>
                <w:rFonts w:ascii="Arial" w:eastAsia="Arial" w:hAnsi="Arial" w:cs="Arial"/>
                <w:color w:val="000000"/>
                <w:sz w:val="24"/>
                <w:szCs w:val="24"/>
              </w:rPr>
            </w:pPr>
            <w:r>
              <w:rPr>
                <w:rFonts w:ascii="Arial" w:eastAsia="Arial" w:hAnsi="Arial" w:cs="Arial"/>
                <w:color w:val="000000"/>
                <w:sz w:val="24"/>
                <w:szCs w:val="24"/>
              </w:rPr>
              <w:t>Anexo 2, Numeral 4.1 Presupuesto general de ingresos, gastos e inversión</w:t>
            </w:r>
            <w:r w:rsidR="006F17CB">
              <w:rPr>
                <w:rFonts w:ascii="Arial" w:eastAsia="Arial" w:hAnsi="Arial" w:cs="Arial"/>
                <w:color w:val="000000"/>
                <w:sz w:val="24"/>
                <w:szCs w:val="24"/>
              </w:rPr>
              <w:t>.</w:t>
            </w:r>
          </w:p>
          <w:p w14:paraId="7B0D26A4" w14:textId="05900F63" w:rsidR="00BE6EA7" w:rsidRPr="00BE6EA7" w:rsidRDefault="00BE6EA7" w:rsidP="00734896">
            <w:pPr>
              <w:pStyle w:val="Prrafodelista"/>
              <w:numPr>
                <w:ilvl w:val="0"/>
                <w:numId w:val="1"/>
              </w:numPr>
              <w:ind w:left="322" w:hanging="284"/>
              <w:rPr>
                <w:rFonts w:eastAsia="Arial" w:cs="Arial"/>
                <w:color w:val="000000"/>
                <w:sz w:val="24"/>
                <w:szCs w:val="24"/>
              </w:rPr>
            </w:pPr>
            <w:r>
              <w:rPr>
                <w:rFonts w:eastAsia="Arial" w:cs="Arial"/>
                <w:color w:val="000000"/>
                <w:sz w:val="24"/>
                <w:szCs w:val="24"/>
              </w:rPr>
              <w:t>No se observa el anexo de las rentas o ingreso, tasas y frecuencias de cobro en formato abierto para consulta de los interesados y se resalta que documentos de vigencias anteriores no permiten la búsqueda de información en su interior de acuerdo con lo dispuesto en el Anexo 2 de la Resolución 1519 de 2020, numeral 2.4.1 criterios generales de población de información, en su literal g, inciso i.</w:t>
            </w:r>
          </w:p>
        </w:tc>
      </w:tr>
      <w:tr w:rsidR="00AD21D2" w14:paraId="03AABAF9" w14:textId="77777777" w:rsidTr="00C54081">
        <w:trPr>
          <w:trHeight w:val="1481"/>
        </w:trPr>
        <w:tc>
          <w:tcPr>
            <w:tcW w:w="709" w:type="dxa"/>
            <w:vAlign w:val="center"/>
          </w:tcPr>
          <w:p w14:paraId="3CD461D4" w14:textId="34784580" w:rsidR="00AD21D2" w:rsidRDefault="00CF358C" w:rsidP="008178F1">
            <w:pPr>
              <w:jc w:val="center"/>
              <w:rPr>
                <w:rFonts w:ascii="Arial" w:hAnsi="Arial" w:cs="Arial"/>
                <w:color w:val="000000"/>
                <w:sz w:val="24"/>
                <w:szCs w:val="24"/>
              </w:rPr>
            </w:pPr>
            <w:r>
              <w:rPr>
                <w:rFonts w:ascii="Arial" w:hAnsi="Arial" w:cs="Arial"/>
                <w:color w:val="000000"/>
                <w:sz w:val="24"/>
                <w:szCs w:val="24"/>
              </w:rPr>
              <w:t>13</w:t>
            </w:r>
          </w:p>
        </w:tc>
        <w:tc>
          <w:tcPr>
            <w:tcW w:w="9072" w:type="dxa"/>
            <w:vAlign w:val="center"/>
          </w:tcPr>
          <w:p w14:paraId="44BC9900" w14:textId="411426D7" w:rsidR="00AD21D2" w:rsidRDefault="00053126" w:rsidP="00734896">
            <w:pPr>
              <w:jc w:val="both"/>
              <w:rPr>
                <w:rFonts w:ascii="Arial" w:eastAsia="Arial" w:hAnsi="Arial" w:cs="Arial"/>
                <w:color w:val="000000"/>
                <w:sz w:val="24"/>
                <w:szCs w:val="24"/>
              </w:rPr>
            </w:pPr>
            <w:r>
              <w:rPr>
                <w:rFonts w:ascii="Arial" w:eastAsia="Arial" w:hAnsi="Arial" w:cs="Arial"/>
                <w:color w:val="000000"/>
                <w:sz w:val="24"/>
                <w:szCs w:val="24"/>
              </w:rPr>
              <w:t>Anexo 2, Numeral 4.7 Informes de gestión, evaluación y auditoría</w:t>
            </w:r>
            <w:r w:rsidR="006F17CB">
              <w:rPr>
                <w:rFonts w:ascii="Arial" w:eastAsia="Arial" w:hAnsi="Arial" w:cs="Arial"/>
                <w:color w:val="000000"/>
                <w:sz w:val="24"/>
                <w:szCs w:val="24"/>
              </w:rPr>
              <w:t>.</w:t>
            </w:r>
          </w:p>
          <w:p w14:paraId="3AB9C441" w14:textId="6381D8C3" w:rsidR="00053126" w:rsidRPr="00053126" w:rsidRDefault="00053126" w:rsidP="00734896">
            <w:pPr>
              <w:pStyle w:val="Prrafodelista"/>
              <w:numPr>
                <w:ilvl w:val="0"/>
                <w:numId w:val="1"/>
              </w:numPr>
              <w:ind w:left="322" w:hanging="284"/>
              <w:rPr>
                <w:rFonts w:eastAsia="Arial" w:cs="Arial"/>
                <w:color w:val="000000"/>
                <w:sz w:val="24"/>
                <w:szCs w:val="24"/>
              </w:rPr>
            </w:pPr>
            <w:r>
              <w:rPr>
                <w:rFonts w:eastAsia="Arial" w:cs="Arial"/>
                <w:color w:val="000000"/>
                <w:sz w:val="24"/>
                <w:szCs w:val="24"/>
              </w:rPr>
              <w:t xml:space="preserve">Los informes de rendición de cuentas ante la Contraloría Distrital se encuentran disponibles a partir de la vigencia de 2016 hasta la del 2019 y no se evidencian los informes mensuales de 2020, 2021 y 2022, así como el anual correspondiente a la vigencia 2021. </w:t>
            </w:r>
          </w:p>
        </w:tc>
      </w:tr>
      <w:tr w:rsidR="00AD21D2" w14:paraId="058F5C11" w14:textId="77777777" w:rsidTr="00FA584D">
        <w:trPr>
          <w:trHeight w:val="2194"/>
        </w:trPr>
        <w:tc>
          <w:tcPr>
            <w:tcW w:w="709" w:type="dxa"/>
            <w:vAlign w:val="center"/>
          </w:tcPr>
          <w:p w14:paraId="2F9D1CDB" w14:textId="2CE4CBF4" w:rsidR="00AD21D2" w:rsidRDefault="00CF358C" w:rsidP="008178F1">
            <w:pPr>
              <w:jc w:val="center"/>
              <w:rPr>
                <w:rFonts w:ascii="Arial" w:hAnsi="Arial" w:cs="Arial"/>
                <w:color w:val="000000"/>
                <w:sz w:val="24"/>
                <w:szCs w:val="24"/>
              </w:rPr>
            </w:pPr>
            <w:r>
              <w:rPr>
                <w:rFonts w:ascii="Arial" w:hAnsi="Arial" w:cs="Arial"/>
                <w:color w:val="000000"/>
                <w:sz w:val="24"/>
                <w:szCs w:val="24"/>
              </w:rPr>
              <w:t>14</w:t>
            </w:r>
          </w:p>
        </w:tc>
        <w:tc>
          <w:tcPr>
            <w:tcW w:w="9072" w:type="dxa"/>
            <w:vAlign w:val="center"/>
          </w:tcPr>
          <w:p w14:paraId="38AC88BD" w14:textId="7D244206" w:rsidR="00A91747" w:rsidRDefault="00A91747" w:rsidP="00734896">
            <w:pPr>
              <w:jc w:val="both"/>
              <w:rPr>
                <w:rFonts w:ascii="Arial" w:eastAsia="Arial" w:hAnsi="Arial" w:cs="Arial"/>
                <w:color w:val="000000"/>
                <w:sz w:val="24"/>
                <w:szCs w:val="24"/>
              </w:rPr>
            </w:pPr>
            <w:r>
              <w:rPr>
                <w:rFonts w:ascii="Arial" w:eastAsia="Arial" w:hAnsi="Arial" w:cs="Arial"/>
                <w:color w:val="000000"/>
                <w:sz w:val="24"/>
                <w:szCs w:val="24"/>
              </w:rPr>
              <w:t>Anexo 2, Numeral 7 Datos abiertos</w:t>
            </w:r>
            <w:r w:rsidR="006F17CB">
              <w:rPr>
                <w:rFonts w:ascii="Arial" w:eastAsia="Arial" w:hAnsi="Arial" w:cs="Arial"/>
                <w:color w:val="000000"/>
                <w:sz w:val="24"/>
                <w:szCs w:val="24"/>
              </w:rPr>
              <w:t>.</w:t>
            </w:r>
          </w:p>
          <w:p w14:paraId="3F00DA86" w14:textId="77777777" w:rsidR="00155CA3" w:rsidRDefault="00A91747" w:rsidP="00155CA3">
            <w:pPr>
              <w:pStyle w:val="Prrafodelista"/>
              <w:numPr>
                <w:ilvl w:val="0"/>
                <w:numId w:val="1"/>
              </w:numPr>
              <w:ind w:left="322" w:hanging="284"/>
              <w:rPr>
                <w:rFonts w:eastAsia="Arial" w:cs="Arial"/>
                <w:color w:val="000000"/>
                <w:sz w:val="24"/>
                <w:szCs w:val="24"/>
              </w:rPr>
            </w:pPr>
            <w:r w:rsidRPr="00A91747">
              <w:rPr>
                <w:rFonts w:eastAsia="Arial" w:cs="Arial"/>
                <w:color w:val="000000"/>
                <w:sz w:val="24"/>
                <w:szCs w:val="24"/>
              </w:rPr>
              <w:t>Los enlaces del normograma gestión documental, diagnóstico de gestión documental y plan de acción del SIGA 2018 generan un error.</w:t>
            </w:r>
          </w:p>
          <w:p w14:paraId="3968D3BA" w14:textId="188AE2A1" w:rsidR="00155CA3" w:rsidRPr="00155CA3" w:rsidRDefault="00155CA3" w:rsidP="00155CA3">
            <w:pPr>
              <w:pStyle w:val="Prrafodelista"/>
              <w:numPr>
                <w:ilvl w:val="0"/>
                <w:numId w:val="1"/>
              </w:numPr>
              <w:ind w:left="322" w:hanging="284"/>
              <w:rPr>
                <w:rFonts w:eastAsia="Arial" w:cs="Arial"/>
                <w:color w:val="000000"/>
                <w:sz w:val="24"/>
                <w:szCs w:val="24"/>
              </w:rPr>
            </w:pPr>
            <w:r w:rsidRPr="00155CA3">
              <w:rPr>
                <w:rFonts w:eastAsia="Arial" w:cs="Arial"/>
                <w:color w:val="000000"/>
                <w:sz w:val="24"/>
                <w:szCs w:val="24"/>
              </w:rPr>
              <w:t>En el módulo de datos abiertos, se encuentran publicados los enlaces de las páginas web de datos abiertos Bogotá y de datos abiertos a nivel nacional en los cuales se relaciona información publicada por la entidad.</w:t>
            </w:r>
            <w:r>
              <w:rPr>
                <w:rFonts w:eastAsia="Arial" w:cs="Arial"/>
                <w:color w:val="000000"/>
                <w:sz w:val="24"/>
                <w:szCs w:val="24"/>
              </w:rPr>
              <w:t xml:space="preserve"> </w:t>
            </w:r>
            <w:r w:rsidRPr="00155CA3">
              <w:rPr>
                <w:rFonts w:eastAsia="Arial" w:cs="Arial"/>
                <w:color w:val="000000"/>
                <w:sz w:val="24"/>
                <w:szCs w:val="24"/>
              </w:rPr>
              <w:t>Sin embargo, se resalta que los enlaces de datos abiertos a nivel nacional generan un error.</w:t>
            </w:r>
          </w:p>
        </w:tc>
      </w:tr>
      <w:tr w:rsidR="00AD21D2" w14:paraId="7DFBED15" w14:textId="77777777" w:rsidTr="00FA584D">
        <w:trPr>
          <w:trHeight w:val="2307"/>
        </w:trPr>
        <w:tc>
          <w:tcPr>
            <w:tcW w:w="709" w:type="dxa"/>
            <w:vAlign w:val="center"/>
          </w:tcPr>
          <w:p w14:paraId="4ABBB2B6" w14:textId="702EA6E8" w:rsidR="00AD21D2" w:rsidRDefault="00CF358C" w:rsidP="008178F1">
            <w:pPr>
              <w:jc w:val="center"/>
              <w:rPr>
                <w:rFonts w:ascii="Arial" w:hAnsi="Arial" w:cs="Arial"/>
                <w:color w:val="000000"/>
                <w:sz w:val="24"/>
                <w:szCs w:val="24"/>
              </w:rPr>
            </w:pPr>
            <w:r>
              <w:rPr>
                <w:rFonts w:ascii="Arial" w:hAnsi="Arial" w:cs="Arial"/>
                <w:color w:val="000000"/>
                <w:sz w:val="24"/>
                <w:szCs w:val="24"/>
              </w:rPr>
              <w:t>15</w:t>
            </w:r>
          </w:p>
        </w:tc>
        <w:tc>
          <w:tcPr>
            <w:tcW w:w="9072" w:type="dxa"/>
            <w:vAlign w:val="center"/>
          </w:tcPr>
          <w:p w14:paraId="176A7528" w14:textId="77777777" w:rsidR="009C5895" w:rsidRDefault="009C5895" w:rsidP="00734896">
            <w:pPr>
              <w:jc w:val="both"/>
              <w:rPr>
                <w:rFonts w:ascii="Arial" w:eastAsia="Arial" w:hAnsi="Arial" w:cs="Arial"/>
                <w:color w:val="000000"/>
                <w:sz w:val="24"/>
                <w:szCs w:val="24"/>
              </w:rPr>
            </w:pPr>
            <w:r>
              <w:rPr>
                <w:rFonts w:ascii="Arial" w:eastAsia="Arial" w:hAnsi="Arial" w:cs="Arial"/>
                <w:color w:val="000000"/>
                <w:sz w:val="24"/>
                <w:szCs w:val="24"/>
              </w:rPr>
              <w:t>Anexo 3, Numeral 3.2.2.7 Exigir mecanismos de autenticación dentro de los sitios web a través de la creación de contraseñas fuertes y solicitar renovaciones periódicas de las mismas garantizando la accesibilidad de persona con discapacidad.</w:t>
            </w:r>
          </w:p>
          <w:p w14:paraId="1DC3DCD7" w14:textId="728D791E" w:rsidR="00AD21D2" w:rsidRPr="009C5895" w:rsidRDefault="00E63FA4" w:rsidP="00734896">
            <w:pPr>
              <w:pStyle w:val="Prrafodelista"/>
              <w:numPr>
                <w:ilvl w:val="0"/>
                <w:numId w:val="1"/>
              </w:numPr>
              <w:ind w:left="322" w:hanging="284"/>
              <w:rPr>
                <w:rFonts w:eastAsia="Arial" w:cs="Arial"/>
                <w:color w:val="000000"/>
                <w:sz w:val="24"/>
                <w:szCs w:val="24"/>
              </w:rPr>
            </w:pPr>
            <w:r>
              <w:rPr>
                <w:rFonts w:eastAsia="Arial" w:cs="Arial"/>
                <w:color w:val="000000"/>
                <w:sz w:val="24"/>
                <w:szCs w:val="24"/>
              </w:rPr>
              <w:t>Para el aplicativo SISBIC s</w:t>
            </w:r>
            <w:r w:rsidR="009C5895" w:rsidRPr="009C5895">
              <w:rPr>
                <w:rFonts w:eastAsia="Arial" w:cs="Arial"/>
                <w:color w:val="000000"/>
                <w:sz w:val="24"/>
                <w:szCs w:val="24"/>
              </w:rPr>
              <w:t>e encuentra en desarrollo un módulo de seguridad mediante roles, con autenticación token y definición de privilegios para cada usuario del sistema y no se evidencia que el proceso garantice la accesibilidad de personas con discapacidad.</w:t>
            </w:r>
          </w:p>
        </w:tc>
      </w:tr>
      <w:tr w:rsidR="00A91747" w14:paraId="39AACB28" w14:textId="77777777" w:rsidTr="00FA584D">
        <w:trPr>
          <w:trHeight w:val="1890"/>
        </w:trPr>
        <w:tc>
          <w:tcPr>
            <w:tcW w:w="709" w:type="dxa"/>
            <w:vAlign w:val="center"/>
          </w:tcPr>
          <w:p w14:paraId="290B83DC" w14:textId="09C07090" w:rsidR="00A91747" w:rsidRDefault="00CF358C" w:rsidP="008178F1">
            <w:pPr>
              <w:jc w:val="center"/>
              <w:rPr>
                <w:rFonts w:ascii="Arial" w:hAnsi="Arial" w:cs="Arial"/>
                <w:color w:val="000000"/>
                <w:sz w:val="24"/>
                <w:szCs w:val="24"/>
              </w:rPr>
            </w:pPr>
            <w:r>
              <w:rPr>
                <w:rFonts w:ascii="Arial" w:hAnsi="Arial" w:cs="Arial"/>
                <w:color w:val="000000"/>
                <w:sz w:val="24"/>
                <w:szCs w:val="24"/>
              </w:rPr>
              <w:t>16</w:t>
            </w:r>
          </w:p>
        </w:tc>
        <w:tc>
          <w:tcPr>
            <w:tcW w:w="9072" w:type="dxa"/>
            <w:vAlign w:val="center"/>
          </w:tcPr>
          <w:p w14:paraId="0755C5E7" w14:textId="77777777" w:rsidR="009C5895" w:rsidRDefault="009C5895" w:rsidP="00734896">
            <w:pPr>
              <w:jc w:val="both"/>
              <w:rPr>
                <w:rFonts w:ascii="Arial" w:eastAsia="Arial" w:hAnsi="Arial" w:cs="Arial"/>
                <w:color w:val="000000"/>
                <w:sz w:val="24"/>
                <w:szCs w:val="24"/>
              </w:rPr>
            </w:pPr>
            <w:r>
              <w:rPr>
                <w:rFonts w:ascii="Arial" w:eastAsia="Arial" w:hAnsi="Arial" w:cs="Arial"/>
                <w:color w:val="000000"/>
                <w:sz w:val="24"/>
                <w:szCs w:val="24"/>
              </w:rPr>
              <w:t>Anexo 3, Numeral 3.2.2.15 Implementar mensajes genéricos de error, que no revelen información acerca de la tecnología usada, excepciones o parámetros que dispararon el error específico, los cuales deberán ser comprensibles por parte de las personas, incluyendo la accesibilidad para las personas con discapacidad.</w:t>
            </w:r>
          </w:p>
          <w:p w14:paraId="39CE47F1" w14:textId="7DC047F2" w:rsidR="00A91747" w:rsidRPr="009C5895" w:rsidRDefault="009C5895" w:rsidP="00734896">
            <w:pPr>
              <w:pStyle w:val="Prrafodelista"/>
              <w:numPr>
                <w:ilvl w:val="0"/>
                <w:numId w:val="1"/>
              </w:numPr>
              <w:ind w:left="322" w:hanging="284"/>
              <w:rPr>
                <w:rFonts w:eastAsia="Arial" w:cs="Arial"/>
                <w:color w:val="000000"/>
                <w:sz w:val="24"/>
                <w:szCs w:val="24"/>
              </w:rPr>
            </w:pPr>
            <w:r w:rsidRPr="009C5895">
              <w:rPr>
                <w:rFonts w:eastAsia="Arial" w:cs="Arial"/>
                <w:color w:val="000000"/>
                <w:sz w:val="24"/>
                <w:szCs w:val="24"/>
              </w:rPr>
              <w:t>Se remite el plan de trabajo establecido para la completa y adecuada implementación del Anexo 1 y 2 de la resolución 1519 de 2020.</w:t>
            </w:r>
          </w:p>
        </w:tc>
      </w:tr>
      <w:tr w:rsidR="00A91747" w14:paraId="41E7EFA3" w14:textId="77777777" w:rsidTr="00FA584D">
        <w:trPr>
          <w:trHeight w:val="1827"/>
        </w:trPr>
        <w:tc>
          <w:tcPr>
            <w:tcW w:w="709" w:type="dxa"/>
            <w:vAlign w:val="center"/>
          </w:tcPr>
          <w:p w14:paraId="48ADCF47" w14:textId="216A45CA" w:rsidR="00A91747" w:rsidRDefault="00CF358C" w:rsidP="008178F1">
            <w:pPr>
              <w:jc w:val="center"/>
              <w:rPr>
                <w:rFonts w:ascii="Arial" w:hAnsi="Arial" w:cs="Arial"/>
                <w:color w:val="000000"/>
                <w:sz w:val="24"/>
                <w:szCs w:val="24"/>
              </w:rPr>
            </w:pPr>
            <w:r>
              <w:rPr>
                <w:rFonts w:ascii="Arial" w:hAnsi="Arial" w:cs="Arial"/>
                <w:color w:val="000000"/>
                <w:sz w:val="24"/>
                <w:szCs w:val="24"/>
              </w:rPr>
              <w:t>17</w:t>
            </w:r>
          </w:p>
        </w:tc>
        <w:tc>
          <w:tcPr>
            <w:tcW w:w="9072" w:type="dxa"/>
            <w:vAlign w:val="center"/>
          </w:tcPr>
          <w:p w14:paraId="2534BBF8" w14:textId="77777777" w:rsidR="00065E40" w:rsidRDefault="00065E40" w:rsidP="00734896">
            <w:pPr>
              <w:jc w:val="both"/>
              <w:rPr>
                <w:rFonts w:ascii="Arial" w:eastAsia="Arial" w:hAnsi="Arial" w:cs="Arial"/>
                <w:color w:val="000000"/>
                <w:sz w:val="24"/>
                <w:szCs w:val="24"/>
              </w:rPr>
            </w:pPr>
            <w:r>
              <w:rPr>
                <w:rFonts w:ascii="Arial" w:eastAsia="Arial" w:hAnsi="Arial" w:cs="Arial"/>
                <w:color w:val="000000"/>
                <w:sz w:val="24"/>
                <w:szCs w:val="24"/>
              </w:rPr>
              <w:t>Anexo 3, Numeral 3.2.3.2 Cumplir con la estandarización de código fuente para portales web, siguiendo las buenas prácticas del W3C (World Web Wide Consortium), de forma que permita la correcta visualización de la información a los usuarios.</w:t>
            </w:r>
          </w:p>
          <w:p w14:paraId="4EF5AC83" w14:textId="1F507DBE" w:rsidR="00A91747" w:rsidRPr="00065E40" w:rsidRDefault="00E63FA4" w:rsidP="00734896">
            <w:pPr>
              <w:pStyle w:val="Prrafodelista"/>
              <w:numPr>
                <w:ilvl w:val="0"/>
                <w:numId w:val="1"/>
              </w:numPr>
              <w:ind w:left="322" w:hanging="284"/>
              <w:rPr>
                <w:rFonts w:eastAsia="Arial" w:cs="Arial"/>
                <w:color w:val="000000"/>
                <w:sz w:val="24"/>
                <w:szCs w:val="24"/>
              </w:rPr>
            </w:pPr>
            <w:r w:rsidRPr="00E63FA4">
              <w:rPr>
                <w:rFonts w:eastAsia="Arial" w:cs="Arial"/>
                <w:color w:val="000000"/>
                <w:sz w:val="24"/>
                <w:szCs w:val="24"/>
              </w:rPr>
              <w:t>Se continua el proceso de implementación. Se señalan mejoras en cuanto a vínculos rotos y la publicación de documentos más accesibles.</w:t>
            </w:r>
          </w:p>
        </w:tc>
      </w:tr>
      <w:tr w:rsidR="00A91747" w14:paraId="5A500976" w14:textId="77777777" w:rsidTr="00FA584D">
        <w:trPr>
          <w:trHeight w:val="1555"/>
        </w:trPr>
        <w:tc>
          <w:tcPr>
            <w:tcW w:w="709" w:type="dxa"/>
            <w:vAlign w:val="center"/>
          </w:tcPr>
          <w:p w14:paraId="19AC6BBD" w14:textId="581C9022" w:rsidR="00A91747" w:rsidRDefault="00CF358C" w:rsidP="008178F1">
            <w:pPr>
              <w:jc w:val="center"/>
              <w:rPr>
                <w:rFonts w:ascii="Arial" w:hAnsi="Arial" w:cs="Arial"/>
                <w:color w:val="000000"/>
                <w:sz w:val="24"/>
                <w:szCs w:val="24"/>
              </w:rPr>
            </w:pPr>
            <w:r>
              <w:rPr>
                <w:rFonts w:ascii="Arial" w:hAnsi="Arial" w:cs="Arial"/>
                <w:color w:val="000000"/>
                <w:sz w:val="24"/>
                <w:szCs w:val="24"/>
              </w:rPr>
              <w:lastRenderedPageBreak/>
              <w:t>18</w:t>
            </w:r>
          </w:p>
        </w:tc>
        <w:tc>
          <w:tcPr>
            <w:tcW w:w="9072" w:type="dxa"/>
            <w:vAlign w:val="center"/>
          </w:tcPr>
          <w:p w14:paraId="167A9542" w14:textId="77777777" w:rsidR="00E04CAC" w:rsidRDefault="00E04CAC" w:rsidP="00734896">
            <w:pPr>
              <w:jc w:val="both"/>
              <w:rPr>
                <w:rFonts w:ascii="Arial" w:eastAsia="Arial" w:hAnsi="Arial" w:cs="Arial"/>
                <w:color w:val="000000"/>
                <w:sz w:val="24"/>
                <w:szCs w:val="24"/>
              </w:rPr>
            </w:pPr>
            <w:r>
              <w:rPr>
                <w:rFonts w:ascii="Arial" w:eastAsia="Arial" w:hAnsi="Arial" w:cs="Arial"/>
                <w:color w:val="000000"/>
                <w:sz w:val="24"/>
                <w:szCs w:val="24"/>
              </w:rPr>
              <w:t>Anexo 3, Numeral 3.2.3.3 Adoptar validadores HTML y CCS para la continua revisión del sitio web y su mejora continua, a través de las buenas prácticas del W3C (World Web Wide Consortium).</w:t>
            </w:r>
          </w:p>
          <w:p w14:paraId="06ADF300" w14:textId="3E97888E" w:rsidR="00A91747" w:rsidRPr="00E04CAC" w:rsidRDefault="00E04CAC" w:rsidP="00734896">
            <w:pPr>
              <w:pStyle w:val="Prrafodelista"/>
              <w:numPr>
                <w:ilvl w:val="0"/>
                <w:numId w:val="1"/>
              </w:numPr>
              <w:ind w:left="322" w:hanging="284"/>
              <w:rPr>
                <w:rFonts w:eastAsia="Arial" w:cs="Arial"/>
                <w:color w:val="000000"/>
                <w:sz w:val="24"/>
                <w:szCs w:val="24"/>
              </w:rPr>
            </w:pPr>
            <w:r w:rsidRPr="00E04CAC">
              <w:rPr>
                <w:rFonts w:eastAsia="Arial" w:cs="Arial"/>
                <w:color w:val="000000"/>
                <w:sz w:val="24"/>
                <w:szCs w:val="24"/>
              </w:rPr>
              <w:t>Se remite el plan de trabajo establecido para la completa y adecuada implementación del Anexo 1 y 2 de la resolución 1519 de 2020.</w:t>
            </w:r>
          </w:p>
        </w:tc>
      </w:tr>
      <w:tr w:rsidR="00A91747" w14:paraId="7E28B53C" w14:textId="77777777" w:rsidTr="00FA584D">
        <w:trPr>
          <w:trHeight w:val="1547"/>
        </w:trPr>
        <w:tc>
          <w:tcPr>
            <w:tcW w:w="709" w:type="dxa"/>
            <w:vAlign w:val="center"/>
          </w:tcPr>
          <w:p w14:paraId="53991889" w14:textId="078244E5" w:rsidR="00A91747" w:rsidRDefault="00CF358C" w:rsidP="008178F1">
            <w:pPr>
              <w:jc w:val="center"/>
              <w:rPr>
                <w:rFonts w:ascii="Arial" w:hAnsi="Arial" w:cs="Arial"/>
                <w:color w:val="000000"/>
                <w:sz w:val="24"/>
                <w:szCs w:val="24"/>
              </w:rPr>
            </w:pPr>
            <w:r>
              <w:rPr>
                <w:rFonts w:ascii="Arial" w:hAnsi="Arial" w:cs="Arial"/>
                <w:color w:val="000000"/>
                <w:sz w:val="24"/>
                <w:szCs w:val="24"/>
              </w:rPr>
              <w:t>19</w:t>
            </w:r>
          </w:p>
        </w:tc>
        <w:tc>
          <w:tcPr>
            <w:tcW w:w="9072" w:type="dxa"/>
            <w:vAlign w:val="center"/>
          </w:tcPr>
          <w:p w14:paraId="0A452C75" w14:textId="77777777" w:rsidR="00E04CAC" w:rsidRDefault="00E04CAC" w:rsidP="00734896">
            <w:pPr>
              <w:jc w:val="both"/>
              <w:rPr>
                <w:rFonts w:ascii="Arial" w:eastAsia="Arial" w:hAnsi="Arial" w:cs="Arial"/>
                <w:color w:val="000000"/>
                <w:sz w:val="24"/>
                <w:szCs w:val="24"/>
              </w:rPr>
            </w:pPr>
            <w:r>
              <w:rPr>
                <w:rFonts w:ascii="Arial" w:eastAsia="Arial" w:hAnsi="Arial" w:cs="Arial"/>
                <w:color w:val="000000"/>
                <w:sz w:val="24"/>
                <w:szCs w:val="24"/>
              </w:rPr>
              <w:t xml:space="preserve">Anexo 4, Numeral 4.2.1 Los sujetos obligados que cuenten con portales propios de datos abiertos, deberán federarlos al Portal de Datos Abiertos www.datos.gov.co o el que haga sus veces, de forma que éste último sea punto de acceso a los datos abiertos. </w:t>
            </w:r>
          </w:p>
          <w:p w14:paraId="334F241A" w14:textId="0C44581F" w:rsidR="00A91747" w:rsidRPr="00E04CAC" w:rsidRDefault="00E04CAC" w:rsidP="00734896">
            <w:pPr>
              <w:pStyle w:val="Prrafodelista"/>
              <w:numPr>
                <w:ilvl w:val="0"/>
                <w:numId w:val="1"/>
              </w:numPr>
              <w:ind w:left="322" w:hanging="284"/>
              <w:rPr>
                <w:rFonts w:eastAsia="Arial" w:cs="Arial"/>
                <w:color w:val="000000"/>
                <w:sz w:val="24"/>
                <w:szCs w:val="24"/>
              </w:rPr>
            </w:pPr>
            <w:r w:rsidRPr="00E04CAC">
              <w:rPr>
                <w:rFonts w:eastAsia="Arial" w:cs="Arial"/>
                <w:color w:val="000000"/>
                <w:sz w:val="24"/>
                <w:szCs w:val="24"/>
              </w:rPr>
              <w:t>Los enlaces asociados no redireccionan adecuadamente.</w:t>
            </w:r>
          </w:p>
        </w:tc>
      </w:tr>
    </w:tbl>
    <w:p w14:paraId="2B99AC9B" w14:textId="77777777" w:rsidR="00CF358C" w:rsidRDefault="00CF358C" w:rsidP="00CF358C">
      <w:pPr>
        <w:pStyle w:val="Subttulo"/>
        <w:tabs>
          <w:tab w:val="left" w:pos="284"/>
        </w:tabs>
        <w:spacing w:before="120" w:after="120"/>
        <w:ind w:left="-142" w:right="-234"/>
        <w:jc w:val="left"/>
        <w:rPr>
          <w:rFonts w:ascii="Arial" w:eastAsia="Arial" w:hAnsi="Arial" w:cs="Arial"/>
          <w:b/>
        </w:rPr>
      </w:pPr>
    </w:p>
    <w:p w14:paraId="40EE9B33" w14:textId="21921EAD" w:rsidR="009823FE" w:rsidRDefault="00743167" w:rsidP="00634C71">
      <w:pPr>
        <w:pStyle w:val="Subttulo"/>
        <w:numPr>
          <w:ilvl w:val="0"/>
          <w:numId w:val="1"/>
        </w:numPr>
        <w:tabs>
          <w:tab w:val="left" w:pos="284"/>
        </w:tabs>
        <w:spacing w:before="120" w:after="120"/>
        <w:ind w:left="-142" w:right="-234" w:firstLine="0"/>
        <w:jc w:val="left"/>
        <w:rPr>
          <w:rFonts w:ascii="Arial" w:eastAsia="Arial" w:hAnsi="Arial" w:cs="Arial"/>
          <w:b/>
        </w:rPr>
      </w:pPr>
      <w:r w:rsidRPr="002D0BC6">
        <w:rPr>
          <w:rFonts w:ascii="Arial" w:eastAsia="Arial" w:hAnsi="Arial" w:cs="Arial"/>
          <w:b/>
        </w:rPr>
        <w:t>No conformidades detectadas</w:t>
      </w:r>
      <w:r w:rsidR="002D0BC6" w:rsidRPr="002D0BC6">
        <w:rPr>
          <w:rFonts w:ascii="Arial" w:eastAsia="Arial" w:hAnsi="Arial" w:cs="Arial"/>
          <w:b/>
        </w:rPr>
        <w:t>:</w:t>
      </w:r>
    </w:p>
    <w:tbl>
      <w:tblPr>
        <w:tblStyle w:val="Tablaconcuadrcula1"/>
        <w:tblW w:w="9781"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20" w:firstRow="1" w:lastRow="0" w:firstColumn="0" w:lastColumn="0" w:noHBand="0" w:noVBand="1"/>
      </w:tblPr>
      <w:tblGrid>
        <w:gridCol w:w="709"/>
        <w:gridCol w:w="9072"/>
      </w:tblGrid>
      <w:tr w:rsidR="000E24A7" w14:paraId="2996AD18" w14:textId="77777777" w:rsidTr="00FA584D">
        <w:trPr>
          <w:trHeight w:val="404"/>
          <w:tblHeader/>
        </w:trPr>
        <w:tc>
          <w:tcPr>
            <w:tcW w:w="709" w:type="dxa"/>
            <w:shd w:val="clear" w:color="auto" w:fill="F2F2F2" w:themeFill="background1" w:themeFillShade="F2"/>
            <w:vAlign w:val="center"/>
          </w:tcPr>
          <w:p w14:paraId="7FA5C1D2" w14:textId="77777777" w:rsidR="000E24A7" w:rsidRPr="004F6ABD" w:rsidRDefault="000E24A7" w:rsidP="008178F1">
            <w:pPr>
              <w:spacing w:before="120" w:after="120"/>
              <w:jc w:val="center"/>
              <w:rPr>
                <w:rFonts w:ascii="Arial" w:hAnsi="Arial" w:cs="Arial"/>
                <w:b/>
                <w:color w:val="000000"/>
                <w:sz w:val="24"/>
                <w:szCs w:val="24"/>
              </w:rPr>
            </w:pPr>
            <w:r w:rsidRPr="004F6ABD">
              <w:rPr>
                <w:rFonts w:ascii="Arial" w:hAnsi="Arial" w:cs="Arial"/>
                <w:b/>
                <w:color w:val="000000"/>
                <w:sz w:val="24"/>
                <w:szCs w:val="24"/>
              </w:rPr>
              <w:t>No.</w:t>
            </w:r>
          </w:p>
        </w:tc>
        <w:tc>
          <w:tcPr>
            <w:tcW w:w="9072" w:type="dxa"/>
            <w:shd w:val="clear" w:color="auto" w:fill="F2F2F2" w:themeFill="background1" w:themeFillShade="F2"/>
            <w:vAlign w:val="center"/>
          </w:tcPr>
          <w:p w14:paraId="15098742" w14:textId="6298ED11" w:rsidR="000E24A7" w:rsidRPr="004F6ABD" w:rsidRDefault="000E24A7" w:rsidP="008178F1">
            <w:pPr>
              <w:spacing w:before="120" w:after="120"/>
              <w:jc w:val="center"/>
              <w:rPr>
                <w:rFonts w:ascii="Arial" w:hAnsi="Arial" w:cs="Arial"/>
                <w:b/>
                <w:color w:val="000000"/>
                <w:sz w:val="24"/>
                <w:szCs w:val="24"/>
              </w:rPr>
            </w:pPr>
            <w:r w:rsidRPr="004F6ABD">
              <w:rPr>
                <w:rFonts w:ascii="Arial" w:hAnsi="Arial" w:cs="Arial"/>
                <w:b/>
                <w:color w:val="000000"/>
                <w:sz w:val="24"/>
                <w:szCs w:val="24"/>
              </w:rPr>
              <w:t xml:space="preserve">Descripción </w:t>
            </w:r>
            <w:r>
              <w:rPr>
                <w:rFonts w:ascii="Arial" w:hAnsi="Arial" w:cs="Arial"/>
                <w:b/>
                <w:color w:val="000000"/>
                <w:sz w:val="24"/>
                <w:szCs w:val="24"/>
              </w:rPr>
              <w:t>No conformidad</w:t>
            </w:r>
          </w:p>
        </w:tc>
      </w:tr>
      <w:tr w:rsidR="000E24A7" w14:paraId="7EF984A8" w14:textId="77777777" w:rsidTr="00FA584D">
        <w:trPr>
          <w:trHeight w:val="1371"/>
        </w:trPr>
        <w:tc>
          <w:tcPr>
            <w:tcW w:w="709" w:type="dxa"/>
            <w:vAlign w:val="center"/>
          </w:tcPr>
          <w:p w14:paraId="147B3B74" w14:textId="45E7BC97" w:rsidR="000E24A7" w:rsidRPr="004F6ABD" w:rsidRDefault="00BC4479" w:rsidP="008178F1">
            <w:pPr>
              <w:jc w:val="center"/>
              <w:rPr>
                <w:rFonts w:ascii="Arial" w:hAnsi="Arial" w:cs="Arial"/>
                <w:color w:val="000000"/>
                <w:sz w:val="24"/>
                <w:szCs w:val="24"/>
              </w:rPr>
            </w:pPr>
            <w:r>
              <w:rPr>
                <w:rFonts w:ascii="Arial" w:hAnsi="Arial" w:cs="Arial"/>
                <w:color w:val="000000"/>
                <w:sz w:val="24"/>
                <w:szCs w:val="24"/>
              </w:rPr>
              <w:t>1</w:t>
            </w:r>
          </w:p>
        </w:tc>
        <w:tc>
          <w:tcPr>
            <w:tcW w:w="9072" w:type="dxa"/>
            <w:vAlign w:val="center"/>
          </w:tcPr>
          <w:p w14:paraId="2C0AE322" w14:textId="77777777" w:rsidR="000120AF" w:rsidRDefault="000120AF" w:rsidP="008178F1">
            <w:pPr>
              <w:rPr>
                <w:rFonts w:ascii="Arial" w:eastAsia="Arial" w:hAnsi="Arial" w:cs="Arial"/>
                <w:color w:val="000000"/>
                <w:sz w:val="24"/>
                <w:szCs w:val="24"/>
              </w:rPr>
            </w:pPr>
            <w:r>
              <w:rPr>
                <w:rFonts w:ascii="Arial" w:eastAsia="Arial" w:hAnsi="Arial" w:cs="Arial"/>
                <w:color w:val="000000"/>
                <w:sz w:val="24"/>
                <w:szCs w:val="24"/>
              </w:rPr>
              <w:t>Anexo 1, Numeral 2.2.3.1 Alternativas a lo sensorial.</w:t>
            </w:r>
          </w:p>
          <w:p w14:paraId="56A47A6D" w14:textId="25A0FEE3" w:rsidR="000E24A7" w:rsidRPr="000120AF" w:rsidRDefault="00417A5B" w:rsidP="000120AF">
            <w:pPr>
              <w:pStyle w:val="Prrafodelista"/>
              <w:numPr>
                <w:ilvl w:val="0"/>
                <w:numId w:val="1"/>
              </w:numPr>
              <w:ind w:left="322" w:hanging="284"/>
              <w:rPr>
                <w:rFonts w:cs="Arial"/>
                <w:color w:val="000000"/>
                <w:sz w:val="24"/>
                <w:szCs w:val="24"/>
              </w:rPr>
            </w:pPr>
            <w:r w:rsidRPr="000120AF">
              <w:rPr>
                <w:rFonts w:eastAsia="Arial" w:cs="Arial"/>
                <w:sz w:val="24"/>
                <w:szCs w:val="24"/>
              </w:rPr>
              <w:t>Guion</w:t>
            </w:r>
            <w:r w:rsidR="000120AF" w:rsidRPr="000120AF">
              <w:rPr>
                <w:rFonts w:eastAsia="Arial" w:cs="Arial"/>
                <w:color w:val="000000"/>
                <w:sz w:val="24"/>
                <w:szCs w:val="24"/>
              </w:rPr>
              <w:t xml:space="preserve"> para solo video y solo audio</w:t>
            </w:r>
            <w:r w:rsidR="00CF2E3F">
              <w:rPr>
                <w:rFonts w:eastAsia="Arial" w:cs="Arial"/>
                <w:color w:val="000000"/>
                <w:sz w:val="24"/>
                <w:szCs w:val="24"/>
              </w:rPr>
              <w:t>: E</w:t>
            </w:r>
            <w:r w:rsidR="000120AF" w:rsidRPr="000120AF">
              <w:rPr>
                <w:rFonts w:eastAsia="Arial" w:cs="Arial"/>
                <w:color w:val="000000"/>
                <w:sz w:val="24"/>
                <w:szCs w:val="24"/>
              </w:rPr>
              <w:t xml:space="preserve">n la página web de la entidad se encuentran publicados diferentes videos y podcast para los cuales se identifica una descripción, pero no el texto del </w:t>
            </w:r>
            <w:r w:rsidRPr="000120AF">
              <w:rPr>
                <w:rFonts w:eastAsia="Arial" w:cs="Arial"/>
                <w:sz w:val="24"/>
                <w:szCs w:val="24"/>
              </w:rPr>
              <w:t>guion</w:t>
            </w:r>
            <w:r w:rsidR="000120AF" w:rsidRPr="000120AF">
              <w:rPr>
                <w:rFonts w:eastAsia="Arial" w:cs="Arial"/>
                <w:color w:val="000000"/>
                <w:sz w:val="24"/>
                <w:szCs w:val="24"/>
              </w:rPr>
              <w:t xml:space="preserve"> que los originó.</w:t>
            </w:r>
          </w:p>
        </w:tc>
      </w:tr>
      <w:tr w:rsidR="000E24A7" w14:paraId="3B509B61" w14:textId="77777777" w:rsidTr="00FA584D">
        <w:trPr>
          <w:trHeight w:val="2201"/>
        </w:trPr>
        <w:tc>
          <w:tcPr>
            <w:tcW w:w="709" w:type="dxa"/>
            <w:vAlign w:val="center"/>
          </w:tcPr>
          <w:p w14:paraId="456311CC" w14:textId="10252B7B" w:rsidR="000E24A7" w:rsidRPr="004F6ABD" w:rsidRDefault="000120AF" w:rsidP="008178F1">
            <w:pPr>
              <w:jc w:val="center"/>
              <w:rPr>
                <w:rFonts w:ascii="Arial" w:hAnsi="Arial" w:cs="Arial"/>
                <w:color w:val="000000"/>
                <w:sz w:val="24"/>
                <w:szCs w:val="24"/>
              </w:rPr>
            </w:pPr>
            <w:r>
              <w:rPr>
                <w:rFonts w:ascii="Arial" w:hAnsi="Arial" w:cs="Arial"/>
                <w:color w:val="000000"/>
                <w:sz w:val="24"/>
                <w:szCs w:val="24"/>
              </w:rPr>
              <w:t>2</w:t>
            </w:r>
          </w:p>
        </w:tc>
        <w:tc>
          <w:tcPr>
            <w:tcW w:w="9072" w:type="dxa"/>
            <w:vAlign w:val="center"/>
          </w:tcPr>
          <w:p w14:paraId="0451F50F" w14:textId="77777777" w:rsidR="000120AF" w:rsidRDefault="000120AF" w:rsidP="008178F1">
            <w:pPr>
              <w:rPr>
                <w:rFonts w:ascii="Arial" w:eastAsia="Arial" w:hAnsi="Arial" w:cs="Arial"/>
                <w:color w:val="000000"/>
                <w:sz w:val="24"/>
                <w:szCs w:val="24"/>
              </w:rPr>
            </w:pPr>
            <w:r>
              <w:rPr>
                <w:rFonts w:ascii="Arial" w:eastAsia="Arial" w:hAnsi="Arial" w:cs="Arial"/>
                <w:color w:val="000000"/>
                <w:sz w:val="24"/>
                <w:szCs w:val="24"/>
              </w:rPr>
              <w:t>Anexo 1, Numeral 3.2 Documento de hoja de cálculo.</w:t>
            </w:r>
          </w:p>
          <w:p w14:paraId="577803EE" w14:textId="48E267F4" w:rsidR="000E24A7" w:rsidRPr="000120AF" w:rsidRDefault="000120AF" w:rsidP="000120AF">
            <w:pPr>
              <w:pStyle w:val="Prrafodelista"/>
              <w:numPr>
                <w:ilvl w:val="0"/>
                <w:numId w:val="1"/>
              </w:numPr>
              <w:ind w:left="322" w:hanging="284"/>
              <w:rPr>
                <w:rFonts w:cs="Arial"/>
                <w:color w:val="000000"/>
                <w:sz w:val="24"/>
                <w:szCs w:val="24"/>
              </w:rPr>
            </w:pPr>
            <w:r w:rsidRPr="000120AF">
              <w:rPr>
                <w:rFonts w:eastAsia="Arial" w:cs="Arial"/>
                <w:color w:val="000000"/>
                <w:sz w:val="24"/>
                <w:szCs w:val="24"/>
              </w:rPr>
              <w:t>Área de impresión</w:t>
            </w:r>
            <w:r w:rsidR="00CF2E3F">
              <w:rPr>
                <w:rFonts w:eastAsia="Arial" w:cs="Arial"/>
                <w:color w:val="000000"/>
                <w:sz w:val="24"/>
                <w:szCs w:val="24"/>
              </w:rPr>
              <w:t xml:space="preserve">: Al </w:t>
            </w:r>
            <w:r w:rsidRPr="000120AF">
              <w:rPr>
                <w:rFonts w:eastAsia="Arial" w:cs="Arial"/>
                <w:color w:val="000000"/>
                <w:sz w:val="24"/>
                <w:szCs w:val="24"/>
              </w:rPr>
              <w:t>verificar la vista de impresión, se identifica que no se ha determinado la mejor configuración para esta opción.</w:t>
            </w:r>
          </w:p>
          <w:p w14:paraId="04AEA730" w14:textId="359DF584" w:rsidR="000120AF" w:rsidRPr="000120AF" w:rsidRDefault="000120AF" w:rsidP="000120AF">
            <w:pPr>
              <w:pStyle w:val="Prrafodelista"/>
              <w:numPr>
                <w:ilvl w:val="0"/>
                <w:numId w:val="1"/>
              </w:numPr>
              <w:ind w:left="322" w:hanging="284"/>
              <w:rPr>
                <w:rFonts w:cs="Arial"/>
                <w:color w:val="000000"/>
                <w:sz w:val="24"/>
                <w:szCs w:val="24"/>
              </w:rPr>
            </w:pPr>
            <w:r>
              <w:rPr>
                <w:rFonts w:eastAsia="Arial" w:cs="Arial"/>
                <w:color w:val="000000"/>
                <w:sz w:val="24"/>
                <w:szCs w:val="24"/>
              </w:rPr>
              <w:t>Ubicación inicial del indicador de celda</w:t>
            </w:r>
            <w:r w:rsidR="00895A82">
              <w:rPr>
                <w:rFonts w:eastAsia="Arial" w:cs="Arial"/>
                <w:color w:val="000000"/>
                <w:sz w:val="24"/>
                <w:szCs w:val="24"/>
              </w:rPr>
              <w:t>: L</w:t>
            </w:r>
            <w:r>
              <w:rPr>
                <w:rFonts w:eastAsia="Arial" w:cs="Arial"/>
                <w:color w:val="000000"/>
                <w:sz w:val="24"/>
                <w:szCs w:val="24"/>
              </w:rPr>
              <w:t>os documentos no han sido guardados, siguiendo este lineamiento. Al descargarlos y abrirlos, el cursor se encuentra en otras filas y columnas. De igual forma, en el caso de documentos con varias hojas, no se encuentran ubicados en las hojas de inicio.</w:t>
            </w:r>
          </w:p>
        </w:tc>
      </w:tr>
      <w:tr w:rsidR="000E24A7" w14:paraId="7DA8CA31" w14:textId="77777777" w:rsidTr="00FA584D">
        <w:trPr>
          <w:trHeight w:val="1838"/>
        </w:trPr>
        <w:tc>
          <w:tcPr>
            <w:tcW w:w="709" w:type="dxa"/>
            <w:vAlign w:val="center"/>
          </w:tcPr>
          <w:p w14:paraId="1E65A1E5" w14:textId="7D01CECB" w:rsidR="000E24A7" w:rsidRPr="004F6ABD" w:rsidRDefault="000120AF" w:rsidP="008178F1">
            <w:pPr>
              <w:jc w:val="center"/>
              <w:rPr>
                <w:rFonts w:ascii="Arial" w:hAnsi="Arial" w:cs="Arial"/>
                <w:color w:val="000000"/>
                <w:sz w:val="24"/>
                <w:szCs w:val="24"/>
              </w:rPr>
            </w:pPr>
            <w:r>
              <w:rPr>
                <w:rFonts w:ascii="Arial" w:hAnsi="Arial" w:cs="Arial"/>
                <w:color w:val="000000"/>
                <w:sz w:val="24"/>
                <w:szCs w:val="24"/>
              </w:rPr>
              <w:t>3</w:t>
            </w:r>
          </w:p>
        </w:tc>
        <w:tc>
          <w:tcPr>
            <w:tcW w:w="9072" w:type="dxa"/>
            <w:vAlign w:val="center"/>
          </w:tcPr>
          <w:p w14:paraId="4959CCAC" w14:textId="38386BE1" w:rsidR="00881804" w:rsidRDefault="006F3422" w:rsidP="00881804">
            <w:pPr>
              <w:jc w:val="both"/>
              <w:rPr>
                <w:rFonts w:ascii="Arial" w:eastAsia="Arial" w:hAnsi="Arial" w:cs="Arial"/>
                <w:color w:val="000000"/>
                <w:sz w:val="24"/>
                <w:szCs w:val="24"/>
              </w:rPr>
            </w:pPr>
            <w:r>
              <w:rPr>
                <w:rFonts w:ascii="Arial" w:eastAsia="Arial" w:hAnsi="Arial" w:cs="Arial"/>
                <w:color w:val="000000"/>
                <w:sz w:val="24"/>
                <w:szCs w:val="24"/>
              </w:rPr>
              <w:t xml:space="preserve">Anexo 4, Numeral </w:t>
            </w:r>
            <w:r w:rsidR="00881804">
              <w:rPr>
                <w:rFonts w:ascii="Arial" w:eastAsia="Arial" w:hAnsi="Arial" w:cs="Arial"/>
                <w:color w:val="000000"/>
                <w:sz w:val="24"/>
                <w:szCs w:val="24"/>
              </w:rPr>
              <w:t xml:space="preserve">2 </w:t>
            </w:r>
            <w:r w:rsidR="00881804" w:rsidRPr="00881804">
              <w:rPr>
                <w:rFonts w:ascii="Arial" w:eastAsia="Arial" w:hAnsi="Arial" w:cs="Arial"/>
                <w:color w:val="000000"/>
                <w:sz w:val="24"/>
                <w:szCs w:val="24"/>
              </w:rPr>
              <w:t>El registro de activos de información y el análisis de criticidad de la información, debe cargarse a través de la herramienta disponible en el Portal de Datos Abiertos, datos.gov.co, o el que haga sus veces</w:t>
            </w:r>
            <w:r w:rsidR="00881804">
              <w:rPr>
                <w:rFonts w:ascii="Arial" w:eastAsia="Arial" w:hAnsi="Arial" w:cs="Arial"/>
                <w:color w:val="000000"/>
                <w:sz w:val="24"/>
                <w:szCs w:val="24"/>
              </w:rPr>
              <w:t>.</w:t>
            </w:r>
          </w:p>
          <w:p w14:paraId="3C0096DF" w14:textId="3F0482E6" w:rsidR="000E24A7" w:rsidRPr="00881804" w:rsidRDefault="00881804" w:rsidP="00881804">
            <w:pPr>
              <w:pStyle w:val="Prrafodelista"/>
              <w:numPr>
                <w:ilvl w:val="0"/>
                <w:numId w:val="1"/>
              </w:numPr>
              <w:ind w:left="322" w:hanging="284"/>
              <w:rPr>
                <w:rFonts w:cs="Arial"/>
                <w:color w:val="000000"/>
                <w:sz w:val="24"/>
                <w:szCs w:val="24"/>
              </w:rPr>
            </w:pPr>
            <w:r w:rsidRPr="00881804">
              <w:rPr>
                <w:rFonts w:eastAsia="Arial" w:cs="Arial"/>
                <w:color w:val="000000"/>
                <w:sz w:val="24"/>
                <w:szCs w:val="24"/>
              </w:rPr>
              <w:t>U</w:t>
            </w:r>
            <w:r w:rsidR="006F3422" w:rsidRPr="00881804">
              <w:rPr>
                <w:rFonts w:eastAsia="Arial" w:cs="Arial"/>
                <w:color w:val="000000"/>
                <w:sz w:val="24"/>
                <w:szCs w:val="24"/>
              </w:rPr>
              <w:t>na vez consultado el Portal de Datos Abiertos, no se identifica la información con respecto al registro de activos de información y el análisis de criticidad de la información del Instituto Distrital de Patrimonio Cultural IDPC.</w:t>
            </w:r>
          </w:p>
        </w:tc>
      </w:tr>
      <w:tr w:rsidR="00BC4479" w14:paraId="74B49C18" w14:textId="77777777" w:rsidTr="00FA584D">
        <w:trPr>
          <w:trHeight w:val="2958"/>
        </w:trPr>
        <w:tc>
          <w:tcPr>
            <w:tcW w:w="709" w:type="dxa"/>
            <w:vAlign w:val="center"/>
          </w:tcPr>
          <w:p w14:paraId="5C8EEC7E" w14:textId="49673C07" w:rsidR="00BC4479" w:rsidRPr="004F6ABD" w:rsidRDefault="000120AF" w:rsidP="008178F1">
            <w:pPr>
              <w:jc w:val="center"/>
              <w:rPr>
                <w:rFonts w:ascii="Arial" w:hAnsi="Arial" w:cs="Arial"/>
                <w:color w:val="000000"/>
                <w:sz w:val="24"/>
                <w:szCs w:val="24"/>
              </w:rPr>
            </w:pPr>
            <w:r>
              <w:rPr>
                <w:rFonts w:ascii="Arial" w:hAnsi="Arial" w:cs="Arial"/>
                <w:color w:val="000000"/>
                <w:sz w:val="24"/>
                <w:szCs w:val="24"/>
              </w:rPr>
              <w:lastRenderedPageBreak/>
              <w:t>4</w:t>
            </w:r>
          </w:p>
        </w:tc>
        <w:tc>
          <w:tcPr>
            <w:tcW w:w="9072" w:type="dxa"/>
            <w:vAlign w:val="center"/>
          </w:tcPr>
          <w:p w14:paraId="10ECA32D" w14:textId="3C9C4D14" w:rsidR="00881804" w:rsidRDefault="006F3422" w:rsidP="00881804">
            <w:pPr>
              <w:jc w:val="both"/>
              <w:rPr>
                <w:rFonts w:ascii="Arial" w:eastAsia="Arial" w:hAnsi="Arial" w:cs="Arial"/>
                <w:color w:val="000000"/>
                <w:sz w:val="24"/>
                <w:szCs w:val="24"/>
              </w:rPr>
            </w:pPr>
            <w:r>
              <w:rPr>
                <w:rFonts w:ascii="Arial" w:eastAsia="Arial" w:hAnsi="Arial" w:cs="Arial"/>
                <w:color w:val="000000"/>
                <w:sz w:val="24"/>
                <w:szCs w:val="24"/>
              </w:rPr>
              <w:t>Anexo 4, Numeral 3</w:t>
            </w:r>
            <w:r w:rsidR="00881804">
              <w:rPr>
                <w:rFonts w:ascii="Arial" w:eastAsia="Arial" w:hAnsi="Arial" w:cs="Arial"/>
                <w:color w:val="000000"/>
                <w:sz w:val="24"/>
                <w:szCs w:val="24"/>
              </w:rPr>
              <w:t xml:space="preserve"> </w:t>
            </w:r>
            <w:r w:rsidR="00881804" w:rsidRPr="00881804">
              <w:rPr>
                <w:rFonts w:ascii="Arial" w:eastAsia="Arial" w:hAnsi="Arial" w:cs="Arial"/>
                <w:color w:val="000000"/>
                <w:sz w:val="24"/>
                <w:szCs w:val="24"/>
              </w:rPr>
              <w:t>Aprobar y publicar la licencia de datos abiertos, mediante la cual se determina el alcance, uso y aprovechamiento que los particulares o terceros interesados puedan efectuar sobre los mismos. En todo caso, se sugiere que la licencia reconozca la producción o generación de los datos por parte de la entidad pública, señalando que ésta no será responsable por la utilización, tratamiento, transformación de los datos, ni tampoco, sobre cualquier tipo de responsabilidad legal o económica sobre el uso directo o indirecto que se realice.</w:t>
            </w:r>
          </w:p>
          <w:p w14:paraId="721397D4" w14:textId="569B3ACF" w:rsidR="00BC4479" w:rsidRPr="00881804" w:rsidRDefault="00881804" w:rsidP="00881804">
            <w:pPr>
              <w:pStyle w:val="Prrafodelista"/>
              <w:numPr>
                <w:ilvl w:val="0"/>
                <w:numId w:val="1"/>
              </w:numPr>
              <w:ind w:left="322" w:hanging="284"/>
              <w:rPr>
                <w:rFonts w:cs="Arial"/>
                <w:color w:val="000000"/>
                <w:sz w:val="24"/>
                <w:szCs w:val="24"/>
              </w:rPr>
            </w:pPr>
            <w:r>
              <w:rPr>
                <w:rFonts w:eastAsia="Arial" w:cs="Arial"/>
                <w:color w:val="000000"/>
                <w:sz w:val="24"/>
                <w:szCs w:val="24"/>
              </w:rPr>
              <w:t>N</w:t>
            </w:r>
            <w:r w:rsidR="006F3422" w:rsidRPr="00881804">
              <w:rPr>
                <w:rFonts w:eastAsia="Arial" w:cs="Arial"/>
                <w:color w:val="000000"/>
                <w:sz w:val="24"/>
                <w:szCs w:val="24"/>
              </w:rPr>
              <w:t>o se observó publicación la licencia de datos abiertos, mediante el cual se determina el alcance, uso y aprovechamiento que los particulares o terceros interesados puedan efectuar sobre los datos abiertos publicados por el Instituto.</w:t>
            </w:r>
          </w:p>
        </w:tc>
      </w:tr>
      <w:tr w:rsidR="00BC4479" w14:paraId="21A15933" w14:textId="77777777" w:rsidTr="00FA584D">
        <w:trPr>
          <w:trHeight w:val="1840"/>
        </w:trPr>
        <w:tc>
          <w:tcPr>
            <w:tcW w:w="709" w:type="dxa"/>
            <w:vAlign w:val="center"/>
          </w:tcPr>
          <w:p w14:paraId="33A5C16A" w14:textId="1876C32B" w:rsidR="00BC4479" w:rsidRPr="004F6ABD" w:rsidRDefault="000120AF" w:rsidP="008178F1">
            <w:pPr>
              <w:jc w:val="center"/>
              <w:rPr>
                <w:rFonts w:ascii="Arial" w:hAnsi="Arial" w:cs="Arial"/>
                <w:color w:val="000000"/>
                <w:sz w:val="24"/>
                <w:szCs w:val="24"/>
              </w:rPr>
            </w:pPr>
            <w:r>
              <w:rPr>
                <w:rFonts w:ascii="Arial" w:hAnsi="Arial" w:cs="Arial"/>
                <w:color w:val="000000"/>
                <w:sz w:val="24"/>
                <w:szCs w:val="24"/>
              </w:rPr>
              <w:t>5</w:t>
            </w:r>
          </w:p>
        </w:tc>
        <w:tc>
          <w:tcPr>
            <w:tcW w:w="9072" w:type="dxa"/>
            <w:vAlign w:val="center"/>
          </w:tcPr>
          <w:p w14:paraId="70D1E39D" w14:textId="45A84743" w:rsidR="007E1C27" w:rsidRDefault="006F3422" w:rsidP="00881804">
            <w:pPr>
              <w:jc w:val="both"/>
              <w:rPr>
                <w:rFonts w:ascii="Arial" w:eastAsia="Arial" w:hAnsi="Arial" w:cs="Arial"/>
                <w:color w:val="000000"/>
                <w:sz w:val="24"/>
                <w:szCs w:val="24"/>
              </w:rPr>
            </w:pPr>
            <w:r>
              <w:rPr>
                <w:rFonts w:ascii="Arial" w:eastAsia="Arial" w:hAnsi="Arial" w:cs="Arial"/>
                <w:color w:val="000000"/>
                <w:sz w:val="24"/>
                <w:szCs w:val="24"/>
              </w:rPr>
              <w:t>Anexo 4,</w:t>
            </w:r>
            <w:r>
              <w:t xml:space="preserve"> </w:t>
            </w:r>
            <w:r>
              <w:rPr>
                <w:rFonts w:ascii="Arial" w:eastAsia="Arial" w:hAnsi="Arial" w:cs="Arial"/>
                <w:color w:val="000000"/>
                <w:sz w:val="24"/>
                <w:szCs w:val="24"/>
              </w:rPr>
              <w:t>Numeral 5</w:t>
            </w:r>
            <w:r w:rsidR="007E1C27">
              <w:rPr>
                <w:rFonts w:ascii="Arial" w:eastAsia="Arial" w:hAnsi="Arial" w:cs="Arial"/>
                <w:color w:val="000000"/>
                <w:sz w:val="24"/>
                <w:szCs w:val="24"/>
              </w:rPr>
              <w:t xml:space="preserve"> </w:t>
            </w:r>
            <w:r w:rsidR="007E1C27" w:rsidRPr="007E1C27">
              <w:rPr>
                <w:rFonts w:ascii="Arial" w:eastAsia="Arial" w:hAnsi="Arial" w:cs="Arial"/>
                <w:color w:val="000000"/>
                <w:sz w:val="24"/>
                <w:szCs w:val="24"/>
              </w:rPr>
              <w:t>Los sujetos obligados deben establecer un plan de apertura y uso de datos abiertos para una adecuada gobernanza de los datos de acuerdo con lo establecido en la Guía Nacional de Datos Abiertos en Colombia</w:t>
            </w:r>
            <w:r w:rsidR="007E1C27">
              <w:rPr>
                <w:rFonts w:ascii="Arial" w:eastAsia="Arial" w:hAnsi="Arial" w:cs="Arial"/>
                <w:color w:val="000000"/>
                <w:sz w:val="24"/>
                <w:szCs w:val="24"/>
              </w:rPr>
              <w:t>.</w:t>
            </w:r>
          </w:p>
          <w:p w14:paraId="78F9C902" w14:textId="2CD8D681" w:rsidR="00BC4479" w:rsidRPr="007E1C27" w:rsidRDefault="007E1C27" w:rsidP="007E1C27">
            <w:pPr>
              <w:pStyle w:val="Prrafodelista"/>
              <w:numPr>
                <w:ilvl w:val="0"/>
                <w:numId w:val="1"/>
              </w:numPr>
              <w:ind w:left="322" w:hanging="284"/>
              <w:rPr>
                <w:rFonts w:eastAsia="Arial" w:cs="Arial"/>
                <w:color w:val="000000"/>
                <w:sz w:val="24"/>
                <w:szCs w:val="24"/>
              </w:rPr>
            </w:pPr>
            <w:r w:rsidRPr="007E1C27">
              <w:rPr>
                <w:rFonts w:eastAsia="Arial" w:cs="Arial"/>
                <w:color w:val="000000"/>
                <w:sz w:val="24"/>
                <w:szCs w:val="24"/>
              </w:rPr>
              <w:t>No se observó la publicación del plan de apertura y uso de datos abiertos para una adecuada gobernanza de los datos de acuerdo con lo establecido en la Guía Nacional de Datos Abiertos en Colombia.</w:t>
            </w:r>
          </w:p>
        </w:tc>
      </w:tr>
    </w:tbl>
    <w:p w14:paraId="12F0A9EB" w14:textId="57ABF836" w:rsidR="009823FE" w:rsidRDefault="009823FE" w:rsidP="00C73C23">
      <w:pPr>
        <w:pStyle w:val="Subttulo"/>
        <w:tabs>
          <w:tab w:val="left" w:pos="284"/>
        </w:tabs>
        <w:spacing w:before="120" w:after="120"/>
        <w:ind w:left="-142"/>
        <w:jc w:val="left"/>
        <w:rPr>
          <w:rFonts w:ascii="Arial" w:hAnsi="Arial" w:cs="Arial"/>
          <w:b/>
          <w:bCs/>
        </w:rPr>
      </w:pPr>
      <w:r>
        <w:rPr>
          <w:rFonts w:ascii="Arial" w:eastAsia="Arial" w:hAnsi="Arial" w:cs="Arial"/>
          <w:b/>
        </w:rPr>
        <w:t xml:space="preserve">Detalle de </w:t>
      </w:r>
      <w:r w:rsidRPr="009823FE">
        <w:rPr>
          <w:rFonts w:ascii="Arial" w:hAnsi="Arial" w:cs="Arial"/>
          <w:b/>
          <w:bCs/>
        </w:rPr>
        <w:t>Hallazgos</w:t>
      </w:r>
    </w:p>
    <w:p w14:paraId="0629F678" w14:textId="0507F5B4" w:rsidR="00CB0BB9" w:rsidRDefault="00895A82" w:rsidP="00895A82">
      <w:pPr>
        <w:spacing w:before="120" w:after="120"/>
        <w:ind w:left="-142"/>
        <w:jc w:val="both"/>
        <w:rPr>
          <w:rFonts w:ascii="Arial" w:eastAsia="Arial" w:hAnsi="Arial" w:cs="Arial"/>
          <w:sz w:val="24"/>
          <w:szCs w:val="24"/>
        </w:rPr>
      </w:pPr>
      <w:r>
        <w:rPr>
          <w:rFonts w:ascii="Arial" w:eastAsia="Arial" w:hAnsi="Arial" w:cs="Arial"/>
          <w:sz w:val="24"/>
          <w:szCs w:val="24"/>
        </w:rPr>
        <w:t>El seguimiento</w:t>
      </w:r>
      <w:r w:rsidR="00CB0BB9">
        <w:rPr>
          <w:rFonts w:ascii="Arial" w:eastAsia="Arial" w:hAnsi="Arial" w:cs="Arial"/>
          <w:sz w:val="24"/>
          <w:szCs w:val="24"/>
        </w:rPr>
        <w:t xml:space="preserve"> se realizó de conformidad con las disposiciones contenidas en la Ley 1712 de 2014 y en la Resolución 1519 de 2020, referentes a Transparencia y Acceso a la Información Pública.</w:t>
      </w:r>
      <w:r>
        <w:rPr>
          <w:rFonts w:ascii="Arial" w:eastAsia="Arial" w:hAnsi="Arial" w:cs="Arial"/>
          <w:sz w:val="24"/>
          <w:szCs w:val="24"/>
        </w:rPr>
        <w:t xml:space="preserve"> </w:t>
      </w:r>
      <w:r w:rsidR="00CB0BB9">
        <w:rPr>
          <w:rFonts w:ascii="Arial" w:eastAsia="Arial" w:hAnsi="Arial" w:cs="Arial"/>
          <w:sz w:val="24"/>
          <w:szCs w:val="24"/>
        </w:rPr>
        <w:t>El alcance del informe comprende la aplicación con corte al 31 de agosto de 2022, por parte del Instituto Distrital de Patrimonio Cultural IDPC, de los anexos a la Resolución 1519 de 2020 que se relacionan a continuación:</w:t>
      </w:r>
    </w:p>
    <w:p w14:paraId="12E11BD5" w14:textId="77777777" w:rsidR="00CB0BB9" w:rsidRDefault="00CB0BB9" w:rsidP="00C73C23">
      <w:pPr>
        <w:numPr>
          <w:ilvl w:val="0"/>
          <w:numId w:val="1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Anexo 1. Directrices de accesibilidad web.</w:t>
      </w:r>
    </w:p>
    <w:p w14:paraId="60F583BB" w14:textId="77777777" w:rsidR="00CB0BB9" w:rsidRDefault="00CB0BB9" w:rsidP="00C73C23">
      <w:pPr>
        <w:numPr>
          <w:ilvl w:val="0"/>
          <w:numId w:val="1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Anexo 2. Estándares de publicación y divulgación.</w:t>
      </w:r>
    </w:p>
    <w:p w14:paraId="45CB9678" w14:textId="77777777" w:rsidR="00CB0BB9" w:rsidRDefault="00CB0BB9" w:rsidP="00C73C23">
      <w:pPr>
        <w:numPr>
          <w:ilvl w:val="0"/>
          <w:numId w:val="1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Anexo 3. Condiciones mínimas técnicas y de seguridad digital.</w:t>
      </w:r>
    </w:p>
    <w:p w14:paraId="0B57F417" w14:textId="3CC47D22" w:rsidR="00CB0BB9" w:rsidRPr="00C73C23" w:rsidRDefault="00CB0BB9" w:rsidP="00C73C23">
      <w:pPr>
        <w:numPr>
          <w:ilvl w:val="0"/>
          <w:numId w:val="13"/>
        </w:numPr>
        <w:pBdr>
          <w:top w:val="nil"/>
          <w:left w:val="nil"/>
          <w:bottom w:val="nil"/>
          <w:right w:val="nil"/>
          <w:between w:val="nil"/>
        </w:pBdr>
        <w:jc w:val="both"/>
        <w:rPr>
          <w:rFonts w:ascii="Arial" w:eastAsia="Arial" w:hAnsi="Arial" w:cs="Arial"/>
          <w:sz w:val="24"/>
          <w:szCs w:val="24"/>
        </w:rPr>
      </w:pPr>
      <w:r>
        <w:rPr>
          <w:rFonts w:ascii="Arial" w:eastAsia="Arial" w:hAnsi="Arial" w:cs="Arial"/>
          <w:color w:val="000000"/>
          <w:sz w:val="24"/>
          <w:szCs w:val="24"/>
        </w:rPr>
        <w:t>Anexo 4. Requisitos mínimos de datos abiertos</w:t>
      </w:r>
    </w:p>
    <w:p w14:paraId="483BC33D" w14:textId="77777777" w:rsidR="00CB0BB9" w:rsidRDefault="00CB0BB9" w:rsidP="00C73C23">
      <w:pPr>
        <w:spacing w:before="120" w:after="120"/>
        <w:ind w:left="-142"/>
        <w:jc w:val="both"/>
        <w:rPr>
          <w:rFonts w:ascii="Arial" w:eastAsia="Arial" w:hAnsi="Arial" w:cs="Arial"/>
          <w:sz w:val="24"/>
          <w:szCs w:val="24"/>
        </w:rPr>
      </w:pPr>
      <w:r>
        <w:rPr>
          <w:rFonts w:ascii="Arial" w:eastAsia="Arial" w:hAnsi="Arial" w:cs="Arial"/>
          <w:sz w:val="24"/>
          <w:szCs w:val="24"/>
        </w:rPr>
        <w:t>La evaluación se realizó en dos secciones, por una parte, las publicaciones realizadas en 2022 y por la otra, aquellas que se realizaron en 2021 hacia atrás o que no tienen una fecha definida.</w:t>
      </w:r>
    </w:p>
    <w:p w14:paraId="37BDCD6F" w14:textId="77777777" w:rsidR="00CB0BB9" w:rsidRDefault="00CB0BB9" w:rsidP="00C73C23">
      <w:pPr>
        <w:pStyle w:val="Ttulo2"/>
        <w:ind w:left="-142"/>
        <w:rPr>
          <w:rFonts w:ascii="Arial" w:eastAsia="Arial" w:hAnsi="Arial" w:cs="Arial"/>
          <w:sz w:val="24"/>
          <w:szCs w:val="24"/>
        </w:rPr>
      </w:pPr>
      <w:r>
        <w:rPr>
          <w:rFonts w:ascii="Arial" w:eastAsia="Arial" w:hAnsi="Arial" w:cs="Arial"/>
          <w:sz w:val="24"/>
          <w:szCs w:val="24"/>
        </w:rPr>
        <w:t>1.1 DIRECTRICES DE ACCESIBILIDAD WEB</w:t>
      </w:r>
    </w:p>
    <w:p w14:paraId="295A02EB" w14:textId="49C5ABD5" w:rsidR="00CB0BB9" w:rsidRPr="00740C59" w:rsidRDefault="00CB0BB9" w:rsidP="00C73C23">
      <w:pPr>
        <w:spacing w:before="120" w:after="120"/>
        <w:ind w:left="-142"/>
        <w:jc w:val="both"/>
        <w:rPr>
          <w:rFonts w:ascii="Arial" w:eastAsia="Arial" w:hAnsi="Arial" w:cs="Arial"/>
          <w:sz w:val="24"/>
          <w:szCs w:val="24"/>
        </w:rPr>
      </w:pPr>
      <w:r>
        <w:rPr>
          <w:rFonts w:ascii="Arial" w:eastAsia="Arial" w:hAnsi="Arial" w:cs="Arial"/>
          <w:sz w:val="24"/>
          <w:szCs w:val="24"/>
        </w:rPr>
        <w:t>Los sujetos obligados deberán dar cumplimiento a los estándares AA de la Guía de Accesibilidad de Contenidos Web (Web Content Accessibility Guidelines - WCAG) en la versión 2.1, expedida por el World Web Consortium (W3C), conforme con el presente anexo aplicable en todos los procesos de actualización, estructuración y reestructuración, diseño y rediseño de sus portales web y sedes electrónicas, así como de los contenidos existentes en ésas.</w:t>
      </w:r>
    </w:p>
    <w:tbl>
      <w:tblPr>
        <w:tblStyle w:val="Tablaconcuadrcula1"/>
        <w:tblW w:w="7650" w:type="dxa"/>
        <w:jc w:val="center"/>
        <w:tblLayout w:type="fixed"/>
        <w:tblLook w:val="0420" w:firstRow="1" w:lastRow="0" w:firstColumn="0" w:lastColumn="0" w:noHBand="0" w:noVBand="1"/>
      </w:tblPr>
      <w:tblGrid>
        <w:gridCol w:w="5250"/>
        <w:gridCol w:w="982"/>
        <w:gridCol w:w="1418"/>
      </w:tblGrid>
      <w:tr w:rsidR="00677432" w14:paraId="1F17B054" w14:textId="77777777" w:rsidTr="00FA584D">
        <w:trPr>
          <w:jc w:val="center"/>
        </w:trPr>
        <w:tc>
          <w:tcPr>
            <w:tcW w:w="5250" w:type="dxa"/>
            <w:shd w:val="clear" w:color="auto" w:fill="F2F2F2" w:themeFill="background1" w:themeFillShade="F2"/>
            <w:vAlign w:val="center"/>
          </w:tcPr>
          <w:p w14:paraId="4267C148" w14:textId="77777777" w:rsidR="00677432" w:rsidRDefault="00677432" w:rsidP="00D733A5">
            <w:pPr>
              <w:ind w:left="32" w:right="-93"/>
              <w:jc w:val="center"/>
              <w:rPr>
                <w:rFonts w:ascii="Arial" w:eastAsia="Arial" w:hAnsi="Arial" w:cs="Arial"/>
                <w:b/>
                <w:bCs/>
                <w:sz w:val="24"/>
                <w:szCs w:val="24"/>
              </w:rPr>
            </w:pPr>
            <w:r w:rsidRPr="00677432">
              <w:rPr>
                <w:rFonts w:ascii="Arial" w:eastAsia="Arial" w:hAnsi="Arial" w:cs="Arial"/>
                <w:b/>
                <w:bCs/>
                <w:sz w:val="24"/>
                <w:szCs w:val="24"/>
              </w:rPr>
              <w:t>Seguimiento y evaluación CI Agosto 2022</w:t>
            </w:r>
          </w:p>
          <w:p w14:paraId="162DC09B" w14:textId="465B94C9" w:rsidR="00CB0BB9" w:rsidRPr="00677432" w:rsidRDefault="00677432" w:rsidP="00D733A5">
            <w:pPr>
              <w:ind w:left="32" w:right="-93"/>
              <w:jc w:val="center"/>
              <w:rPr>
                <w:rFonts w:ascii="Arial" w:eastAsia="Arial" w:hAnsi="Arial" w:cs="Arial"/>
                <w:b/>
                <w:bCs/>
                <w:sz w:val="24"/>
                <w:szCs w:val="24"/>
              </w:rPr>
            </w:pPr>
            <w:r w:rsidRPr="00677432">
              <w:rPr>
                <w:rFonts w:ascii="Arial" w:eastAsia="Arial" w:hAnsi="Arial" w:cs="Arial"/>
                <w:b/>
                <w:bCs/>
                <w:sz w:val="24"/>
                <w:szCs w:val="24"/>
              </w:rPr>
              <w:t>Publicaciones 2022</w:t>
            </w:r>
          </w:p>
        </w:tc>
        <w:tc>
          <w:tcPr>
            <w:tcW w:w="982" w:type="dxa"/>
            <w:shd w:val="clear" w:color="auto" w:fill="F2F2F2" w:themeFill="background1" w:themeFillShade="F2"/>
            <w:vAlign w:val="center"/>
          </w:tcPr>
          <w:p w14:paraId="7442C562" w14:textId="77777777" w:rsidR="00CB0BB9" w:rsidRPr="00677432" w:rsidRDefault="00CB0BB9" w:rsidP="006324A8">
            <w:pPr>
              <w:ind w:left="-142" w:right="-93"/>
              <w:jc w:val="center"/>
              <w:rPr>
                <w:rFonts w:ascii="Arial" w:eastAsia="Arial" w:hAnsi="Arial" w:cs="Arial"/>
                <w:b/>
                <w:bCs/>
                <w:sz w:val="24"/>
                <w:szCs w:val="24"/>
              </w:rPr>
            </w:pPr>
            <w:r w:rsidRPr="00677432">
              <w:rPr>
                <w:rFonts w:ascii="Arial" w:eastAsia="Arial" w:hAnsi="Arial" w:cs="Arial"/>
                <w:b/>
                <w:bCs/>
                <w:sz w:val="24"/>
                <w:szCs w:val="24"/>
              </w:rPr>
              <w:t xml:space="preserve"> Totales </w:t>
            </w:r>
          </w:p>
        </w:tc>
        <w:tc>
          <w:tcPr>
            <w:tcW w:w="1418" w:type="dxa"/>
            <w:shd w:val="clear" w:color="auto" w:fill="F2F2F2" w:themeFill="background1" w:themeFillShade="F2"/>
            <w:vAlign w:val="center"/>
          </w:tcPr>
          <w:p w14:paraId="409B40F4" w14:textId="77777777" w:rsidR="00CB0BB9" w:rsidRPr="00677432" w:rsidRDefault="00CB0BB9" w:rsidP="006324A8">
            <w:pPr>
              <w:ind w:left="-142" w:right="-93"/>
              <w:jc w:val="center"/>
              <w:rPr>
                <w:rFonts w:ascii="Arial" w:eastAsia="Arial" w:hAnsi="Arial" w:cs="Arial"/>
                <w:b/>
                <w:bCs/>
                <w:sz w:val="24"/>
                <w:szCs w:val="24"/>
              </w:rPr>
            </w:pPr>
            <w:r w:rsidRPr="00677432">
              <w:rPr>
                <w:rFonts w:ascii="Arial" w:eastAsia="Arial" w:hAnsi="Arial" w:cs="Arial"/>
                <w:b/>
                <w:bCs/>
                <w:sz w:val="24"/>
                <w:szCs w:val="24"/>
              </w:rPr>
              <w:t xml:space="preserve">Porcentaje </w:t>
            </w:r>
          </w:p>
        </w:tc>
      </w:tr>
      <w:tr w:rsidR="00CB6F03" w14:paraId="222278C5" w14:textId="77777777" w:rsidTr="00FA584D">
        <w:trPr>
          <w:jc w:val="center"/>
        </w:trPr>
        <w:tc>
          <w:tcPr>
            <w:tcW w:w="5250" w:type="dxa"/>
            <w:vAlign w:val="center"/>
          </w:tcPr>
          <w:p w14:paraId="6AD43844" w14:textId="77777777" w:rsidR="00CB0BB9" w:rsidRDefault="00CB0BB9" w:rsidP="00677432">
            <w:pPr>
              <w:ind w:left="32" w:right="-93"/>
              <w:rPr>
                <w:rFonts w:ascii="Arial" w:eastAsia="Arial" w:hAnsi="Arial" w:cs="Arial"/>
                <w:sz w:val="24"/>
                <w:szCs w:val="24"/>
              </w:rPr>
            </w:pPr>
            <w:r>
              <w:rPr>
                <w:rFonts w:ascii="Arial" w:eastAsia="Arial" w:hAnsi="Arial" w:cs="Arial"/>
                <w:sz w:val="24"/>
                <w:szCs w:val="24"/>
              </w:rPr>
              <w:lastRenderedPageBreak/>
              <w:t>Cumple</w:t>
            </w:r>
          </w:p>
        </w:tc>
        <w:tc>
          <w:tcPr>
            <w:tcW w:w="982" w:type="dxa"/>
            <w:vAlign w:val="center"/>
          </w:tcPr>
          <w:p w14:paraId="6A7F79EB" w14:textId="1B73B789" w:rsidR="00CB0BB9" w:rsidRPr="00B10D42" w:rsidRDefault="00CB0BB9" w:rsidP="006324A8">
            <w:pPr>
              <w:ind w:left="-142" w:right="-93"/>
              <w:jc w:val="center"/>
              <w:rPr>
                <w:rFonts w:ascii="Arial" w:eastAsia="Arial" w:hAnsi="Arial" w:cs="Arial"/>
                <w:sz w:val="24"/>
                <w:szCs w:val="24"/>
              </w:rPr>
            </w:pPr>
            <w:r w:rsidRPr="00B10D42">
              <w:rPr>
                <w:rFonts w:ascii="Arial" w:eastAsia="Arial" w:hAnsi="Arial" w:cs="Arial"/>
                <w:sz w:val="24"/>
                <w:szCs w:val="24"/>
              </w:rPr>
              <w:t>6</w:t>
            </w:r>
            <w:r w:rsidR="00741A08">
              <w:rPr>
                <w:rFonts w:ascii="Arial" w:eastAsia="Arial" w:hAnsi="Arial" w:cs="Arial"/>
                <w:sz w:val="24"/>
                <w:szCs w:val="24"/>
              </w:rPr>
              <w:t>7</w:t>
            </w:r>
          </w:p>
        </w:tc>
        <w:tc>
          <w:tcPr>
            <w:tcW w:w="1418" w:type="dxa"/>
            <w:vAlign w:val="center"/>
          </w:tcPr>
          <w:p w14:paraId="377517E5" w14:textId="2E6CC98C" w:rsidR="00CB0BB9" w:rsidRDefault="00741A08" w:rsidP="006324A8">
            <w:pPr>
              <w:ind w:left="-142" w:right="-93"/>
              <w:jc w:val="center"/>
              <w:rPr>
                <w:rFonts w:ascii="Arial" w:eastAsia="Arial" w:hAnsi="Arial" w:cs="Arial"/>
                <w:sz w:val="24"/>
                <w:szCs w:val="24"/>
              </w:rPr>
            </w:pPr>
            <w:r>
              <w:rPr>
                <w:rFonts w:ascii="Arial" w:eastAsia="Arial" w:hAnsi="Arial" w:cs="Arial"/>
                <w:sz w:val="24"/>
                <w:szCs w:val="24"/>
              </w:rPr>
              <w:t>70</w:t>
            </w:r>
            <w:r w:rsidR="00F72FF8">
              <w:rPr>
                <w:rFonts w:ascii="Arial" w:eastAsia="Arial" w:hAnsi="Arial" w:cs="Arial"/>
                <w:sz w:val="24"/>
                <w:szCs w:val="24"/>
              </w:rPr>
              <w:t>,5</w:t>
            </w:r>
            <w:r w:rsidR="00CB0BB9">
              <w:rPr>
                <w:rFonts w:ascii="Arial" w:eastAsia="Arial" w:hAnsi="Arial" w:cs="Arial"/>
                <w:sz w:val="24"/>
                <w:szCs w:val="24"/>
              </w:rPr>
              <w:t>%</w:t>
            </w:r>
          </w:p>
        </w:tc>
      </w:tr>
      <w:tr w:rsidR="00CB6F03" w14:paraId="523C0AEB" w14:textId="77777777" w:rsidTr="00FA584D">
        <w:trPr>
          <w:jc w:val="center"/>
        </w:trPr>
        <w:tc>
          <w:tcPr>
            <w:tcW w:w="5250" w:type="dxa"/>
            <w:vAlign w:val="center"/>
          </w:tcPr>
          <w:p w14:paraId="1F7FE979" w14:textId="77777777" w:rsidR="00CB0BB9" w:rsidRDefault="00CB0BB9" w:rsidP="00677432">
            <w:pPr>
              <w:ind w:left="32" w:right="-93"/>
              <w:rPr>
                <w:rFonts w:ascii="Arial" w:eastAsia="Arial" w:hAnsi="Arial" w:cs="Arial"/>
                <w:sz w:val="24"/>
                <w:szCs w:val="24"/>
              </w:rPr>
            </w:pPr>
            <w:r>
              <w:rPr>
                <w:rFonts w:ascii="Arial" w:eastAsia="Arial" w:hAnsi="Arial" w:cs="Arial"/>
                <w:sz w:val="24"/>
                <w:szCs w:val="24"/>
              </w:rPr>
              <w:t>No Cumple</w:t>
            </w:r>
          </w:p>
        </w:tc>
        <w:tc>
          <w:tcPr>
            <w:tcW w:w="982" w:type="dxa"/>
            <w:vAlign w:val="center"/>
          </w:tcPr>
          <w:p w14:paraId="092C7A83" w14:textId="77777777" w:rsidR="00CB0BB9" w:rsidRPr="00B10D42" w:rsidRDefault="00CB0BB9" w:rsidP="006324A8">
            <w:pPr>
              <w:ind w:left="-142" w:right="-93"/>
              <w:jc w:val="center"/>
              <w:rPr>
                <w:rFonts w:ascii="Arial" w:eastAsia="Arial" w:hAnsi="Arial" w:cs="Arial"/>
                <w:sz w:val="24"/>
                <w:szCs w:val="24"/>
              </w:rPr>
            </w:pPr>
            <w:r w:rsidRPr="00B10D42">
              <w:rPr>
                <w:rFonts w:ascii="Arial" w:eastAsia="Arial" w:hAnsi="Arial" w:cs="Arial"/>
                <w:sz w:val="24"/>
                <w:szCs w:val="24"/>
              </w:rPr>
              <w:t>3</w:t>
            </w:r>
          </w:p>
        </w:tc>
        <w:tc>
          <w:tcPr>
            <w:tcW w:w="1418" w:type="dxa"/>
            <w:vAlign w:val="center"/>
          </w:tcPr>
          <w:p w14:paraId="0A64A5DF" w14:textId="77777777" w:rsidR="00CB0BB9" w:rsidRDefault="00CB0BB9" w:rsidP="006324A8">
            <w:pPr>
              <w:ind w:left="-142" w:right="-93"/>
              <w:jc w:val="center"/>
              <w:rPr>
                <w:rFonts w:ascii="Arial" w:eastAsia="Arial" w:hAnsi="Arial" w:cs="Arial"/>
                <w:sz w:val="24"/>
                <w:szCs w:val="24"/>
              </w:rPr>
            </w:pPr>
            <w:r>
              <w:rPr>
                <w:rFonts w:ascii="Arial" w:eastAsia="Arial" w:hAnsi="Arial" w:cs="Arial"/>
                <w:sz w:val="24"/>
                <w:szCs w:val="24"/>
              </w:rPr>
              <w:t>3,2%</w:t>
            </w:r>
          </w:p>
        </w:tc>
      </w:tr>
      <w:tr w:rsidR="00CB6F03" w14:paraId="3F64ED51" w14:textId="77777777" w:rsidTr="00FA584D">
        <w:trPr>
          <w:jc w:val="center"/>
        </w:trPr>
        <w:tc>
          <w:tcPr>
            <w:tcW w:w="5250" w:type="dxa"/>
            <w:vAlign w:val="center"/>
          </w:tcPr>
          <w:p w14:paraId="647BA7F8" w14:textId="77777777" w:rsidR="00CB0BB9" w:rsidRDefault="00CB0BB9" w:rsidP="00677432">
            <w:pPr>
              <w:ind w:left="32" w:right="-93"/>
              <w:rPr>
                <w:rFonts w:ascii="Arial" w:eastAsia="Arial" w:hAnsi="Arial" w:cs="Arial"/>
                <w:sz w:val="24"/>
                <w:szCs w:val="24"/>
              </w:rPr>
            </w:pPr>
            <w:r>
              <w:rPr>
                <w:rFonts w:ascii="Arial" w:eastAsia="Arial" w:hAnsi="Arial" w:cs="Arial"/>
                <w:sz w:val="24"/>
                <w:szCs w:val="24"/>
              </w:rPr>
              <w:t>Cumple Parcialmente</w:t>
            </w:r>
          </w:p>
        </w:tc>
        <w:tc>
          <w:tcPr>
            <w:tcW w:w="982" w:type="dxa"/>
            <w:vAlign w:val="center"/>
          </w:tcPr>
          <w:p w14:paraId="76E7C3AF" w14:textId="37129982" w:rsidR="00CB0BB9" w:rsidRPr="00B10D42" w:rsidRDefault="00CB0BB9" w:rsidP="006324A8">
            <w:pPr>
              <w:ind w:left="-142" w:right="-93"/>
              <w:jc w:val="center"/>
              <w:rPr>
                <w:rFonts w:ascii="Arial" w:eastAsia="Arial" w:hAnsi="Arial" w:cs="Arial"/>
                <w:sz w:val="24"/>
                <w:szCs w:val="24"/>
              </w:rPr>
            </w:pPr>
            <w:r w:rsidRPr="00B10D42">
              <w:rPr>
                <w:rFonts w:ascii="Arial" w:eastAsia="Arial" w:hAnsi="Arial" w:cs="Arial"/>
                <w:sz w:val="24"/>
                <w:szCs w:val="24"/>
              </w:rPr>
              <w:t>2</w:t>
            </w:r>
            <w:r w:rsidR="00741A08">
              <w:rPr>
                <w:rFonts w:ascii="Arial" w:eastAsia="Arial" w:hAnsi="Arial" w:cs="Arial"/>
                <w:sz w:val="24"/>
                <w:szCs w:val="24"/>
              </w:rPr>
              <w:t>5</w:t>
            </w:r>
          </w:p>
        </w:tc>
        <w:tc>
          <w:tcPr>
            <w:tcW w:w="1418" w:type="dxa"/>
            <w:vAlign w:val="center"/>
          </w:tcPr>
          <w:p w14:paraId="344B14AD" w14:textId="0BC99BC9" w:rsidR="00CB0BB9" w:rsidRDefault="00CB0BB9" w:rsidP="006324A8">
            <w:pPr>
              <w:ind w:left="-142" w:right="-93"/>
              <w:jc w:val="center"/>
              <w:rPr>
                <w:rFonts w:ascii="Arial" w:eastAsia="Arial" w:hAnsi="Arial" w:cs="Arial"/>
                <w:sz w:val="24"/>
                <w:szCs w:val="24"/>
              </w:rPr>
            </w:pPr>
            <w:r>
              <w:rPr>
                <w:rFonts w:ascii="Arial" w:eastAsia="Arial" w:hAnsi="Arial" w:cs="Arial"/>
                <w:sz w:val="24"/>
                <w:szCs w:val="24"/>
              </w:rPr>
              <w:t>2</w:t>
            </w:r>
            <w:r w:rsidR="00741A08">
              <w:rPr>
                <w:rFonts w:ascii="Arial" w:eastAsia="Arial" w:hAnsi="Arial" w:cs="Arial"/>
                <w:sz w:val="24"/>
                <w:szCs w:val="24"/>
              </w:rPr>
              <w:t>6,3</w:t>
            </w:r>
            <w:r>
              <w:rPr>
                <w:rFonts w:ascii="Arial" w:eastAsia="Arial" w:hAnsi="Arial" w:cs="Arial"/>
                <w:sz w:val="24"/>
                <w:szCs w:val="24"/>
              </w:rPr>
              <w:t>%</w:t>
            </w:r>
          </w:p>
        </w:tc>
      </w:tr>
      <w:tr w:rsidR="00CB6F03" w14:paraId="10D50FBE" w14:textId="77777777" w:rsidTr="00FA584D">
        <w:trPr>
          <w:jc w:val="center"/>
        </w:trPr>
        <w:tc>
          <w:tcPr>
            <w:tcW w:w="5250" w:type="dxa"/>
            <w:vAlign w:val="center"/>
          </w:tcPr>
          <w:p w14:paraId="1DF1064F" w14:textId="77777777" w:rsidR="00CB0BB9" w:rsidRDefault="00CB0BB9" w:rsidP="00677432">
            <w:pPr>
              <w:ind w:left="32" w:right="-93"/>
              <w:rPr>
                <w:rFonts w:ascii="Arial" w:eastAsia="Arial" w:hAnsi="Arial" w:cs="Arial"/>
                <w:b/>
                <w:sz w:val="24"/>
                <w:szCs w:val="24"/>
              </w:rPr>
            </w:pPr>
            <w:r>
              <w:rPr>
                <w:rFonts w:ascii="Arial" w:eastAsia="Arial" w:hAnsi="Arial" w:cs="Arial"/>
                <w:b/>
                <w:sz w:val="24"/>
                <w:szCs w:val="24"/>
              </w:rPr>
              <w:t>Total ítems verificados</w:t>
            </w:r>
          </w:p>
        </w:tc>
        <w:tc>
          <w:tcPr>
            <w:tcW w:w="982" w:type="dxa"/>
            <w:vAlign w:val="center"/>
          </w:tcPr>
          <w:p w14:paraId="428BBBEC" w14:textId="77777777" w:rsidR="00CB0BB9" w:rsidRDefault="00CB0BB9" w:rsidP="006324A8">
            <w:pPr>
              <w:ind w:left="-142" w:right="-93"/>
              <w:jc w:val="center"/>
              <w:rPr>
                <w:rFonts w:ascii="Arial" w:eastAsia="Arial" w:hAnsi="Arial" w:cs="Arial"/>
                <w:b/>
                <w:sz w:val="24"/>
                <w:szCs w:val="24"/>
              </w:rPr>
            </w:pPr>
            <w:r>
              <w:rPr>
                <w:rFonts w:ascii="Arial" w:eastAsia="Arial" w:hAnsi="Arial" w:cs="Arial"/>
                <w:b/>
                <w:sz w:val="24"/>
                <w:szCs w:val="24"/>
              </w:rPr>
              <w:t>95</w:t>
            </w:r>
          </w:p>
        </w:tc>
        <w:tc>
          <w:tcPr>
            <w:tcW w:w="1418" w:type="dxa"/>
            <w:vAlign w:val="center"/>
          </w:tcPr>
          <w:p w14:paraId="05B5218F" w14:textId="77777777" w:rsidR="00CB0BB9" w:rsidRDefault="00CB0BB9" w:rsidP="006324A8">
            <w:pPr>
              <w:ind w:left="-142" w:right="-93"/>
              <w:jc w:val="center"/>
              <w:rPr>
                <w:rFonts w:ascii="Arial" w:eastAsia="Arial" w:hAnsi="Arial" w:cs="Arial"/>
                <w:b/>
                <w:sz w:val="24"/>
                <w:szCs w:val="24"/>
              </w:rPr>
            </w:pPr>
            <w:r>
              <w:rPr>
                <w:rFonts w:ascii="Arial" w:eastAsia="Arial" w:hAnsi="Arial" w:cs="Arial"/>
                <w:b/>
                <w:sz w:val="24"/>
                <w:szCs w:val="24"/>
              </w:rPr>
              <w:t>100%</w:t>
            </w:r>
          </w:p>
        </w:tc>
      </w:tr>
    </w:tbl>
    <w:p w14:paraId="172B4DAD" w14:textId="1F8C9167" w:rsidR="00CB0BB9" w:rsidRDefault="00CB0BB9" w:rsidP="00C73C23">
      <w:pPr>
        <w:spacing w:before="120" w:after="120"/>
        <w:ind w:left="-142"/>
        <w:jc w:val="both"/>
        <w:rPr>
          <w:rFonts w:ascii="Arial" w:eastAsia="Arial" w:hAnsi="Arial" w:cs="Arial"/>
          <w:sz w:val="24"/>
          <w:szCs w:val="24"/>
        </w:rPr>
      </w:pPr>
      <w:r w:rsidRPr="00B10D42">
        <w:rPr>
          <w:rFonts w:ascii="Arial" w:eastAsia="Arial" w:hAnsi="Arial" w:cs="Arial"/>
          <w:sz w:val="24"/>
          <w:szCs w:val="24"/>
        </w:rPr>
        <w:t>De esta forma, se evidencian avances con respecto al cumplimiento de estándares de accesibilidad</w:t>
      </w:r>
      <w:r w:rsidR="00545120" w:rsidRPr="00B10D42">
        <w:rPr>
          <w:rFonts w:ascii="Arial" w:eastAsia="Arial" w:hAnsi="Arial" w:cs="Arial"/>
          <w:sz w:val="24"/>
          <w:szCs w:val="24"/>
        </w:rPr>
        <w:t>. Puntualmente, se evidencia el cumplimiento de</w:t>
      </w:r>
      <w:r w:rsidR="002B7220" w:rsidRPr="00B10D42">
        <w:rPr>
          <w:rFonts w:ascii="Arial" w:eastAsia="Arial" w:hAnsi="Arial" w:cs="Arial"/>
          <w:sz w:val="24"/>
          <w:szCs w:val="24"/>
        </w:rPr>
        <w:t xml:space="preserve"> s</w:t>
      </w:r>
      <w:r w:rsidR="00211D28">
        <w:rPr>
          <w:rFonts w:ascii="Arial" w:eastAsia="Arial" w:hAnsi="Arial" w:cs="Arial"/>
          <w:sz w:val="24"/>
          <w:szCs w:val="24"/>
        </w:rPr>
        <w:t>iete</w:t>
      </w:r>
      <w:r w:rsidR="00545120" w:rsidRPr="00B10D42">
        <w:rPr>
          <w:rFonts w:ascii="Arial" w:eastAsia="Arial" w:hAnsi="Arial" w:cs="Arial"/>
          <w:sz w:val="24"/>
          <w:szCs w:val="24"/>
        </w:rPr>
        <w:t xml:space="preserve"> criterios más con respecto a las publicaciones de 2021, anteriores o con fechas indefinidas.</w:t>
      </w:r>
    </w:p>
    <w:p w14:paraId="734F9DAB" w14:textId="77777777" w:rsidR="00CB0BB9" w:rsidRDefault="00CB0BB9" w:rsidP="00C73C23">
      <w:pPr>
        <w:pStyle w:val="Ttulo2"/>
        <w:ind w:left="-142"/>
        <w:rPr>
          <w:rFonts w:ascii="Arial" w:eastAsia="Arial" w:hAnsi="Arial" w:cs="Arial"/>
          <w:sz w:val="24"/>
          <w:szCs w:val="24"/>
        </w:rPr>
      </w:pPr>
      <w:r>
        <w:rPr>
          <w:rFonts w:ascii="Arial" w:eastAsia="Arial" w:hAnsi="Arial" w:cs="Arial"/>
          <w:sz w:val="24"/>
          <w:szCs w:val="24"/>
        </w:rPr>
        <w:t>1.2 ESTÁNDARES DE PUBLICACIÓN Y DIVULGACIÓN DE INFORMACIÓN</w:t>
      </w:r>
    </w:p>
    <w:p w14:paraId="50608F53" w14:textId="77777777" w:rsidR="00CB0BB9" w:rsidRDefault="00CB0BB9" w:rsidP="00C73C23">
      <w:pPr>
        <w:pBdr>
          <w:top w:val="nil"/>
          <w:left w:val="nil"/>
          <w:bottom w:val="nil"/>
          <w:right w:val="nil"/>
          <w:between w:val="nil"/>
        </w:pBdr>
        <w:spacing w:before="120" w:after="120"/>
        <w:ind w:left="-142"/>
        <w:rPr>
          <w:rFonts w:ascii="Arial" w:eastAsia="Arial" w:hAnsi="Arial" w:cs="Arial"/>
          <w:b/>
          <w:color w:val="000000"/>
          <w:sz w:val="24"/>
          <w:szCs w:val="24"/>
        </w:rPr>
      </w:pPr>
      <w:r>
        <w:rPr>
          <w:rFonts w:ascii="Arial" w:eastAsia="Arial" w:hAnsi="Arial" w:cs="Arial"/>
          <w:b/>
          <w:sz w:val="24"/>
          <w:szCs w:val="24"/>
        </w:rPr>
        <w:t xml:space="preserve">1.2.1 </w:t>
      </w:r>
      <w:r>
        <w:rPr>
          <w:rFonts w:ascii="Arial" w:eastAsia="Arial" w:hAnsi="Arial" w:cs="Arial"/>
          <w:b/>
          <w:color w:val="000000"/>
          <w:sz w:val="24"/>
          <w:szCs w:val="24"/>
        </w:rPr>
        <w:t>REQUISITOS SOBRE IDENTIDAD VISUAL Y ARTICULACIÓN CON EL PORTAL ÚNICO DEL ESTADO COLOMBIANO GOV.CO</w:t>
      </w:r>
      <w:r>
        <w:rPr>
          <w:rFonts w:ascii="Arial" w:eastAsia="Arial" w:hAnsi="Arial" w:cs="Arial"/>
          <w:color w:val="000000"/>
          <w:sz w:val="24"/>
          <w:szCs w:val="24"/>
        </w:rPr>
        <w:t>.</w:t>
      </w:r>
    </w:p>
    <w:p w14:paraId="49373DFB" w14:textId="77777777" w:rsidR="00CB0BB9" w:rsidRDefault="00CB0BB9" w:rsidP="00C73C23">
      <w:pPr>
        <w:spacing w:before="120" w:after="120"/>
        <w:ind w:left="-142"/>
        <w:jc w:val="both"/>
        <w:rPr>
          <w:rFonts w:ascii="Arial" w:eastAsia="Arial" w:hAnsi="Arial" w:cs="Arial"/>
          <w:sz w:val="24"/>
          <w:szCs w:val="24"/>
        </w:rPr>
      </w:pPr>
      <w:r>
        <w:rPr>
          <w:rFonts w:ascii="Arial" w:eastAsia="Arial" w:hAnsi="Arial" w:cs="Arial"/>
          <w:sz w:val="24"/>
          <w:szCs w:val="24"/>
        </w:rPr>
        <w:t>Se señala que los sujetos obligados deberán adoptar sus sitios web bajo los siguientes estándares y lineamientos, los cuales deberán procurar el acceso autónomo e independiente de las personas con discapacidad sensorial e intelectual:</w:t>
      </w:r>
    </w:p>
    <w:p w14:paraId="6751ABDC" w14:textId="77777777" w:rsidR="00CB0BB9" w:rsidRDefault="00CB0BB9" w:rsidP="00C73C23">
      <w:pPr>
        <w:pBdr>
          <w:top w:val="nil"/>
          <w:left w:val="nil"/>
          <w:bottom w:val="nil"/>
          <w:right w:val="nil"/>
          <w:between w:val="nil"/>
        </w:pBdr>
        <w:spacing w:before="120" w:after="120"/>
        <w:ind w:left="-142"/>
        <w:jc w:val="both"/>
        <w:rPr>
          <w:rFonts w:ascii="Arial" w:eastAsia="Arial" w:hAnsi="Arial" w:cs="Arial"/>
          <w:i/>
          <w:color w:val="000000"/>
          <w:sz w:val="24"/>
          <w:szCs w:val="24"/>
          <w:u w:val="single"/>
        </w:rPr>
      </w:pPr>
      <w:r>
        <w:rPr>
          <w:rFonts w:ascii="Arial" w:eastAsia="Arial" w:hAnsi="Arial" w:cs="Arial"/>
          <w:i/>
          <w:sz w:val="24"/>
          <w:szCs w:val="24"/>
          <w:u w:val="single"/>
        </w:rPr>
        <w:t xml:space="preserve">1.2.1.1 </w:t>
      </w:r>
      <w:r>
        <w:rPr>
          <w:rFonts w:ascii="Arial" w:eastAsia="Arial" w:hAnsi="Arial" w:cs="Arial"/>
          <w:i/>
          <w:color w:val="000000"/>
          <w:sz w:val="24"/>
          <w:szCs w:val="24"/>
          <w:u w:val="single"/>
        </w:rPr>
        <w:t>Top Bar GOV.CO</w:t>
      </w:r>
    </w:p>
    <w:p w14:paraId="433B036B" w14:textId="77777777" w:rsidR="00CB0BB9" w:rsidRPr="00E86C3C" w:rsidRDefault="00CB0BB9" w:rsidP="00C73C23">
      <w:pPr>
        <w:spacing w:before="120" w:after="120"/>
        <w:ind w:left="-142"/>
        <w:jc w:val="both"/>
        <w:rPr>
          <w:rFonts w:ascii="Arial" w:eastAsia="Arial" w:hAnsi="Arial" w:cs="Arial"/>
          <w:sz w:val="24"/>
          <w:szCs w:val="24"/>
        </w:rPr>
      </w:pPr>
      <w:r w:rsidRPr="00E86C3C">
        <w:rPr>
          <w:rFonts w:ascii="Arial" w:eastAsia="Arial" w:hAnsi="Arial" w:cs="Arial"/>
          <w:sz w:val="24"/>
          <w:szCs w:val="24"/>
        </w:rPr>
        <w:t xml:space="preserve">Los sujetos obligados deben acondicionar una barra con acceso al Portal Único del Estado Colombiano GOV.CO ubicada en la parte superior de todas las páginas y visitas. La barra de GOV.CO contendrá su respectivo logotipo el cual deberá dirigir al sitio web </w:t>
      </w:r>
      <w:hyperlink r:id="rId8">
        <w:r w:rsidRPr="00E86C3C">
          <w:rPr>
            <w:rFonts w:ascii="Arial" w:eastAsia="Arial" w:hAnsi="Arial" w:cs="Arial"/>
            <w:sz w:val="24"/>
            <w:szCs w:val="24"/>
          </w:rPr>
          <w:t>https://www.gov.co</w:t>
        </w:r>
      </w:hyperlink>
      <w:r w:rsidRPr="00E86C3C">
        <w:rPr>
          <w:rFonts w:ascii="Arial" w:eastAsia="Arial" w:hAnsi="Arial" w:cs="Arial"/>
          <w:sz w:val="24"/>
          <w:szCs w:val="24"/>
        </w:rPr>
        <w:t xml:space="preserve">. </w:t>
      </w:r>
    </w:p>
    <w:p w14:paraId="49FEFA4F" w14:textId="77777777" w:rsidR="00CB0BB9" w:rsidRDefault="00CB0BB9" w:rsidP="00C73C23">
      <w:pPr>
        <w:spacing w:before="120" w:after="120"/>
        <w:ind w:left="-142" w:right="-91"/>
        <w:rPr>
          <w:rFonts w:ascii="Arial" w:eastAsia="Arial" w:hAnsi="Arial" w:cs="Arial"/>
          <w:sz w:val="24"/>
          <w:szCs w:val="24"/>
        </w:rPr>
      </w:pPr>
      <w:r>
        <w:rPr>
          <w:rFonts w:ascii="Arial" w:eastAsia="Arial" w:hAnsi="Arial" w:cs="Arial"/>
          <w:noProof/>
          <w:sz w:val="24"/>
          <w:szCs w:val="24"/>
          <w:lang w:val="es-CO" w:eastAsia="es-CO"/>
        </w:rPr>
        <w:drawing>
          <wp:inline distT="0" distB="0" distL="0" distR="0" wp14:anchorId="3C9AE2A5" wp14:editId="031B6913">
            <wp:extent cx="6192000" cy="2084705"/>
            <wp:effectExtent l="19050" t="19050" r="18415" b="10795"/>
            <wp:docPr id="70" name="image4.png" descr="Captura Menú de Transparencia y Acceso a la Información Pública en la página web."/>
            <wp:cNvGraphicFramePr/>
            <a:graphic xmlns:a="http://schemas.openxmlformats.org/drawingml/2006/main">
              <a:graphicData uri="http://schemas.openxmlformats.org/drawingml/2006/picture">
                <pic:pic xmlns:pic="http://schemas.openxmlformats.org/drawingml/2006/picture">
                  <pic:nvPicPr>
                    <pic:cNvPr id="0" name="image4.png" descr="Captura Menú de Transparencia y Acceso a la Información Pública en la página web."/>
                    <pic:cNvPicPr preferRelativeResize="0"/>
                  </pic:nvPicPr>
                  <pic:blipFill>
                    <a:blip r:embed="rId9"/>
                    <a:srcRect t="7843" b="32105"/>
                    <a:stretch>
                      <a:fillRect/>
                    </a:stretch>
                  </pic:blipFill>
                  <pic:spPr>
                    <a:xfrm>
                      <a:off x="0" y="0"/>
                      <a:ext cx="6192000" cy="2084705"/>
                    </a:xfrm>
                    <a:prstGeom prst="rect">
                      <a:avLst/>
                    </a:prstGeom>
                    <a:ln w="9525">
                      <a:solidFill>
                        <a:srgbClr val="000000"/>
                      </a:solidFill>
                      <a:prstDash val="solid"/>
                    </a:ln>
                  </pic:spPr>
                </pic:pic>
              </a:graphicData>
            </a:graphic>
          </wp:inline>
        </w:drawing>
      </w:r>
    </w:p>
    <w:p w14:paraId="55D58BC1" w14:textId="77777777" w:rsidR="00CB0BB9" w:rsidRDefault="00CB0BB9" w:rsidP="00C73C23">
      <w:pPr>
        <w:spacing w:before="120" w:after="120"/>
        <w:ind w:left="-142"/>
        <w:jc w:val="both"/>
        <w:rPr>
          <w:rFonts w:ascii="Arial" w:eastAsia="Arial" w:hAnsi="Arial" w:cs="Arial"/>
          <w:sz w:val="24"/>
          <w:szCs w:val="24"/>
        </w:rPr>
      </w:pPr>
      <w:r>
        <w:rPr>
          <w:rFonts w:ascii="Arial" w:eastAsia="Arial" w:hAnsi="Arial" w:cs="Arial"/>
          <w:sz w:val="24"/>
          <w:szCs w:val="24"/>
        </w:rPr>
        <w:t xml:space="preserve">En la página web institucional se </w:t>
      </w:r>
      <w:r w:rsidRPr="00E86C3C">
        <w:rPr>
          <w:rFonts w:ascii="Arial" w:eastAsia="Arial" w:hAnsi="Arial" w:cs="Arial"/>
          <w:sz w:val="24"/>
          <w:szCs w:val="24"/>
        </w:rPr>
        <w:t>identifica la barra superior completa, con el logotipo que redirige hacia el Portal Único del Estado Colombiano GOV.CO (</w:t>
      </w:r>
      <w:hyperlink r:id="rId10">
        <w:r w:rsidRPr="00E86C3C">
          <w:rPr>
            <w:rFonts w:ascii="Arial" w:eastAsia="Arial" w:hAnsi="Arial" w:cs="Arial"/>
            <w:sz w:val="24"/>
            <w:szCs w:val="24"/>
          </w:rPr>
          <w:t>https://www.gov.co/</w:t>
        </w:r>
      </w:hyperlink>
      <w:r w:rsidRPr="00E86C3C">
        <w:rPr>
          <w:rFonts w:ascii="Arial" w:eastAsia="Arial" w:hAnsi="Arial" w:cs="Arial"/>
          <w:sz w:val="24"/>
          <w:szCs w:val="24"/>
        </w:rPr>
        <w:t>).</w:t>
      </w:r>
    </w:p>
    <w:p w14:paraId="7C5F49E5" w14:textId="77777777" w:rsidR="00CB0BB9" w:rsidRDefault="00CB0BB9" w:rsidP="00CB0BB9">
      <w:pPr>
        <w:spacing w:before="120" w:after="120"/>
        <w:ind w:left="-142" w:right="-91"/>
        <w:jc w:val="both"/>
        <w:rPr>
          <w:rFonts w:ascii="Arial" w:eastAsia="Arial" w:hAnsi="Arial" w:cs="Arial"/>
          <w:sz w:val="24"/>
          <w:szCs w:val="24"/>
        </w:rPr>
      </w:pPr>
      <w:r>
        <w:rPr>
          <w:rFonts w:ascii="Arial" w:eastAsia="Arial" w:hAnsi="Arial" w:cs="Arial"/>
          <w:noProof/>
          <w:sz w:val="24"/>
          <w:szCs w:val="24"/>
          <w:lang w:val="es-CO" w:eastAsia="es-CO"/>
        </w:rPr>
        <w:lastRenderedPageBreak/>
        <w:drawing>
          <wp:inline distT="0" distB="0" distL="0" distR="0" wp14:anchorId="1857E07C" wp14:editId="6553D663">
            <wp:extent cx="6192000" cy="1710593"/>
            <wp:effectExtent l="19050" t="19050" r="18415" b="23495"/>
            <wp:docPr id="72" name="image17.png" descr="Captura de pantalla del Portal Único de Estado Colombiano GOV.CO"/>
            <wp:cNvGraphicFramePr/>
            <a:graphic xmlns:a="http://schemas.openxmlformats.org/drawingml/2006/main">
              <a:graphicData uri="http://schemas.openxmlformats.org/drawingml/2006/picture">
                <pic:pic xmlns:pic="http://schemas.openxmlformats.org/drawingml/2006/picture">
                  <pic:nvPicPr>
                    <pic:cNvPr id="0" name="image17.png" descr="Captura de pantalla del Portal Único de Estado Colombiano GOV.CO"/>
                    <pic:cNvPicPr preferRelativeResize="0"/>
                  </pic:nvPicPr>
                  <pic:blipFill>
                    <a:blip r:embed="rId11"/>
                    <a:srcRect t="3621" b="47194"/>
                    <a:stretch>
                      <a:fillRect/>
                    </a:stretch>
                  </pic:blipFill>
                  <pic:spPr>
                    <a:xfrm>
                      <a:off x="0" y="0"/>
                      <a:ext cx="6192000" cy="1710593"/>
                    </a:xfrm>
                    <a:prstGeom prst="rect">
                      <a:avLst/>
                    </a:prstGeom>
                    <a:ln w="9525">
                      <a:solidFill>
                        <a:srgbClr val="000000"/>
                      </a:solidFill>
                      <a:prstDash val="solid"/>
                    </a:ln>
                  </pic:spPr>
                </pic:pic>
              </a:graphicData>
            </a:graphic>
          </wp:inline>
        </w:drawing>
      </w:r>
    </w:p>
    <w:p w14:paraId="6EA2CDC6" w14:textId="77777777" w:rsidR="00CB0BB9" w:rsidRDefault="00CB0BB9" w:rsidP="00C73C23">
      <w:pPr>
        <w:pBdr>
          <w:top w:val="nil"/>
          <w:left w:val="nil"/>
          <w:bottom w:val="nil"/>
          <w:right w:val="nil"/>
          <w:between w:val="nil"/>
        </w:pBdr>
        <w:spacing w:before="120" w:after="120"/>
        <w:ind w:left="-142"/>
        <w:jc w:val="both"/>
        <w:rPr>
          <w:rFonts w:ascii="Arial" w:eastAsia="Arial" w:hAnsi="Arial" w:cs="Arial"/>
          <w:i/>
          <w:color w:val="000000"/>
          <w:sz w:val="24"/>
          <w:szCs w:val="24"/>
          <w:u w:val="single"/>
        </w:rPr>
      </w:pPr>
      <w:r>
        <w:rPr>
          <w:rFonts w:ascii="Arial" w:eastAsia="Arial" w:hAnsi="Arial" w:cs="Arial"/>
          <w:i/>
          <w:sz w:val="24"/>
          <w:szCs w:val="24"/>
          <w:u w:val="single"/>
        </w:rPr>
        <w:t xml:space="preserve">1.2.1.2 </w:t>
      </w:r>
      <w:r>
        <w:rPr>
          <w:rFonts w:ascii="Arial" w:eastAsia="Arial" w:hAnsi="Arial" w:cs="Arial"/>
          <w:i/>
          <w:color w:val="000000"/>
          <w:sz w:val="24"/>
          <w:szCs w:val="24"/>
          <w:u w:val="single"/>
        </w:rPr>
        <w:t>Footer o Pie de Página</w:t>
      </w:r>
    </w:p>
    <w:p w14:paraId="76BD213C" w14:textId="77777777" w:rsidR="00CB0BB9" w:rsidRDefault="00CB0BB9" w:rsidP="00C73C23">
      <w:pPr>
        <w:spacing w:before="120" w:after="120"/>
        <w:ind w:left="-142"/>
        <w:jc w:val="both"/>
        <w:rPr>
          <w:rFonts w:ascii="Arial" w:eastAsia="Arial" w:hAnsi="Arial" w:cs="Arial"/>
          <w:sz w:val="24"/>
          <w:szCs w:val="24"/>
        </w:rPr>
      </w:pPr>
      <w:r>
        <w:rPr>
          <w:rFonts w:ascii="Arial" w:eastAsia="Arial" w:hAnsi="Arial" w:cs="Arial"/>
          <w:sz w:val="24"/>
          <w:szCs w:val="24"/>
        </w:rPr>
        <w:t>Los sujetos obligados deben acondicionar un pie de página que incluya la siguiente información:</w:t>
      </w:r>
    </w:p>
    <w:p w14:paraId="50B0E1D3" w14:textId="77777777" w:rsidR="00CB0BB9" w:rsidRDefault="00CB0BB9" w:rsidP="00C73C23">
      <w:pPr>
        <w:numPr>
          <w:ilvl w:val="0"/>
          <w:numId w:val="17"/>
        </w:numPr>
        <w:pBdr>
          <w:top w:val="nil"/>
          <w:left w:val="nil"/>
          <w:bottom w:val="nil"/>
          <w:right w:val="nil"/>
          <w:between w:val="nil"/>
        </w:pBdr>
        <w:ind w:left="284" w:hanging="426"/>
        <w:jc w:val="both"/>
        <w:rPr>
          <w:rFonts w:ascii="Arial" w:eastAsia="Arial" w:hAnsi="Arial" w:cs="Arial"/>
          <w:sz w:val="24"/>
          <w:szCs w:val="24"/>
        </w:rPr>
      </w:pPr>
      <w:r>
        <w:rPr>
          <w:rFonts w:ascii="Arial" w:eastAsia="Arial" w:hAnsi="Arial" w:cs="Arial"/>
          <w:color w:val="000000"/>
          <w:sz w:val="24"/>
          <w:szCs w:val="24"/>
        </w:rPr>
        <w:t>Imagen del Portal Único del Estado Colombiano y el logo de la marca país CO Colombia.</w:t>
      </w:r>
    </w:p>
    <w:p w14:paraId="2CD42C34" w14:textId="77777777" w:rsidR="00CB0BB9" w:rsidRDefault="00CB0BB9" w:rsidP="00C73C23">
      <w:pPr>
        <w:numPr>
          <w:ilvl w:val="0"/>
          <w:numId w:val="17"/>
        </w:numPr>
        <w:pBdr>
          <w:top w:val="nil"/>
          <w:left w:val="nil"/>
          <w:bottom w:val="nil"/>
          <w:right w:val="nil"/>
          <w:between w:val="nil"/>
        </w:pBdr>
        <w:ind w:left="284" w:hanging="426"/>
        <w:jc w:val="both"/>
        <w:rPr>
          <w:rFonts w:ascii="Arial" w:eastAsia="Arial" w:hAnsi="Arial" w:cs="Arial"/>
          <w:sz w:val="24"/>
          <w:szCs w:val="24"/>
        </w:rPr>
      </w:pPr>
      <w:r>
        <w:rPr>
          <w:rFonts w:ascii="Arial" w:eastAsia="Arial" w:hAnsi="Arial" w:cs="Arial"/>
          <w:color w:val="000000"/>
          <w:sz w:val="24"/>
          <w:szCs w:val="24"/>
        </w:rPr>
        <w:t xml:space="preserve">Nombre de la entidad, como mínimo una dirección incluyendo el departamento (si aplica) y municipio o distrito. </w:t>
      </w:r>
    </w:p>
    <w:p w14:paraId="62B0847B" w14:textId="77777777" w:rsidR="00CB0BB9" w:rsidRDefault="00CB0BB9" w:rsidP="00C73C23">
      <w:pPr>
        <w:numPr>
          <w:ilvl w:val="0"/>
          <w:numId w:val="17"/>
        </w:numPr>
        <w:pBdr>
          <w:top w:val="nil"/>
          <w:left w:val="nil"/>
          <w:bottom w:val="nil"/>
          <w:right w:val="nil"/>
          <w:between w:val="nil"/>
        </w:pBdr>
        <w:ind w:left="284" w:hanging="426"/>
        <w:jc w:val="both"/>
        <w:rPr>
          <w:rFonts w:ascii="Arial" w:eastAsia="Arial" w:hAnsi="Arial" w:cs="Arial"/>
          <w:sz w:val="24"/>
          <w:szCs w:val="24"/>
        </w:rPr>
      </w:pPr>
      <w:r>
        <w:rPr>
          <w:rFonts w:ascii="Arial" w:eastAsia="Arial" w:hAnsi="Arial" w:cs="Arial"/>
          <w:color w:val="000000"/>
          <w:sz w:val="24"/>
          <w:szCs w:val="24"/>
        </w:rPr>
        <w:t>Vínculo a redes sociales, para ser redireccionado en los botones respectivos. La autoridad deberá, en virtud del artículo 16 del Decreto 2106 de 2019, y del capítulo V del Decreto Nacional 1080 de 2014, y demás normas expedidas por el Archivo General de la Nación relacionadas, disponer de lo necesario para que la emisión, recepción y gestión de comunicaciones oficiales, a través de los diversos canales electrónicos, asegure un adecuado tratamiento archivístico y estar debidamente alineado con la gestión documental electrónica y de archivo digital.</w:t>
      </w:r>
    </w:p>
    <w:p w14:paraId="28D7485D" w14:textId="77777777" w:rsidR="00CB0BB9" w:rsidRDefault="00CB0BB9" w:rsidP="00C73C23">
      <w:pPr>
        <w:numPr>
          <w:ilvl w:val="0"/>
          <w:numId w:val="17"/>
        </w:numPr>
        <w:pBdr>
          <w:top w:val="nil"/>
          <w:left w:val="nil"/>
          <w:bottom w:val="nil"/>
          <w:right w:val="nil"/>
          <w:between w:val="nil"/>
        </w:pBdr>
        <w:ind w:left="284" w:hanging="426"/>
        <w:jc w:val="both"/>
        <w:rPr>
          <w:rFonts w:ascii="Arial" w:eastAsia="Arial" w:hAnsi="Arial" w:cs="Arial"/>
          <w:sz w:val="24"/>
          <w:szCs w:val="24"/>
        </w:rPr>
      </w:pPr>
      <w:r>
        <w:rPr>
          <w:rFonts w:ascii="Arial" w:eastAsia="Arial" w:hAnsi="Arial" w:cs="Arial"/>
          <w:color w:val="000000"/>
          <w:sz w:val="24"/>
          <w:szCs w:val="24"/>
        </w:rPr>
        <w:t>Datos de contacto, incluyendo: teléfono conmutador, línea gratuita o línea de servicio a la ciudadanía/usuario, línea anticorrupción, identificación de canales físicos y electrónicos para atención al público, correo de notificaciones judiciales, enlace para el mapa del sitio, enlace para vincular a las políticas que hace referencia en el numeral 2.3. Todas las líneas telefónicas deberán incluir el prefijo de país +57, y el número significativo nacional (indicativo nacional) que determine la Comisión de Regulación de Comunicaciones.</w:t>
      </w:r>
    </w:p>
    <w:p w14:paraId="65FFDDEB" w14:textId="77777777" w:rsidR="00CB0BB9" w:rsidRDefault="00CB0BB9" w:rsidP="00C73C23">
      <w:pPr>
        <w:numPr>
          <w:ilvl w:val="0"/>
          <w:numId w:val="17"/>
        </w:numPr>
        <w:pBdr>
          <w:top w:val="nil"/>
          <w:left w:val="nil"/>
          <w:bottom w:val="nil"/>
          <w:right w:val="nil"/>
          <w:between w:val="nil"/>
        </w:pBdr>
        <w:ind w:left="284" w:hanging="426"/>
        <w:jc w:val="both"/>
        <w:rPr>
          <w:rFonts w:ascii="Arial" w:eastAsia="Arial" w:hAnsi="Arial" w:cs="Arial"/>
          <w:sz w:val="24"/>
          <w:szCs w:val="24"/>
        </w:rPr>
      </w:pPr>
      <w:r>
        <w:rPr>
          <w:rFonts w:ascii="Arial" w:eastAsia="Arial" w:hAnsi="Arial" w:cs="Arial"/>
          <w:color w:val="000000"/>
          <w:sz w:val="24"/>
          <w:szCs w:val="24"/>
        </w:rPr>
        <w:t>Para las entidades territoriales la paleta de colores podrá variar, conforme con los colores institucionales del respectivo sujeto obligado.</w:t>
      </w:r>
    </w:p>
    <w:p w14:paraId="23F15AD0" w14:textId="77777777" w:rsidR="00CB0BB9" w:rsidRDefault="00CB0BB9" w:rsidP="00CB0BB9">
      <w:pPr>
        <w:spacing w:before="120" w:after="120"/>
        <w:ind w:left="-142" w:right="-91"/>
        <w:jc w:val="both"/>
        <w:rPr>
          <w:rFonts w:ascii="Arial" w:eastAsia="Arial" w:hAnsi="Arial" w:cs="Arial"/>
          <w:sz w:val="24"/>
          <w:szCs w:val="24"/>
        </w:rPr>
      </w:pPr>
      <w:r>
        <w:rPr>
          <w:rFonts w:ascii="Arial" w:eastAsia="Arial" w:hAnsi="Arial" w:cs="Arial"/>
          <w:noProof/>
          <w:sz w:val="24"/>
          <w:szCs w:val="24"/>
          <w:lang w:val="es-CO" w:eastAsia="es-CO"/>
        </w:rPr>
        <w:drawing>
          <wp:inline distT="0" distB="0" distL="0" distR="0" wp14:anchorId="3B24C4F8" wp14:editId="7C7AB35F">
            <wp:extent cx="6192000" cy="1320165"/>
            <wp:effectExtent l="19050" t="19050" r="18415" b="13335"/>
            <wp:docPr id="71" name="image3.png" descr="Pie de página."/>
            <wp:cNvGraphicFramePr/>
            <a:graphic xmlns:a="http://schemas.openxmlformats.org/drawingml/2006/main">
              <a:graphicData uri="http://schemas.openxmlformats.org/drawingml/2006/picture">
                <pic:pic xmlns:pic="http://schemas.openxmlformats.org/drawingml/2006/picture">
                  <pic:nvPicPr>
                    <pic:cNvPr id="71" name="image3.png" descr="Pie de página."/>
                    <pic:cNvPicPr preferRelativeResize="0"/>
                  </pic:nvPicPr>
                  <pic:blipFill>
                    <a:blip r:embed="rId12"/>
                    <a:srcRect t="56729" b="5249"/>
                    <a:stretch>
                      <a:fillRect/>
                    </a:stretch>
                  </pic:blipFill>
                  <pic:spPr>
                    <a:xfrm>
                      <a:off x="0" y="0"/>
                      <a:ext cx="6192000" cy="1320165"/>
                    </a:xfrm>
                    <a:prstGeom prst="rect">
                      <a:avLst/>
                    </a:prstGeom>
                    <a:ln w="9525">
                      <a:solidFill>
                        <a:srgbClr val="000000"/>
                      </a:solidFill>
                      <a:prstDash val="solid"/>
                    </a:ln>
                  </pic:spPr>
                </pic:pic>
              </a:graphicData>
            </a:graphic>
          </wp:inline>
        </w:drawing>
      </w:r>
    </w:p>
    <w:p w14:paraId="7D359A40" w14:textId="77777777" w:rsidR="00CB0BB9" w:rsidRDefault="00CB0BB9" w:rsidP="00C73C23">
      <w:pPr>
        <w:spacing w:before="120" w:after="120"/>
        <w:ind w:left="-142"/>
        <w:jc w:val="both"/>
        <w:rPr>
          <w:rFonts w:ascii="Arial" w:eastAsia="Arial" w:hAnsi="Arial" w:cs="Arial"/>
          <w:sz w:val="24"/>
          <w:szCs w:val="24"/>
        </w:rPr>
      </w:pPr>
      <w:r>
        <w:rPr>
          <w:rFonts w:ascii="Arial" w:eastAsia="Arial" w:hAnsi="Arial" w:cs="Arial"/>
          <w:sz w:val="24"/>
          <w:szCs w:val="24"/>
        </w:rPr>
        <w:t xml:space="preserve">El pie de página incluye imagen del Portal único del Estado Colombiano, el logo de la marca país, nombre de la entidad, dirección, distrito, vínculo a redes sociales y teléfonos. </w:t>
      </w:r>
    </w:p>
    <w:p w14:paraId="0C6B8E67" w14:textId="77777777" w:rsidR="00CB0BB9" w:rsidRDefault="00CB0BB9" w:rsidP="00C73C23">
      <w:pPr>
        <w:pBdr>
          <w:top w:val="nil"/>
          <w:left w:val="nil"/>
          <w:bottom w:val="nil"/>
          <w:right w:val="nil"/>
          <w:between w:val="nil"/>
        </w:pBdr>
        <w:spacing w:before="120" w:after="120"/>
        <w:ind w:left="-142"/>
        <w:jc w:val="both"/>
        <w:rPr>
          <w:rFonts w:ascii="Arial" w:eastAsia="Arial" w:hAnsi="Arial" w:cs="Arial"/>
          <w:i/>
          <w:color w:val="000000"/>
          <w:sz w:val="24"/>
          <w:szCs w:val="24"/>
          <w:u w:val="single"/>
        </w:rPr>
      </w:pPr>
      <w:r>
        <w:rPr>
          <w:rFonts w:ascii="Arial" w:eastAsia="Arial" w:hAnsi="Arial" w:cs="Arial"/>
          <w:i/>
          <w:sz w:val="24"/>
          <w:szCs w:val="24"/>
          <w:u w:val="single"/>
        </w:rPr>
        <w:t xml:space="preserve">1.2.1.3 </w:t>
      </w:r>
      <w:r>
        <w:rPr>
          <w:rFonts w:ascii="Arial" w:eastAsia="Arial" w:hAnsi="Arial" w:cs="Arial"/>
          <w:i/>
          <w:color w:val="000000"/>
          <w:sz w:val="24"/>
          <w:szCs w:val="24"/>
          <w:u w:val="single"/>
        </w:rPr>
        <w:t xml:space="preserve">Requisitos mínimos de políticas de cumplimiento legal </w:t>
      </w:r>
    </w:p>
    <w:p w14:paraId="1542B05B" w14:textId="77777777" w:rsidR="00CB0BB9" w:rsidRPr="00B10D42" w:rsidRDefault="00CB0BB9" w:rsidP="00C73C23">
      <w:pPr>
        <w:spacing w:before="120" w:after="120"/>
        <w:ind w:left="-142"/>
        <w:jc w:val="both"/>
        <w:rPr>
          <w:rFonts w:ascii="Arial" w:eastAsia="Arial" w:hAnsi="Arial" w:cs="Arial"/>
          <w:sz w:val="24"/>
          <w:szCs w:val="24"/>
        </w:rPr>
      </w:pPr>
      <w:r>
        <w:rPr>
          <w:rFonts w:ascii="Arial" w:eastAsia="Arial" w:hAnsi="Arial" w:cs="Arial"/>
          <w:sz w:val="24"/>
          <w:szCs w:val="24"/>
        </w:rPr>
        <w:lastRenderedPageBreak/>
        <w:t xml:space="preserve">Los sujetos </w:t>
      </w:r>
      <w:r w:rsidRPr="00B10D42">
        <w:rPr>
          <w:rFonts w:ascii="Arial" w:eastAsia="Arial" w:hAnsi="Arial" w:cs="Arial"/>
          <w:sz w:val="24"/>
          <w:szCs w:val="24"/>
        </w:rPr>
        <w:t>obligados deberán publicar en el pie de página o footer, los documentos aprobados que hagan referencia a las siguientes políticas:</w:t>
      </w:r>
    </w:p>
    <w:p w14:paraId="3A74499B" w14:textId="77777777" w:rsidR="00CB0BB9" w:rsidRPr="00B10D42" w:rsidRDefault="00CB0BB9" w:rsidP="00C73C23">
      <w:pPr>
        <w:numPr>
          <w:ilvl w:val="0"/>
          <w:numId w:val="19"/>
        </w:numPr>
        <w:pBdr>
          <w:top w:val="nil"/>
          <w:left w:val="nil"/>
          <w:bottom w:val="nil"/>
          <w:right w:val="nil"/>
          <w:between w:val="nil"/>
        </w:pBdr>
        <w:ind w:left="284" w:hanging="284"/>
        <w:jc w:val="both"/>
        <w:rPr>
          <w:rFonts w:ascii="Arial" w:eastAsia="Arial" w:hAnsi="Arial" w:cs="Arial"/>
          <w:color w:val="000000"/>
          <w:sz w:val="24"/>
          <w:szCs w:val="24"/>
        </w:rPr>
      </w:pPr>
      <w:r w:rsidRPr="00B10D42">
        <w:rPr>
          <w:rFonts w:ascii="Arial" w:eastAsia="Arial" w:hAnsi="Arial" w:cs="Arial"/>
          <w:color w:val="000000"/>
          <w:sz w:val="24"/>
          <w:szCs w:val="24"/>
        </w:rPr>
        <w:t>Términos y condiciones</w:t>
      </w:r>
    </w:p>
    <w:p w14:paraId="1A38A224" w14:textId="77777777" w:rsidR="00CB0BB9" w:rsidRDefault="00CB0BB9" w:rsidP="00C73C23">
      <w:pPr>
        <w:numPr>
          <w:ilvl w:val="0"/>
          <w:numId w:val="19"/>
        </w:numPr>
        <w:pBdr>
          <w:top w:val="nil"/>
          <w:left w:val="nil"/>
          <w:bottom w:val="nil"/>
          <w:right w:val="nil"/>
          <w:between w:val="nil"/>
        </w:pBdr>
        <w:ind w:left="284" w:hanging="284"/>
        <w:jc w:val="both"/>
        <w:rPr>
          <w:rFonts w:ascii="Arial" w:eastAsia="Arial" w:hAnsi="Arial" w:cs="Arial"/>
          <w:color w:val="000000"/>
          <w:sz w:val="24"/>
          <w:szCs w:val="24"/>
        </w:rPr>
      </w:pPr>
      <w:r>
        <w:rPr>
          <w:rFonts w:ascii="Arial" w:eastAsia="Arial" w:hAnsi="Arial" w:cs="Arial"/>
          <w:color w:val="000000"/>
          <w:sz w:val="24"/>
          <w:szCs w:val="24"/>
        </w:rPr>
        <w:t>Política de privacidad y tratamiento de datos personales.</w:t>
      </w:r>
    </w:p>
    <w:p w14:paraId="09B108F6" w14:textId="77777777" w:rsidR="00CB0BB9" w:rsidRDefault="00CB0BB9" w:rsidP="00C73C23">
      <w:pPr>
        <w:numPr>
          <w:ilvl w:val="0"/>
          <w:numId w:val="19"/>
        </w:numPr>
        <w:pBdr>
          <w:top w:val="nil"/>
          <w:left w:val="nil"/>
          <w:bottom w:val="nil"/>
          <w:right w:val="nil"/>
          <w:between w:val="nil"/>
        </w:pBdr>
        <w:ind w:left="284" w:hanging="284"/>
        <w:jc w:val="both"/>
        <w:rPr>
          <w:rFonts w:ascii="Arial" w:eastAsia="Arial" w:hAnsi="Arial" w:cs="Arial"/>
          <w:color w:val="000000"/>
          <w:sz w:val="24"/>
          <w:szCs w:val="24"/>
        </w:rPr>
      </w:pPr>
      <w:r>
        <w:rPr>
          <w:rFonts w:ascii="Arial" w:eastAsia="Arial" w:hAnsi="Arial" w:cs="Arial"/>
          <w:color w:val="000000"/>
          <w:sz w:val="24"/>
          <w:szCs w:val="24"/>
        </w:rPr>
        <w:t>Política de derechos de autor y/o autorización de uso sobre los contenidos.</w:t>
      </w:r>
    </w:p>
    <w:p w14:paraId="67B17C96" w14:textId="77777777" w:rsidR="00CB0BB9" w:rsidRDefault="00CB0BB9" w:rsidP="00C73C23">
      <w:pPr>
        <w:numPr>
          <w:ilvl w:val="0"/>
          <w:numId w:val="19"/>
        </w:numPr>
        <w:pBdr>
          <w:top w:val="nil"/>
          <w:left w:val="nil"/>
          <w:bottom w:val="nil"/>
          <w:right w:val="nil"/>
          <w:between w:val="nil"/>
        </w:pBdr>
        <w:ind w:left="284" w:hanging="284"/>
        <w:jc w:val="both"/>
        <w:rPr>
          <w:rFonts w:ascii="Arial" w:eastAsia="Arial" w:hAnsi="Arial" w:cs="Arial"/>
          <w:color w:val="000000"/>
          <w:sz w:val="24"/>
          <w:szCs w:val="24"/>
        </w:rPr>
      </w:pPr>
      <w:r>
        <w:rPr>
          <w:rFonts w:ascii="Arial" w:eastAsia="Arial" w:hAnsi="Arial" w:cs="Arial"/>
          <w:color w:val="000000"/>
          <w:sz w:val="24"/>
          <w:szCs w:val="24"/>
        </w:rPr>
        <w:t>Otras que correspondan conforme con la normativa vigente.</w:t>
      </w:r>
    </w:p>
    <w:p w14:paraId="1F0581AD" w14:textId="1D5B57D2" w:rsidR="00CB0BB9" w:rsidRDefault="00CB0BB9" w:rsidP="00C73C23">
      <w:pPr>
        <w:spacing w:before="120" w:after="120"/>
        <w:ind w:left="-142"/>
        <w:jc w:val="both"/>
        <w:rPr>
          <w:rFonts w:ascii="Arial" w:eastAsia="Arial" w:hAnsi="Arial" w:cs="Arial"/>
          <w:sz w:val="24"/>
          <w:szCs w:val="24"/>
        </w:rPr>
      </w:pPr>
      <w:r>
        <w:rPr>
          <w:rFonts w:ascii="Arial" w:eastAsia="Arial" w:hAnsi="Arial" w:cs="Arial"/>
          <w:sz w:val="24"/>
          <w:szCs w:val="24"/>
        </w:rPr>
        <w:t>En el pie de página se encuentran listadas la política de privacidad y tratamiento de datos personales, los términos y condiciones y la política de derechos de autor. No obstante, el enlace de la política de derechos de autor no se encuentra disponible para su consulta.</w:t>
      </w:r>
    </w:p>
    <w:p w14:paraId="5444DA3F" w14:textId="0B9A762A" w:rsidR="00763A2C" w:rsidRDefault="00763A2C" w:rsidP="00C73C23">
      <w:pPr>
        <w:spacing w:before="120" w:after="120"/>
        <w:ind w:left="-142"/>
        <w:jc w:val="both"/>
        <w:rPr>
          <w:rFonts w:ascii="Arial" w:eastAsia="Arial" w:hAnsi="Arial" w:cs="Arial"/>
          <w:color w:val="002060"/>
          <w:sz w:val="24"/>
          <w:szCs w:val="24"/>
        </w:rPr>
      </w:pPr>
      <w:r w:rsidRPr="00204B48">
        <w:rPr>
          <w:rFonts w:ascii="Arial" w:eastAsia="Arial" w:hAnsi="Arial" w:cs="Arial"/>
          <w:b/>
          <w:color w:val="002060"/>
          <w:sz w:val="24"/>
          <w:szCs w:val="24"/>
        </w:rPr>
        <w:t>Respuesta del proceso:</w:t>
      </w:r>
      <w:r w:rsidRPr="00763A2C">
        <w:rPr>
          <w:rFonts w:ascii="Arial" w:eastAsia="Arial" w:hAnsi="Arial" w:cs="Arial"/>
          <w:color w:val="002060"/>
          <w:sz w:val="24"/>
          <w:szCs w:val="24"/>
        </w:rPr>
        <w:t xml:space="preserve"> Luego de nuestra ultima mesa de trabajo, la OAJ adjuntó la política de derechos de autor y ahora todas las políticas se encuentran en este enlace: https://idpc.gov.co/politica-de-proteccion-de-datos-personales</w:t>
      </w:r>
    </w:p>
    <w:p w14:paraId="7B3D2939" w14:textId="662C3E9C" w:rsidR="0067432B" w:rsidRPr="00763A2C" w:rsidRDefault="0067432B" w:rsidP="00C73C23">
      <w:pPr>
        <w:spacing w:before="120" w:after="120"/>
        <w:ind w:left="-142"/>
        <w:jc w:val="both"/>
        <w:rPr>
          <w:rFonts w:ascii="Arial" w:eastAsia="Arial" w:hAnsi="Arial" w:cs="Arial"/>
          <w:color w:val="002060"/>
          <w:sz w:val="24"/>
          <w:szCs w:val="24"/>
        </w:rPr>
      </w:pPr>
      <w:r w:rsidRPr="0067432B">
        <w:rPr>
          <w:rFonts w:ascii="Arial" w:eastAsia="Arial" w:hAnsi="Arial" w:cs="Arial"/>
          <w:color w:val="002060"/>
          <w:sz w:val="24"/>
          <w:szCs w:val="24"/>
        </w:rPr>
        <w:t xml:space="preserve">Siguiendo el esquema del ITA de la Procuraduría General de la Nación las políticas se agruparon en un solo link. Lo relacionado con la Política de Derechos de Autor se encuentra contemplado en el documento de Términos y </w:t>
      </w:r>
      <w:r w:rsidR="00B10D42" w:rsidRPr="0067432B">
        <w:rPr>
          <w:rFonts w:ascii="Arial" w:eastAsia="Arial" w:hAnsi="Arial" w:cs="Arial"/>
          <w:color w:val="002060"/>
          <w:sz w:val="24"/>
          <w:szCs w:val="24"/>
        </w:rPr>
        <w:t>Condiciones,</w:t>
      </w:r>
      <w:r w:rsidRPr="0067432B">
        <w:rPr>
          <w:rFonts w:ascii="Arial" w:eastAsia="Arial" w:hAnsi="Arial" w:cs="Arial"/>
          <w:color w:val="002060"/>
          <w:sz w:val="24"/>
          <w:szCs w:val="24"/>
        </w:rPr>
        <w:t xml:space="preserve"> pero se hace referencia expresa en el link: › Política de privacidad y condiciones de uso</w:t>
      </w:r>
    </w:p>
    <w:p w14:paraId="5C41257C" w14:textId="4FD8EF05" w:rsidR="00763A2C" w:rsidRDefault="00763A2C" w:rsidP="00C73C23">
      <w:pPr>
        <w:spacing w:before="120" w:after="120"/>
        <w:ind w:left="-142"/>
        <w:jc w:val="both"/>
        <w:rPr>
          <w:rFonts w:ascii="Arial" w:eastAsia="Arial" w:hAnsi="Arial" w:cs="Arial"/>
          <w:color w:val="7030A0"/>
          <w:sz w:val="24"/>
          <w:szCs w:val="24"/>
        </w:rPr>
      </w:pPr>
      <w:r w:rsidRPr="00204B48">
        <w:rPr>
          <w:rFonts w:ascii="Arial" w:eastAsia="Arial" w:hAnsi="Arial" w:cs="Arial"/>
          <w:b/>
          <w:color w:val="7030A0"/>
          <w:sz w:val="24"/>
          <w:szCs w:val="24"/>
        </w:rPr>
        <w:t>Valoración de la respuesta:</w:t>
      </w:r>
      <w:r w:rsidR="00817D19" w:rsidRPr="00B10D42">
        <w:rPr>
          <w:rFonts w:ascii="Arial" w:eastAsia="Arial" w:hAnsi="Arial" w:cs="Arial"/>
          <w:color w:val="7030A0"/>
          <w:sz w:val="24"/>
          <w:szCs w:val="24"/>
        </w:rPr>
        <w:t xml:space="preserve"> Como política de derechos de autor se incluye un escrito,</w:t>
      </w:r>
      <w:r w:rsidR="00204B48">
        <w:rPr>
          <w:rFonts w:ascii="Arial" w:eastAsia="Arial" w:hAnsi="Arial" w:cs="Arial"/>
          <w:color w:val="7030A0"/>
          <w:sz w:val="24"/>
          <w:szCs w:val="24"/>
        </w:rPr>
        <w:t xml:space="preserve"> si bien se acepta la respuesta</w:t>
      </w:r>
      <w:r w:rsidR="00817D19" w:rsidRPr="00B10D42">
        <w:rPr>
          <w:rFonts w:ascii="Arial" w:eastAsia="Arial" w:hAnsi="Arial" w:cs="Arial"/>
          <w:color w:val="7030A0"/>
          <w:sz w:val="24"/>
          <w:szCs w:val="24"/>
        </w:rPr>
        <w:t>, es</w:t>
      </w:r>
      <w:r w:rsidR="00204B48">
        <w:rPr>
          <w:rFonts w:ascii="Arial" w:eastAsia="Arial" w:hAnsi="Arial" w:cs="Arial"/>
          <w:color w:val="7030A0"/>
          <w:sz w:val="24"/>
          <w:szCs w:val="24"/>
        </w:rPr>
        <w:t xml:space="preserve"> importan</w:t>
      </w:r>
      <w:r w:rsidR="00817D19" w:rsidRPr="00B10D42">
        <w:rPr>
          <w:rFonts w:ascii="Arial" w:eastAsia="Arial" w:hAnsi="Arial" w:cs="Arial"/>
          <w:color w:val="7030A0"/>
          <w:sz w:val="24"/>
          <w:szCs w:val="24"/>
        </w:rPr>
        <w:t xml:space="preserve">te </w:t>
      </w:r>
      <w:r w:rsidR="00204B48">
        <w:rPr>
          <w:rFonts w:ascii="Arial" w:eastAsia="Arial" w:hAnsi="Arial" w:cs="Arial"/>
          <w:color w:val="7030A0"/>
          <w:sz w:val="24"/>
          <w:szCs w:val="24"/>
        </w:rPr>
        <w:t>mencionar</w:t>
      </w:r>
      <w:r w:rsidR="00817D19" w:rsidRPr="00B10D42">
        <w:rPr>
          <w:rFonts w:ascii="Arial" w:eastAsia="Arial" w:hAnsi="Arial" w:cs="Arial"/>
          <w:color w:val="7030A0"/>
          <w:sz w:val="24"/>
          <w:szCs w:val="24"/>
        </w:rPr>
        <w:t xml:space="preserve"> que no se constituye como un documento aprobado</w:t>
      </w:r>
      <w:r w:rsidR="00B10D42" w:rsidRPr="00B10D42">
        <w:rPr>
          <w:rFonts w:ascii="Arial" w:eastAsia="Arial" w:hAnsi="Arial" w:cs="Arial"/>
          <w:color w:val="7030A0"/>
          <w:sz w:val="24"/>
          <w:szCs w:val="24"/>
        </w:rPr>
        <w:t>:</w:t>
      </w:r>
    </w:p>
    <w:p w14:paraId="052A960B" w14:textId="1A61594F" w:rsidR="00817D19" w:rsidRPr="00763A2C" w:rsidRDefault="00817D19" w:rsidP="00C73C23">
      <w:pPr>
        <w:spacing w:before="120" w:after="120"/>
        <w:ind w:left="-142"/>
        <w:jc w:val="both"/>
        <w:rPr>
          <w:rFonts w:ascii="Arial" w:eastAsia="Arial" w:hAnsi="Arial" w:cs="Arial"/>
          <w:color w:val="7030A0"/>
          <w:sz w:val="24"/>
          <w:szCs w:val="24"/>
        </w:rPr>
      </w:pPr>
      <w:r>
        <w:rPr>
          <w:noProof/>
          <w:lang w:val="es-CO" w:eastAsia="es-CO"/>
        </w:rPr>
        <w:drawing>
          <wp:inline distT="0" distB="0" distL="0" distR="0" wp14:anchorId="23ABE9E4" wp14:editId="04F031BE">
            <wp:extent cx="6120765" cy="1833880"/>
            <wp:effectExtent l="19050" t="19050" r="13335" b="13970"/>
            <wp:docPr id="1" name="Imagen 1" descr="Captura del escrito de derechos de au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aptura del escrito de derechos de autor."/>
                    <pic:cNvPicPr/>
                  </pic:nvPicPr>
                  <pic:blipFill>
                    <a:blip r:embed="rId13"/>
                    <a:stretch>
                      <a:fillRect/>
                    </a:stretch>
                  </pic:blipFill>
                  <pic:spPr>
                    <a:xfrm>
                      <a:off x="0" y="0"/>
                      <a:ext cx="6120765" cy="1833880"/>
                    </a:xfrm>
                    <a:prstGeom prst="rect">
                      <a:avLst/>
                    </a:prstGeom>
                    <a:ln w="9525">
                      <a:solidFill>
                        <a:srgbClr val="000000"/>
                      </a:solidFill>
                      <a:prstDash val="solid"/>
                    </a:ln>
                  </pic:spPr>
                </pic:pic>
              </a:graphicData>
            </a:graphic>
          </wp:inline>
        </w:drawing>
      </w:r>
    </w:p>
    <w:p w14:paraId="314C9501" w14:textId="77777777" w:rsidR="00CB0BB9" w:rsidRDefault="00CB0BB9" w:rsidP="00C73C23">
      <w:pPr>
        <w:pBdr>
          <w:top w:val="nil"/>
          <w:left w:val="nil"/>
          <w:bottom w:val="nil"/>
          <w:right w:val="nil"/>
          <w:between w:val="nil"/>
        </w:pBdr>
        <w:spacing w:before="120" w:after="120"/>
        <w:ind w:left="-142"/>
        <w:jc w:val="both"/>
        <w:rPr>
          <w:rFonts w:ascii="Arial" w:eastAsia="Arial" w:hAnsi="Arial" w:cs="Arial"/>
          <w:i/>
          <w:sz w:val="24"/>
          <w:szCs w:val="24"/>
          <w:u w:val="single"/>
        </w:rPr>
      </w:pPr>
      <w:r>
        <w:rPr>
          <w:rFonts w:ascii="Arial" w:eastAsia="Arial" w:hAnsi="Arial" w:cs="Arial"/>
          <w:i/>
          <w:sz w:val="24"/>
          <w:szCs w:val="24"/>
          <w:u w:val="single"/>
        </w:rPr>
        <w:t>1.2.1.4 Requisitos en Menú destacado</w:t>
      </w:r>
    </w:p>
    <w:p w14:paraId="61FD01F5" w14:textId="77777777" w:rsidR="00CB0BB9" w:rsidRDefault="00CB0BB9" w:rsidP="00C73C23">
      <w:pPr>
        <w:spacing w:before="120" w:after="120"/>
        <w:ind w:left="-142"/>
        <w:jc w:val="both"/>
        <w:rPr>
          <w:rFonts w:ascii="Arial" w:eastAsia="Arial" w:hAnsi="Arial" w:cs="Arial"/>
          <w:sz w:val="24"/>
          <w:szCs w:val="24"/>
        </w:rPr>
      </w:pPr>
      <w:r>
        <w:rPr>
          <w:rFonts w:ascii="Arial" w:eastAsia="Arial" w:hAnsi="Arial" w:cs="Arial"/>
          <w:sz w:val="24"/>
          <w:szCs w:val="24"/>
        </w:rPr>
        <w:t>Los sujetos obligados tendrán que habilitar como mínimo tres menús destacados:</w:t>
      </w:r>
    </w:p>
    <w:p w14:paraId="4240EF7E" w14:textId="77777777" w:rsidR="00CB0BB9" w:rsidRDefault="00CB0BB9" w:rsidP="00C73C23">
      <w:pPr>
        <w:numPr>
          <w:ilvl w:val="0"/>
          <w:numId w:val="20"/>
        </w:numPr>
        <w:pBdr>
          <w:top w:val="nil"/>
          <w:left w:val="nil"/>
          <w:bottom w:val="nil"/>
          <w:right w:val="nil"/>
          <w:between w:val="nil"/>
        </w:pBdr>
        <w:ind w:left="284" w:hanging="284"/>
        <w:jc w:val="both"/>
        <w:rPr>
          <w:rFonts w:ascii="Arial" w:eastAsia="Arial" w:hAnsi="Arial" w:cs="Arial"/>
          <w:color w:val="000000"/>
          <w:sz w:val="24"/>
          <w:szCs w:val="24"/>
        </w:rPr>
      </w:pPr>
      <w:r>
        <w:rPr>
          <w:rFonts w:ascii="Arial" w:eastAsia="Arial" w:hAnsi="Arial" w:cs="Arial"/>
          <w:color w:val="000000"/>
          <w:sz w:val="24"/>
          <w:szCs w:val="24"/>
        </w:rPr>
        <w:t>Transparencia y acceso a la información pública</w:t>
      </w:r>
    </w:p>
    <w:p w14:paraId="5030864B" w14:textId="77777777" w:rsidR="00CB0BB9" w:rsidRDefault="00CB0BB9" w:rsidP="00C73C23">
      <w:pPr>
        <w:numPr>
          <w:ilvl w:val="0"/>
          <w:numId w:val="20"/>
        </w:numPr>
        <w:pBdr>
          <w:top w:val="nil"/>
          <w:left w:val="nil"/>
          <w:bottom w:val="nil"/>
          <w:right w:val="nil"/>
          <w:between w:val="nil"/>
        </w:pBdr>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Atención y Servicios a la Ciudadanía. </w:t>
      </w:r>
    </w:p>
    <w:p w14:paraId="709CDD0F" w14:textId="77777777" w:rsidR="00CB0BB9" w:rsidRDefault="00CB0BB9" w:rsidP="00C73C23">
      <w:pPr>
        <w:numPr>
          <w:ilvl w:val="0"/>
          <w:numId w:val="20"/>
        </w:numPr>
        <w:pBdr>
          <w:top w:val="nil"/>
          <w:left w:val="nil"/>
          <w:bottom w:val="nil"/>
          <w:right w:val="nil"/>
          <w:between w:val="nil"/>
        </w:pBdr>
        <w:ind w:left="284" w:hanging="284"/>
        <w:jc w:val="both"/>
        <w:rPr>
          <w:rFonts w:ascii="Arial" w:eastAsia="Arial" w:hAnsi="Arial" w:cs="Arial"/>
          <w:color w:val="000000"/>
          <w:sz w:val="24"/>
          <w:szCs w:val="24"/>
        </w:rPr>
      </w:pPr>
      <w:r>
        <w:rPr>
          <w:rFonts w:ascii="Arial" w:eastAsia="Arial" w:hAnsi="Arial" w:cs="Arial"/>
          <w:color w:val="000000"/>
          <w:sz w:val="24"/>
          <w:szCs w:val="24"/>
        </w:rPr>
        <w:t>Participa</w:t>
      </w:r>
    </w:p>
    <w:p w14:paraId="4CD98548" w14:textId="77777777" w:rsidR="00CB0BB9" w:rsidRDefault="00CB0BB9" w:rsidP="00C73C23">
      <w:pPr>
        <w:spacing w:before="120" w:after="120"/>
        <w:ind w:left="-142"/>
        <w:jc w:val="both"/>
        <w:rPr>
          <w:rFonts w:ascii="Arial" w:eastAsia="Arial" w:hAnsi="Arial" w:cs="Arial"/>
          <w:color w:val="000000"/>
          <w:sz w:val="24"/>
          <w:szCs w:val="24"/>
        </w:rPr>
      </w:pPr>
      <w:r>
        <w:rPr>
          <w:rFonts w:ascii="Arial" w:eastAsia="Arial" w:hAnsi="Arial" w:cs="Arial"/>
          <w:sz w:val="24"/>
          <w:szCs w:val="24"/>
        </w:rPr>
        <w:t>Los tres menús señalados se encuentran habilitados en la página web.</w:t>
      </w:r>
    </w:p>
    <w:p w14:paraId="4FDAE64F" w14:textId="77777777" w:rsidR="00CB0BB9" w:rsidRDefault="00CB0BB9" w:rsidP="00CB0BB9">
      <w:pPr>
        <w:pBdr>
          <w:top w:val="nil"/>
          <w:left w:val="nil"/>
          <w:bottom w:val="nil"/>
          <w:right w:val="nil"/>
          <w:between w:val="nil"/>
        </w:pBdr>
        <w:spacing w:before="120" w:after="120"/>
        <w:ind w:left="-142" w:right="-91"/>
        <w:jc w:val="both"/>
        <w:rPr>
          <w:rFonts w:ascii="Arial" w:eastAsia="Arial" w:hAnsi="Arial" w:cs="Arial"/>
          <w:color w:val="000000"/>
          <w:sz w:val="24"/>
          <w:szCs w:val="24"/>
        </w:rPr>
      </w:pPr>
      <w:r>
        <w:rPr>
          <w:rFonts w:ascii="Arial" w:eastAsia="Arial" w:hAnsi="Arial" w:cs="Arial"/>
          <w:noProof/>
          <w:sz w:val="24"/>
          <w:szCs w:val="24"/>
          <w:lang w:val="es-CO" w:eastAsia="es-CO"/>
        </w:rPr>
        <w:lastRenderedPageBreak/>
        <w:drawing>
          <wp:inline distT="0" distB="0" distL="0" distR="0" wp14:anchorId="372C36D8" wp14:editId="1CF5A258">
            <wp:extent cx="6192000" cy="1266071"/>
            <wp:effectExtent l="19050" t="19050" r="18415" b="10795"/>
            <wp:docPr id="74" name="image14.png" descr="Captura del Menú destacado de la página web de la entidad."/>
            <wp:cNvGraphicFramePr/>
            <a:graphic xmlns:a="http://schemas.openxmlformats.org/drawingml/2006/main">
              <a:graphicData uri="http://schemas.openxmlformats.org/drawingml/2006/picture">
                <pic:pic xmlns:pic="http://schemas.openxmlformats.org/drawingml/2006/picture">
                  <pic:nvPicPr>
                    <pic:cNvPr id="0" name="image14.png" descr="Captura del Menú destacado de la página web de la entidad."/>
                    <pic:cNvPicPr preferRelativeResize="0"/>
                  </pic:nvPicPr>
                  <pic:blipFill>
                    <a:blip r:embed="rId14"/>
                    <a:srcRect t="7846" b="55944"/>
                    <a:stretch>
                      <a:fillRect/>
                    </a:stretch>
                  </pic:blipFill>
                  <pic:spPr>
                    <a:xfrm>
                      <a:off x="0" y="0"/>
                      <a:ext cx="6192000" cy="1266071"/>
                    </a:xfrm>
                    <a:prstGeom prst="rect">
                      <a:avLst/>
                    </a:prstGeom>
                    <a:ln w="9525">
                      <a:solidFill>
                        <a:srgbClr val="000000"/>
                      </a:solidFill>
                      <a:prstDash val="solid"/>
                    </a:ln>
                  </pic:spPr>
                </pic:pic>
              </a:graphicData>
            </a:graphic>
          </wp:inline>
        </w:drawing>
      </w:r>
    </w:p>
    <w:p w14:paraId="1BC245A9" w14:textId="77777777" w:rsidR="00CB0BB9" w:rsidRDefault="00CB0BB9" w:rsidP="00C73C23">
      <w:pPr>
        <w:pBdr>
          <w:top w:val="nil"/>
          <w:left w:val="nil"/>
          <w:bottom w:val="nil"/>
          <w:right w:val="nil"/>
          <w:between w:val="nil"/>
        </w:pBdr>
        <w:spacing w:before="120" w:after="120"/>
        <w:ind w:left="-142"/>
        <w:jc w:val="both"/>
        <w:rPr>
          <w:rFonts w:ascii="Arial" w:eastAsia="Arial" w:hAnsi="Arial" w:cs="Arial"/>
          <w:i/>
          <w:color w:val="000000"/>
          <w:sz w:val="24"/>
          <w:szCs w:val="24"/>
          <w:u w:val="single"/>
        </w:rPr>
      </w:pPr>
      <w:r>
        <w:rPr>
          <w:rFonts w:ascii="Arial" w:eastAsia="Arial" w:hAnsi="Arial" w:cs="Arial"/>
          <w:i/>
          <w:sz w:val="24"/>
          <w:szCs w:val="24"/>
          <w:u w:val="single"/>
        </w:rPr>
        <w:t xml:space="preserve">1.2.1.5 </w:t>
      </w:r>
      <w:r>
        <w:rPr>
          <w:rFonts w:ascii="Arial" w:eastAsia="Arial" w:hAnsi="Arial" w:cs="Arial"/>
          <w:i/>
          <w:color w:val="000000"/>
          <w:sz w:val="24"/>
          <w:szCs w:val="24"/>
          <w:u w:val="single"/>
        </w:rPr>
        <w:t>Criterios generales de publicación de información pública</w:t>
      </w:r>
    </w:p>
    <w:p w14:paraId="06F71986" w14:textId="77777777" w:rsidR="00CB0BB9" w:rsidRDefault="00CB0BB9" w:rsidP="00417A5B">
      <w:pPr>
        <w:numPr>
          <w:ilvl w:val="0"/>
          <w:numId w:val="21"/>
        </w:numPr>
        <w:pBdr>
          <w:top w:val="nil"/>
          <w:left w:val="nil"/>
          <w:bottom w:val="nil"/>
          <w:right w:val="nil"/>
          <w:between w:val="nil"/>
        </w:pBdr>
        <w:ind w:left="284" w:hanging="426"/>
        <w:jc w:val="both"/>
        <w:rPr>
          <w:rFonts w:ascii="Arial" w:eastAsia="Arial" w:hAnsi="Arial" w:cs="Arial"/>
          <w:sz w:val="24"/>
          <w:szCs w:val="24"/>
        </w:rPr>
      </w:pPr>
      <w:r>
        <w:rPr>
          <w:rFonts w:ascii="Arial" w:eastAsia="Arial" w:hAnsi="Arial" w:cs="Arial"/>
          <w:sz w:val="24"/>
          <w:szCs w:val="24"/>
        </w:rPr>
        <w:t xml:space="preserve">Todo documento debe ser publicado de forma cronológica, del más reciente al más antiguo. </w:t>
      </w:r>
    </w:p>
    <w:p w14:paraId="509AD4D6" w14:textId="77777777" w:rsidR="00CB0BB9" w:rsidRPr="00E86C3C" w:rsidRDefault="00CB0BB9" w:rsidP="00C73C23">
      <w:pPr>
        <w:pBdr>
          <w:top w:val="nil"/>
          <w:left w:val="nil"/>
          <w:bottom w:val="nil"/>
          <w:right w:val="nil"/>
          <w:between w:val="nil"/>
        </w:pBdr>
        <w:spacing w:before="120" w:after="120"/>
        <w:ind w:left="-142"/>
        <w:jc w:val="both"/>
        <w:rPr>
          <w:rFonts w:ascii="Arial" w:eastAsia="Arial" w:hAnsi="Arial" w:cs="Arial"/>
          <w:sz w:val="24"/>
          <w:szCs w:val="24"/>
        </w:rPr>
      </w:pPr>
      <w:r w:rsidRPr="00E86C3C">
        <w:rPr>
          <w:rFonts w:ascii="Arial" w:eastAsia="Arial" w:hAnsi="Arial" w:cs="Arial"/>
          <w:sz w:val="24"/>
          <w:szCs w:val="24"/>
        </w:rPr>
        <w:t>Las publicaciones cumplen con este lineamiento, a excepción de los planes y lineamientos de participación ciudadana (</w:t>
      </w:r>
      <w:hyperlink r:id="rId15">
        <w:r w:rsidRPr="00E86C3C">
          <w:rPr>
            <w:rFonts w:ascii="Arial" w:eastAsia="Arial" w:hAnsi="Arial" w:cs="Arial"/>
            <w:color w:val="000000"/>
            <w:sz w:val="24"/>
            <w:szCs w:val="24"/>
          </w:rPr>
          <w:t>https://idpc.gov.co/planes-y-lineamientos-de-participacion-ciudadana</w:t>
        </w:r>
      </w:hyperlink>
      <w:r w:rsidRPr="00E86C3C">
        <w:rPr>
          <w:rFonts w:ascii="Arial" w:eastAsia="Arial" w:hAnsi="Arial" w:cs="Arial"/>
          <w:sz w:val="24"/>
          <w:szCs w:val="24"/>
        </w:rPr>
        <w:t>).</w:t>
      </w:r>
    </w:p>
    <w:p w14:paraId="5EE4078F" w14:textId="4CF1829C" w:rsidR="00CB0BB9" w:rsidRDefault="00CB0BB9" w:rsidP="00CB0BB9">
      <w:pPr>
        <w:pBdr>
          <w:top w:val="nil"/>
          <w:left w:val="nil"/>
          <w:bottom w:val="nil"/>
          <w:right w:val="nil"/>
          <w:between w:val="nil"/>
        </w:pBdr>
        <w:ind w:left="-142" w:right="-93"/>
        <w:jc w:val="both"/>
        <w:rPr>
          <w:rFonts w:ascii="Arial" w:eastAsia="Arial" w:hAnsi="Arial" w:cs="Arial"/>
          <w:color w:val="00B0F0"/>
          <w:sz w:val="24"/>
          <w:szCs w:val="24"/>
        </w:rPr>
      </w:pPr>
      <w:r>
        <w:rPr>
          <w:rFonts w:ascii="Arial" w:eastAsia="Arial" w:hAnsi="Arial" w:cs="Arial"/>
          <w:noProof/>
          <w:sz w:val="24"/>
          <w:szCs w:val="24"/>
          <w:lang w:val="es-CO" w:eastAsia="es-CO"/>
        </w:rPr>
        <w:drawing>
          <wp:inline distT="0" distB="0" distL="0" distR="0" wp14:anchorId="70A9A386" wp14:editId="2F442516">
            <wp:extent cx="6192000" cy="2045349"/>
            <wp:effectExtent l="19050" t="19050" r="18415" b="12065"/>
            <wp:docPr id="73" name="image13.png" descr="Captura del listado de planes y lineamientos de participación ciudadana en la página web."/>
            <wp:cNvGraphicFramePr/>
            <a:graphic xmlns:a="http://schemas.openxmlformats.org/drawingml/2006/main">
              <a:graphicData uri="http://schemas.openxmlformats.org/drawingml/2006/picture">
                <pic:pic xmlns:pic="http://schemas.openxmlformats.org/drawingml/2006/picture">
                  <pic:nvPicPr>
                    <pic:cNvPr id="0" name="image13.png" descr="Captura del listado de planes y lineamientos de participación ciudadana en la página web."/>
                    <pic:cNvPicPr preferRelativeResize="0"/>
                  </pic:nvPicPr>
                  <pic:blipFill>
                    <a:blip r:embed="rId16"/>
                    <a:srcRect t="3921" b="37538"/>
                    <a:stretch>
                      <a:fillRect/>
                    </a:stretch>
                  </pic:blipFill>
                  <pic:spPr>
                    <a:xfrm>
                      <a:off x="0" y="0"/>
                      <a:ext cx="6192000" cy="2045349"/>
                    </a:xfrm>
                    <a:prstGeom prst="rect">
                      <a:avLst/>
                    </a:prstGeom>
                    <a:ln w="9525">
                      <a:solidFill>
                        <a:srgbClr val="000000"/>
                      </a:solidFill>
                      <a:prstDash val="solid"/>
                    </a:ln>
                  </pic:spPr>
                </pic:pic>
              </a:graphicData>
            </a:graphic>
          </wp:inline>
        </w:drawing>
      </w:r>
    </w:p>
    <w:p w14:paraId="682C7EEC" w14:textId="54AE437A" w:rsidR="007B6A4D" w:rsidRPr="007B6A4D" w:rsidRDefault="007B6A4D" w:rsidP="007B6A4D">
      <w:pPr>
        <w:pBdr>
          <w:top w:val="nil"/>
          <w:left w:val="nil"/>
          <w:bottom w:val="nil"/>
          <w:right w:val="nil"/>
          <w:between w:val="nil"/>
        </w:pBdr>
        <w:spacing w:before="120" w:after="120"/>
        <w:ind w:left="-142" w:right="-91"/>
        <w:jc w:val="both"/>
        <w:rPr>
          <w:rFonts w:ascii="Arial" w:eastAsia="Arial" w:hAnsi="Arial" w:cs="Arial"/>
          <w:color w:val="002060"/>
          <w:sz w:val="24"/>
          <w:szCs w:val="24"/>
        </w:rPr>
      </w:pPr>
      <w:r w:rsidRPr="008C125D">
        <w:rPr>
          <w:rFonts w:ascii="Arial" w:eastAsia="Arial" w:hAnsi="Arial" w:cs="Arial"/>
          <w:b/>
          <w:color w:val="002060"/>
          <w:sz w:val="24"/>
          <w:szCs w:val="24"/>
        </w:rPr>
        <w:t>Respuesta del proceso</w:t>
      </w:r>
      <w:r w:rsidRPr="007B6A4D">
        <w:rPr>
          <w:rFonts w:ascii="Arial" w:eastAsia="Arial" w:hAnsi="Arial" w:cs="Arial"/>
          <w:color w:val="002060"/>
          <w:sz w:val="24"/>
          <w:szCs w:val="24"/>
        </w:rPr>
        <w:t>: Se organizaron cronológicamente (https://idpc.gov.co/planes-y-lineamientos-de-participacion-ciudadana).</w:t>
      </w:r>
    </w:p>
    <w:p w14:paraId="258463EB" w14:textId="63276677" w:rsidR="007B6A4D" w:rsidRPr="007B6A4D" w:rsidRDefault="007B6A4D" w:rsidP="007B6A4D">
      <w:pPr>
        <w:pBdr>
          <w:top w:val="nil"/>
          <w:left w:val="nil"/>
          <w:bottom w:val="nil"/>
          <w:right w:val="nil"/>
          <w:between w:val="nil"/>
        </w:pBdr>
        <w:spacing w:before="120" w:after="120"/>
        <w:ind w:left="-142" w:right="-91"/>
        <w:jc w:val="both"/>
        <w:rPr>
          <w:rFonts w:ascii="Arial" w:eastAsia="Arial" w:hAnsi="Arial" w:cs="Arial"/>
          <w:color w:val="7030A0"/>
          <w:sz w:val="24"/>
          <w:szCs w:val="24"/>
        </w:rPr>
      </w:pPr>
      <w:r w:rsidRPr="008C125D">
        <w:rPr>
          <w:rFonts w:ascii="Arial" w:eastAsia="Arial" w:hAnsi="Arial" w:cs="Arial"/>
          <w:b/>
          <w:color w:val="7030A0"/>
          <w:sz w:val="24"/>
          <w:szCs w:val="24"/>
        </w:rPr>
        <w:t>Valoración de la respuesta</w:t>
      </w:r>
      <w:r w:rsidRPr="007B6A4D">
        <w:rPr>
          <w:rFonts w:ascii="Arial" w:eastAsia="Arial" w:hAnsi="Arial" w:cs="Arial"/>
          <w:color w:val="7030A0"/>
          <w:sz w:val="24"/>
          <w:szCs w:val="24"/>
        </w:rPr>
        <w:t>:</w:t>
      </w:r>
      <w:r w:rsidR="00B6216C">
        <w:rPr>
          <w:rFonts w:ascii="Arial" w:eastAsia="Arial" w:hAnsi="Arial" w:cs="Arial"/>
          <w:color w:val="7030A0"/>
          <w:sz w:val="24"/>
          <w:szCs w:val="24"/>
        </w:rPr>
        <w:t xml:space="preserve"> Se acepta la respuesta en tanto se evidencia el ajuste realizado.</w:t>
      </w:r>
    </w:p>
    <w:p w14:paraId="6D02CF6A" w14:textId="77777777" w:rsidR="00CB0BB9" w:rsidRDefault="00CB0BB9" w:rsidP="00417A5B">
      <w:pPr>
        <w:numPr>
          <w:ilvl w:val="0"/>
          <w:numId w:val="15"/>
        </w:numPr>
        <w:pBdr>
          <w:top w:val="nil"/>
          <w:left w:val="nil"/>
          <w:bottom w:val="nil"/>
          <w:right w:val="nil"/>
          <w:between w:val="nil"/>
        </w:pBdr>
        <w:spacing w:before="120" w:after="120"/>
        <w:ind w:left="284" w:hanging="426"/>
        <w:jc w:val="both"/>
        <w:rPr>
          <w:rFonts w:ascii="Arial" w:eastAsia="Arial" w:hAnsi="Arial" w:cs="Arial"/>
          <w:color w:val="000000"/>
          <w:sz w:val="24"/>
          <w:szCs w:val="24"/>
        </w:rPr>
      </w:pPr>
      <w:r>
        <w:rPr>
          <w:rFonts w:ascii="Arial" w:eastAsia="Arial" w:hAnsi="Arial" w:cs="Arial"/>
          <w:color w:val="000000"/>
          <w:sz w:val="24"/>
          <w:szCs w:val="24"/>
        </w:rPr>
        <w:t>Los contenidos e información dispuesta para los usuarios deberán ser accesibles y utilizar un lenguaje claro.</w:t>
      </w:r>
    </w:p>
    <w:p w14:paraId="1FDC06E0" w14:textId="77777777" w:rsidR="00CB0BB9" w:rsidRDefault="00CB0BB9" w:rsidP="00C73C23">
      <w:pPr>
        <w:pBdr>
          <w:top w:val="nil"/>
          <w:left w:val="nil"/>
          <w:bottom w:val="nil"/>
          <w:right w:val="nil"/>
          <w:between w:val="nil"/>
        </w:pBdr>
        <w:spacing w:before="120" w:after="120"/>
        <w:ind w:left="-142"/>
        <w:jc w:val="both"/>
        <w:rPr>
          <w:rFonts w:ascii="Arial" w:eastAsia="Arial" w:hAnsi="Arial" w:cs="Arial"/>
          <w:color w:val="000000"/>
          <w:sz w:val="24"/>
          <w:szCs w:val="24"/>
        </w:rPr>
      </w:pPr>
      <w:bookmarkStart w:id="2" w:name="_heading=h.1fob9te" w:colFirst="0" w:colLast="0"/>
      <w:bookmarkEnd w:id="2"/>
      <w:r>
        <w:rPr>
          <w:rFonts w:ascii="Arial" w:eastAsia="Arial" w:hAnsi="Arial" w:cs="Arial"/>
          <w:color w:val="000000"/>
          <w:sz w:val="24"/>
          <w:szCs w:val="24"/>
        </w:rPr>
        <w:t>La mayor parte de los contenidos cumplen en cuanto a accesibilidad, sin embargo, algunos generan un error que impide su visualización, entre los cuales se encuentran los siguientes:</w:t>
      </w:r>
    </w:p>
    <w:p w14:paraId="57009278" w14:textId="2D169EFC" w:rsidR="00CB0BB9" w:rsidRPr="00E86C3C" w:rsidRDefault="00CB0BB9" w:rsidP="00C73C23">
      <w:pPr>
        <w:numPr>
          <w:ilvl w:val="0"/>
          <w:numId w:val="16"/>
        </w:numPr>
        <w:pBdr>
          <w:top w:val="nil"/>
          <w:left w:val="nil"/>
          <w:bottom w:val="nil"/>
          <w:right w:val="nil"/>
          <w:between w:val="nil"/>
        </w:pBdr>
        <w:spacing w:before="120" w:after="120"/>
        <w:jc w:val="both"/>
        <w:rPr>
          <w:rFonts w:ascii="Arial" w:eastAsia="Arial" w:hAnsi="Arial" w:cs="Arial"/>
          <w:sz w:val="24"/>
          <w:szCs w:val="24"/>
        </w:rPr>
      </w:pPr>
      <w:r w:rsidRPr="00E86C3C">
        <w:rPr>
          <w:rFonts w:ascii="Arial" w:eastAsia="Arial" w:hAnsi="Arial" w:cs="Arial"/>
          <w:sz w:val="24"/>
          <w:szCs w:val="24"/>
        </w:rPr>
        <w:t>Plan de atención a la ciudadanía 2018 (</w:t>
      </w:r>
      <w:hyperlink r:id="rId17" w:history="1">
        <w:r w:rsidR="00E43078" w:rsidRPr="00E86C3C">
          <w:rPr>
            <w:rStyle w:val="Hipervnculo"/>
            <w:rFonts w:ascii="Arial" w:eastAsia="Arial" w:hAnsi="Arial" w:cs="Arial"/>
            <w:color w:val="auto"/>
            <w:sz w:val="24"/>
            <w:szCs w:val="24"/>
            <w:u w:val="none"/>
          </w:rPr>
          <w:t>https://idpc.gov.co/old/Transparencia/PLAN%20DE%20ACCI%C3%93N%20DE%20ATENCI%C3%93N%20A%20LA%20CIUDADAN%C3%8DA%202018_AVANCE%20A%20DIC2018_PUBLICACI%C3%93N.xlsx</w:t>
        </w:r>
      </w:hyperlink>
      <w:r w:rsidRPr="00E86C3C">
        <w:rPr>
          <w:rFonts w:ascii="Arial" w:eastAsia="Arial" w:hAnsi="Arial" w:cs="Arial"/>
          <w:sz w:val="24"/>
          <w:szCs w:val="24"/>
        </w:rPr>
        <w:t>).</w:t>
      </w:r>
      <w:r w:rsidR="0003130A">
        <w:rPr>
          <w:rFonts w:ascii="Arial" w:eastAsia="Arial" w:hAnsi="Arial" w:cs="Arial"/>
          <w:sz w:val="24"/>
          <w:szCs w:val="24"/>
        </w:rPr>
        <w:t xml:space="preserve"> Igual</w:t>
      </w:r>
    </w:p>
    <w:p w14:paraId="3771057F" w14:textId="6C01C326" w:rsidR="00E43078" w:rsidRPr="00E86C3C" w:rsidRDefault="00E43078" w:rsidP="00C73C23">
      <w:pPr>
        <w:numPr>
          <w:ilvl w:val="0"/>
          <w:numId w:val="16"/>
        </w:numPr>
        <w:pBdr>
          <w:top w:val="nil"/>
          <w:left w:val="nil"/>
          <w:bottom w:val="nil"/>
          <w:right w:val="nil"/>
          <w:between w:val="nil"/>
        </w:pBdr>
        <w:spacing w:before="120" w:after="120"/>
        <w:jc w:val="both"/>
        <w:rPr>
          <w:rFonts w:ascii="Arial" w:eastAsia="Arial" w:hAnsi="Arial" w:cs="Arial"/>
          <w:sz w:val="24"/>
          <w:szCs w:val="24"/>
        </w:rPr>
      </w:pPr>
      <w:r w:rsidRPr="00E86C3C">
        <w:rPr>
          <w:rFonts w:ascii="Arial" w:eastAsia="Arial" w:hAnsi="Arial" w:cs="Arial"/>
          <w:sz w:val="24"/>
          <w:szCs w:val="24"/>
        </w:rPr>
        <w:t>Mesa de consejeros locales (</w:t>
      </w:r>
      <w:hyperlink r:id="rId18" w:history="1">
        <w:r w:rsidRPr="00E86C3C">
          <w:rPr>
            <w:rStyle w:val="Hipervnculo"/>
            <w:rFonts w:ascii="Arial" w:eastAsia="Arial" w:hAnsi="Arial" w:cs="Arial"/>
            <w:color w:val="auto"/>
            <w:sz w:val="24"/>
            <w:szCs w:val="24"/>
            <w:u w:val="none"/>
          </w:rPr>
          <w:t>https://idpc.gov.co/old/que-es-la-mesa-de-consejeros-locales-de-patrimonio-cultural/</w:t>
        </w:r>
      </w:hyperlink>
      <w:r w:rsidRPr="00E86C3C">
        <w:rPr>
          <w:rFonts w:ascii="Arial" w:eastAsia="Arial" w:hAnsi="Arial" w:cs="Arial"/>
          <w:sz w:val="24"/>
          <w:szCs w:val="24"/>
        </w:rPr>
        <w:t>)</w:t>
      </w:r>
    </w:p>
    <w:p w14:paraId="6E4E04D7" w14:textId="61B40FDE" w:rsidR="00E43078" w:rsidRPr="00E86C3C" w:rsidRDefault="00E43078" w:rsidP="00C73C23">
      <w:pPr>
        <w:numPr>
          <w:ilvl w:val="0"/>
          <w:numId w:val="16"/>
        </w:numPr>
        <w:pBdr>
          <w:top w:val="nil"/>
          <w:left w:val="nil"/>
          <w:bottom w:val="nil"/>
          <w:right w:val="nil"/>
          <w:between w:val="nil"/>
        </w:pBdr>
        <w:spacing w:before="120" w:after="120"/>
        <w:jc w:val="both"/>
        <w:rPr>
          <w:rFonts w:ascii="Arial" w:eastAsia="Arial" w:hAnsi="Arial" w:cs="Arial"/>
          <w:sz w:val="24"/>
          <w:szCs w:val="24"/>
        </w:rPr>
      </w:pPr>
      <w:r w:rsidRPr="00E86C3C">
        <w:rPr>
          <w:rFonts w:ascii="Arial" w:eastAsia="Arial" w:hAnsi="Arial" w:cs="Arial"/>
          <w:sz w:val="24"/>
          <w:szCs w:val="24"/>
        </w:rPr>
        <w:t>Acta 1 del 2015 – Decreto 070 (</w:t>
      </w:r>
      <w:hyperlink r:id="rId19" w:history="1">
        <w:r w:rsidRPr="00E86C3C">
          <w:rPr>
            <w:rStyle w:val="Hipervnculo"/>
            <w:rFonts w:ascii="Arial" w:eastAsia="Arial" w:hAnsi="Arial" w:cs="Arial"/>
            <w:color w:val="auto"/>
            <w:sz w:val="24"/>
            <w:szCs w:val="24"/>
            <w:u w:val="none"/>
          </w:rPr>
          <w:t>https://idpc.gov.co/old/archivos-pdf/Acta%20No.%2001%20del%207%20de%20mayo%20de%202015.pdf</w:t>
        </w:r>
      </w:hyperlink>
      <w:r w:rsidRPr="00E86C3C">
        <w:rPr>
          <w:rFonts w:ascii="Arial" w:eastAsia="Arial" w:hAnsi="Arial" w:cs="Arial"/>
          <w:sz w:val="24"/>
          <w:szCs w:val="24"/>
        </w:rPr>
        <w:t>)</w:t>
      </w:r>
    </w:p>
    <w:p w14:paraId="56AB7C1E" w14:textId="0591C753" w:rsidR="00E43078" w:rsidRPr="00E86C3C" w:rsidRDefault="00E43078" w:rsidP="00C73C23">
      <w:pPr>
        <w:numPr>
          <w:ilvl w:val="0"/>
          <w:numId w:val="16"/>
        </w:numPr>
        <w:pBdr>
          <w:top w:val="nil"/>
          <w:left w:val="nil"/>
          <w:bottom w:val="nil"/>
          <w:right w:val="nil"/>
          <w:between w:val="nil"/>
        </w:pBdr>
        <w:spacing w:before="120" w:after="120"/>
        <w:jc w:val="both"/>
        <w:rPr>
          <w:rFonts w:ascii="Arial" w:eastAsia="Arial" w:hAnsi="Arial" w:cs="Arial"/>
          <w:sz w:val="24"/>
          <w:szCs w:val="24"/>
        </w:rPr>
      </w:pPr>
      <w:r w:rsidRPr="00E86C3C">
        <w:rPr>
          <w:rFonts w:ascii="Arial" w:eastAsia="Arial" w:hAnsi="Arial" w:cs="Arial"/>
          <w:sz w:val="24"/>
          <w:szCs w:val="24"/>
        </w:rPr>
        <w:lastRenderedPageBreak/>
        <w:t>Acta extraordinaria del 2015 – Decreto 070 (</w:t>
      </w:r>
      <w:hyperlink r:id="rId20" w:history="1">
        <w:r w:rsidR="00417A5B" w:rsidRPr="00E86C3C">
          <w:rPr>
            <w:rStyle w:val="Hipervnculo"/>
            <w:rFonts w:ascii="Arial" w:eastAsia="Arial" w:hAnsi="Arial" w:cs="Arial"/>
            <w:color w:val="auto"/>
            <w:sz w:val="24"/>
            <w:szCs w:val="24"/>
            <w:u w:val="none"/>
          </w:rPr>
          <w:t>https://idpc.gov.co/old/archivos-pdf/Acta%20del%2018%20de%20junio%20de%202015%20%28sesi%C3%B3n%20extraordinaria%29.pdf</w:t>
        </w:r>
      </w:hyperlink>
      <w:r w:rsidR="00417A5B" w:rsidRPr="00E86C3C">
        <w:rPr>
          <w:rFonts w:ascii="Arial" w:eastAsia="Arial" w:hAnsi="Arial" w:cs="Arial"/>
          <w:sz w:val="24"/>
          <w:szCs w:val="24"/>
        </w:rPr>
        <w:t>)</w:t>
      </w:r>
    </w:p>
    <w:p w14:paraId="32F2F1DF" w14:textId="306E544B" w:rsidR="00417A5B" w:rsidRPr="00E86C3C" w:rsidRDefault="00417A5B" w:rsidP="00C73C23">
      <w:pPr>
        <w:numPr>
          <w:ilvl w:val="0"/>
          <w:numId w:val="16"/>
        </w:numPr>
        <w:pBdr>
          <w:top w:val="nil"/>
          <w:left w:val="nil"/>
          <w:bottom w:val="nil"/>
          <w:right w:val="nil"/>
          <w:between w:val="nil"/>
        </w:pBdr>
        <w:spacing w:before="120" w:after="120"/>
        <w:jc w:val="both"/>
        <w:rPr>
          <w:rFonts w:ascii="Arial" w:eastAsia="Arial" w:hAnsi="Arial" w:cs="Arial"/>
          <w:sz w:val="24"/>
          <w:szCs w:val="24"/>
        </w:rPr>
      </w:pPr>
      <w:r w:rsidRPr="00E86C3C">
        <w:rPr>
          <w:rFonts w:ascii="Arial" w:eastAsia="Arial" w:hAnsi="Arial" w:cs="Arial"/>
          <w:sz w:val="24"/>
          <w:szCs w:val="24"/>
        </w:rPr>
        <w:t>Acta 2 del 2015 – Decreto 070 (</w:t>
      </w:r>
      <w:hyperlink r:id="rId21" w:history="1">
        <w:r w:rsidRPr="00E86C3C">
          <w:rPr>
            <w:rStyle w:val="Hipervnculo"/>
            <w:rFonts w:ascii="Arial" w:eastAsia="Arial" w:hAnsi="Arial" w:cs="Arial"/>
            <w:color w:val="auto"/>
            <w:sz w:val="24"/>
            <w:szCs w:val="24"/>
            <w:u w:val="none"/>
          </w:rPr>
          <w:t>https://idpc.gov.co/old/archivos-pdf/Acta%20No.%2002%20del%209%20de%20julio%20de%202015.pdf</w:t>
        </w:r>
      </w:hyperlink>
      <w:r w:rsidRPr="00E86C3C">
        <w:rPr>
          <w:rFonts w:ascii="Arial" w:eastAsia="Arial" w:hAnsi="Arial" w:cs="Arial"/>
          <w:sz w:val="24"/>
          <w:szCs w:val="24"/>
        </w:rPr>
        <w:t>)</w:t>
      </w:r>
    </w:p>
    <w:p w14:paraId="702D9E7E" w14:textId="47498A76" w:rsidR="00417A5B" w:rsidRPr="00E86C3C" w:rsidRDefault="00417A5B" w:rsidP="00C73C23">
      <w:pPr>
        <w:numPr>
          <w:ilvl w:val="0"/>
          <w:numId w:val="16"/>
        </w:numPr>
        <w:pBdr>
          <w:top w:val="nil"/>
          <w:left w:val="nil"/>
          <w:bottom w:val="nil"/>
          <w:right w:val="nil"/>
          <w:between w:val="nil"/>
        </w:pBdr>
        <w:spacing w:before="120" w:after="120"/>
        <w:jc w:val="both"/>
        <w:rPr>
          <w:rFonts w:ascii="Arial" w:eastAsia="Arial" w:hAnsi="Arial" w:cs="Arial"/>
          <w:sz w:val="24"/>
          <w:szCs w:val="24"/>
        </w:rPr>
      </w:pPr>
      <w:r w:rsidRPr="00E86C3C">
        <w:rPr>
          <w:rFonts w:ascii="Arial" w:eastAsia="Arial" w:hAnsi="Arial" w:cs="Arial"/>
          <w:sz w:val="24"/>
          <w:szCs w:val="24"/>
        </w:rPr>
        <w:t>Acta 3 del 2015 – Decreto 070 (</w:t>
      </w:r>
      <w:hyperlink r:id="rId22" w:history="1">
        <w:r w:rsidRPr="00E86C3C">
          <w:rPr>
            <w:rStyle w:val="Hipervnculo"/>
            <w:rFonts w:ascii="Arial" w:eastAsia="Arial" w:hAnsi="Arial" w:cs="Arial"/>
            <w:color w:val="auto"/>
            <w:sz w:val="24"/>
            <w:szCs w:val="24"/>
            <w:u w:val="none"/>
          </w:rPr>
          <w:t>https://idpc.gov.co/old/archivos-pdf/Acta%20No.%2003%20del%2015%20de%20octubre%20de%202015.pdf</w:t>
        </w:r>
      </w:hyperlink>
      <w:r w:rsidRPr="00E86C3C">
        <w:rPr>
          <w:rFonts w:ascii="Arial" w:eastAsia="Arial" w:hAnsi="Arial" w:cs="Arial"/>
          <w:sz w:val="24"/>
          <w:szCs w:val="24"/>
        </w:rPr>
        <w:t xml:space="preserve">) </w:t>
      </w:r>
    </w:p>
    <w:p w14:paraId="47BC452B" w14:textId="6FB5B107" w:rsidR="00417A5B" w:rsidRPr="00E86C3C" w:rsidRDefault="00417A5B" w:rsidP="00C73C23">
      <w:pPr>
        <w:numPr>
          <w:ilvl w:val="0"/>
          <w:numId w:val="16"/>
        </w:numPr>
        <w:pBdr>
          <w:top w:val="nil"/>
          <w:left w:val="nil"/>
          <w:bottom w:val="nil"/>
          <w:right w:val="nil"/>
          <w:between w:val="nil"/>
        </w:pBdr>
        <w:spacing w:before="120" w:after="120"/>
        <w:jc w:val="both"/>
        <w:rPr>
          <w:rFonts w:ascii="Arial" w:eastAsia="Arial" w:hAnsi="Arial" w:cs="Arial"/>
          <w:sz w:val="24"/>
          <w:szCs w:val="24"/>
        </w:rPr>
      </w:pPr>
      <w:r w:rsidRPr="00E86C3C">
        <w:rPr>
          <w:rFonts w:ascii="Arial" w:eastAsia="Arial" w:hAnsi="Arial" w:cs="Arial"/>
          <w:sz w:val="24"/>
          <w:szCs w:val="24"/>
        </w:rPr>
        <w:t>Acta 4 del 2015 – Decreto 070 (</w:t>
      </w:r>
      <w:hyperlink r:id="rId23" w:history="1">
        <w:r w:rsidRPr="00E86C3C">
          <w:rPr>
            <w:rStyle w:val="Hipervnculo"/>
            <w:rFonts w:ascii="Arial" w:eastAsia="Arial" w:hAnsi="Arial" w:cs="Arial"/>
            <w:color w:val="auto"/>
            <w:sz w:val="24"/>
            <w:szCs w:val="24"/>
            <w:u w:val="none"/>
          </w:rPr>
          <w:t>https://idpc.gov.co/old/archivos-pdf/Acta%20No.%2004%20del%2029%20de%20octubre%20de%202015.pdf</w:t>
        </w:r>
      </w:hyperlink>
      <w:r w:rsidRPr="00E86C3C">
        <w:rPr>
          <w:rFonts w:ascii="Arial" w:eastAsia="Arial" w:hAnsi="Arial" w:cs="Arial"/>
          <w:sz w:val="24"/>
          <w:szCs w:val="24"/>
        </w:rPr>
        <w:t xml:space="preserve">) </w:t>
      </w:r>
    </w:p>
    <w:p w14:paraId="24E50836" w14:textId="3195BEDE" w:rsidR="00417A5B" w:rsidRPr="00E86C3C" w:rsidRDefault="00417A5B" w:rsidP="00C73C23">
      <w:pPr>
        <w:numPr>
          <w:ilvl w:val="0"/>
          <w:numId w:val="16"/>
        </w:numPr>
        <w:pBdr>
          <w:top w:val="nil"/>
          <w:left w:val="nil"/>
          <w:bottom w:val="nil"/>
          <w:right w:val="nil"/>
          <w:between w:val="nil"/>
        </w:pBdr>
        <w:spacing w:before="120" w:after="120"/>
        <w:jc w:val="both"/>
        <w:rPr>
          <w:rFonts w:ascii="Arial" w:eastAsia="Arial" w:hAnsi="Arial" w:cs="Arial"/>
          <w:sz w:val="24"/>
          <w:szCs w:val="24"/>
        </w:rPr>
      </w:pPr>
      <w:r w:rsidRPr="00E86C3C">
        <w:rPr>
          <w:rFonts w:ascii="Arial" w:eastAsia="Arial" w:hAnsi="Arial" w:cs="Arial"/>
          <w:sz w:val="24"/>
          <w:szCs w:val="24"/>
        </w:rPr>
        <w:t>Acta 5 del 2015 – Decreto 070 (</w:t>
      </w:r>
      <w:hyperlink r:id="rId24" w:history="1">
        <w:r w:rsidRPr="00E86C3C">
          <w:rPr>
            <w:rStyle w:val="Hipervnculo"/>
            <w:rFonts w:ascii="Arial" w:eastAsia="Arial" w:hAnsi="Arial" w:cs="Arial"/>
            <w:color w:val="auto"/>
            <w:sz w:val="24"/>
            <w:szCs w:val="24"/>
            <w:u w:val="none"/>
          </w:rPr>
          <w:t>https://idpc.gov.co/old/archivos-pdf/Acta%20No.%2005%20del%2019%20de%20noviembre%20de%202015%20%28sesi%C3%B3n%20extraordinaria%29.pdf</w:t>
        </w:r>
      </w:hyperlink>
      <w:r w:rsidRPr="00E86C3C">
        <w:rPr>
          <w:rFonts w:ascii="Arial" w:eastAsia="Arial" w:hAnsi="Arial" w:cs="Arial"/>
          <w:sz w:val="24"/>
          <w:szCs w:val="24"/>
        </w:rPr>
        <w:t xml:space="preserve">) </w:t>
      </w:r>
    </w:p>
    <w:p w14:paraId="32B02218" w14:textId="5245AD12" w:rsidR="00417A5B" w:rsidRPr="00E86C3C" w:rsidRDefault="00417A5B" w:rsidP="00C73C23">
      <w:pPr>
        <w:numPr>
          <w:ilvl w:val="0"/>
          <w:numId w:val="16"/>
        </w:numPr>
        <w:pBdr>
          <w:top w:val="nil"/>
          <w:left w:val="nil"/>
          <w:bottom w:val="nil"/>
          <w:right w:val="nil"/>
          <w:between w:val="nil"/>
        </w:pBdr>
        <w:spacing w:before="120" w:after="120"/>
        <w:jc w:val="both"/>
        <w:rPr>
          <w:rFonts w:ascii="Arial" w:eastAsia="Arial" w:hAnsi="Arial" w:cs="Arial"/>
          <w:sz w:val="24"/>
          <w:szCs w:val="24"/>
        </w:rPr>
      </w:pPr>
      <w:r w:rsidRPr="00E86C3C">
        <w:rPr>
          <w:rFonts w:ascii="Arial" w:eastAsia="Arial" w:hAnsi="Arial" w:cs="Arial"/>
          <w:sz w:val="24"/>
          <w:szCs w:val="24"/>
        </w:rPr>
        <w:t>Acta 6 del 2015 – Decreto 070 (</w:t>
      </w:r>
      <w:hyperlink r:id="rId25" w:history="1">
        <w:r w:rsidRPr="00E86C3C">
          <w:rPr>
            <w:rStyle w:val="Hipervnculo"/>
            <w:rFonts w:ascii="Arial" w:eastAsia="Arial" w:hAnsi="Arial" w:cs="Arial"/>
            <w:color w:val="auto"/>
            <w:sz w:val="24"/>
            <w:szCs w:val="24"/>
            <w:u w:val="none"/>
          </w:rPr>
          <w:t>https://idpc.gov.co/old/archivos-pdf/Acta%20No.%2006%20del%2029%20de%20noviembre%20de%202015%20%28sesi%C3%B3n%20extraordinaria%29.pdf</w:t>
        </w:r>
      </w:hyperlink>
      <w:r w:rsidRPr="00E86C3C">
        <w:rPr>
          <w:rFonts w:ascii="Arial" w:eastAsia="Arial" w:hAnsi="Arial" w:cs="Arial"/>
          <w:sz w:val="24"/>
          <w:szCs w:val="24"/>
        </w:rPr>
        <w:t xml:space="preserve">) </w:t>
      </w:r>
    </w:p>
    <w:p w14:paraId="303D9AE2" w14:textId="49F866C8" w:rsidR="00417A5B" w:rsidRPr="00E86C3C" w:rsidRDefault="00417A5B" w:rsidP="00C73C23">
      <w:pPr>
        <w:numPr>
          <w:ilvl w:val="0"/>
          <w:numId w:val="16"/>
        </w:numPr>
        <w:pBdr>
          <w:top w:val="nil"/>
          <w:left w:val="nil"/>
          <w:bottom w:val="nil"/>
          <w:right w:val="nil"/>
          <w:between w:val="nil"/>
        </w:pBdr>
        <w:spacing w:before="120" w:after="120"/>
        <w:jc w:val="both"/>
        <w:rPr>
          <w:rFonts w:ascii="Arial" w:eastAsia="Arial" w:hAnsi="Arial" w:cs="Arial"/>
          <w:sz w:val="24"/>
          <w:szCs w:val="24"/>
        </w:rPr>
      </w:pPr>
      <w:r w:rsidRPr="00E86C3C">
        <w:rPr>
          <w:rFonts w:ascii="Arial" w:eastAsia="Arial" w:hAnsi="Arial" w:cs="Arial"/>
          <w:sz w:val="24"/>
          <w:szCs w:val="24"/>
        </w:rPr>
        <w:t>Acta 7 del 2015 – Decreto 070 (</w:t>
      </w:r>
      <w:hyperlink r:id="rId26" w:history="1">
        <w:r w:rsidRPr="00E86C3C">
          <w:rPr>
            <w:rStyle w:val="Hipervnculo"/>
            <w:rFonts w:ascii="Arial" w:eastAsia="Arial" w:hAnsi="Arial" w:cs="Arial"/>
            <w:color w:val="auto"/>
            <w:sz w:val="24"/>
            <w:szCs w:val="24"/>
            <w:u w:val="none"/>
          </w:rPr>
          <w:t>https://idpc.gov.co/old/archivos-pdf/Acta%20No.%2007%20del%203%20de%20diciembre%20de%202015%20%28sesi%C3%B3n%20extraordinaria%29.pdf</w:t>
        </w:r>
      </w:hyperlink>
      <w:r w:rsidRPr="00E86C3C">
        <w:rPr>
          <w:rFonts w:ascii="Arial" w:eastAsia="Arial" w:hAnsi="Arial" w:cs="Arial"/>
          <w:sz w:val="24"/>
          <w:szCs w:val="24"/>
        </w:rPr>
        <w:t xml:space="preserve">) </w:t>
      </w:r>
    </w:p>
    <w:p w14:paraId="57B8F323" w14:textId="46A241E7" w:rsidR="00417A5B" w:rsidRDefault="00417A5B" w:rsidP="00C73C23">
      <w:pPr>
        <w:numPr>
          <w:ilvl w:val="0"/>
          <w:numId w:val="16"/>
        </w:numPr>
        <w:pBdr>
          <w:top w:val="nil"/>
          <w:left w:val="nil"/>
          <w:bottom w:val="nil"/>
          <w:right w:val="nil"/>
          <w:between w:val="nil"/>
        </w:pBdr>
        <w:spacing w:before="120" w:after="120"/>
        <w:jc w:val="both"/>
        <w:rPr>
          <w:rFonts w:ascii="Arial" w:eastAsia="Arial" w:hAnsi="Arial" w:cs="Arial"/>
          <w:sz w:val="24"/>
          <w:szCs w:val="24"/>
        </w:rPr>
      </w:pPr>
      <w:r w:rsidRPr="00E86C3C">
        <w:rPr>
          <w:rFonts w:ascii="Arial" w:eastAsia="Arial" w:hAnsi="Arial" w:cs="Arial"/>
          <w:sz w:val="24"/>
          <w:szCs w:val="24"/>
        </w:rPr>
        <w:t>Acta 8 del 2015 – Decreto 070 (</w:t>
      </w:r>
      <w:hyperlink r:id="rId27" w:history="1">
        <w:r w:rsidRPr="00E86C3C">
          <w:rPr>
            <w:rStyle w:val="Hipervnculo"/>
            <w:rFonts w:ascii="Arial" w:eastAsia="Arial" w:hAnsi="Arial" w:cs="Arial"/>
            <w:color w:val="auto"/>
            <w:sz w:val="24"/>
            <w:szCs w:val="24"/>
            <w:u w:val="none"/>
          </w:rPr>
          <w:t>https://idpc.gov.co/old/archivos-pdf/Acta%20No.%2008%20del%2015%20de%20diciembre%20de%202015.pdf</w:t>
        </w:r>
      </w:hyperlink>
      <w:r w:rsidRPr="00E86C3C">
        <w:rPr>
          <w:rFonts w:ascii="Arial" w:eastAsia="Arial" w:hAnsi="Arial" w:cs="Arial"/>
          <w:sz w:val="24"/>
          <w:szCs w:val="24"/>
        </w:rPr>
        <w:t>)</w:t>
      </w:r>
    </w:p>
    <w:p w14:paraId="59C72757" w14:textId="60FE0EC0" w:rsidR="008A605E" w:rsidRPr="008A605E" w:rsidRDefault="008A605E" w:rsidP="00243539">
      <w:pPr>
        <w:pBdr>
          <w:top w:val="nil"/>
          <w:left w:val="nil"/>
          <w:bottom w:val="nil"/>
          <w:right w:val="nil"/>
          <w:between w:val="nil"/>
        </w:pBdr>
        <w:spacing w:before="120" w:after="120"/>
        <w:jc w:val="both"/>
        <w:rPr>
          <w:rFonts w:ascii="Arial" w:eastAsia="Arial" w:hAnsi="Arial" w:cs="Arial"/>
          <w:color w:val="002060"/>
          <w:sz w:val="24"/>
          <w:szCs w:val="24"/>
        </w:rPr>
      </w:pPr>
      <w:r w:rsidRPr="009B5D74">
        <w:rPr>
          <w:rFonts w:ascii="Arial" w:eastAsia="Arial" w:hAnsi="Arial" w:cs="Arial"/>
          <w:b/>
          <w:color w:val="002060"/>
          <w:sz w:val="24"/>
          <w:szCs w:val="24"/>
        </w:rPr>
        <w:t>Respuesta del proceso</w:t>
      </w:r>
      <w:r w:rsidRPr="008A605E">
        <w:rPr>
          <w:rFonts w:ascii="Arial" w:eastAsia="Arial" w:hAnsi="Arial" w:cs="Arial"/>
          <w:color w:val="002060"/>
          <w:sz w:val="24"/>
          <w:szCs w:val="24"/>
        </w:rPr>
        <w:t>:</w:t>
      </w:r>
      <w:r w:rsidRPr="008A605E">
        <w:rPr>
          <w:color w:val="002060"/>
        </w:rPr>
        <w:t xml:space="preserve"> </w:t>
      </w:r>
      <w:r w:rsidRPr="008A605E">
        <w:rPr>
          <w:rFonts w:ascii="Arial" w:eastAsia="Arial" w:hAnsi="Arial" w:cs="Arial"/>
          <w:color w:val="002060"/>
          <w:sz w:val="24"/>
          <w:szCs w:val="24"/>
        </w:rPr>
        <w:t>En cuanto a lo señalado en el cuerpo del mencionado informe, se indica que se corrigieron los enlaces mencionados en las páginas 12 y 13.</w:t>
      </w:r>
    </w:p>
    <w:p w14:paraId="3E1B8B4F" w14:textId="08DFB108" w:rsidR="008A605E" w:rsidRPr="008A605E" w:rsidRDefault="008A605E" w:rsidP="00243539">
      <w:pPr>
        <w:pBdr>
          <w:top w:val="nil"/>
          <w:left w:val="nil"/>
          <w:bottom w:val="nil"/>
          <w:right w:val="nil"/>
          <w:between w:val="nil"/>
        </w:pBdr>
        <w:spacing w:before="120" w:after="120"/>
        <w:jc w:val="both"/>
        <w:rPr>
          <w:rFonts w:ascii="Arial" w:eastAsia="Arial" w:hAnsi="Arial" w:cs="Arial"/>
          <w:color w:val="7030A0"/>
          <w:sz w:val="24"/>
          <w:szCs w:val="24"/>
        </w:rPr>
      </w:pPr>
      <w:r w:rsidRPr="009B5D74">
        <w:rPr>
          <w:rFonts w:ascii="Arial" w:eastAsia="Arial" w:hAnsi="Arial" w:cs="Arial"/>
          <w:b/>
          <w:color w:val="7030A0"/>
          <w:sz w:val="24"/>
          <w:szCs w:val="24"/>
        </w:rPr>
        <w:t>Valoración de la respuesta</w:t>
      </w:r>
      <w:r w:rsidRPr="008A605E">
        <w:rPr>
          <w:rFonts w:ascii="Arial" w:eastAsia="Arial" w:hAnsi="Arial" w:cs="Arial"/>
          <w:color w:val="7030A0"/>
          <w:sz w:val="24"/>
          <w:szCs w:val="24"/>
        </w:rPr>
        <w:t>:</w:t>
      </w:r>
      <w:r w:rsidR="00243539">
        <w:rPr>
          <w:rFonts w:ascii="Arial" w:eastAsia="Arial" w:hAnsi="Arial" w:cs="Arial"/>
          <w:color w:val="7030A0"/>
          <w:sz w:val="24"/>
          <w:szCs w:val="24"/>
        </w:rPr>
        <w:t xml:space="preserve"> </w:t>
      </w:r>
      <w:r w:rsidR="009B5D74" w:rsidRPr="009B5D74">
        <w:rPr>
          <w:rFonts w:ascii="Arial" w:eastAsia="Arial" w:hAnsi="Arial" w:cs="Arial"/>
          <w:color w:val="7030A0"/>
          <w:sz w:val="24"/>
          <w:szCs w:val="24"/>
        </w:rPr>
        <w:t>Se evidencia e</w:t>
      </w:r>
      <w:r w:rsidR="009B5D74">
        <w:rPr>
          <w:rFonts w:ascii="Arial" w:eastAsia="Arial" w:hAnsi="Arial" w:cs="Arial"/>
          <w:color w:val="7030A0"/>
          <w:sz w:val="24"/>
          <w:szCs w:val="24"/>
        </w:rPr>
        <w:t>l funcionamiento de los enlaces, los cuales son diferentes a los del informe</w:t>
      </w:r>
      <w:r w:rsidR="00243539">
        <w:rPr>
          <w:rFonts w:ascii="Arial" w:eastAsia="Arial" w:hAnsi="Arial" w:cs="Arial"/>
          <w:color w:val="7030A0"/>
          <w:sz w:val="24"/>
          <w:szCs w:val="24"/>
        </w:rPr>
        <w:t>.</w:t>
      </w:r>
    </w:p>
    <w:p w14:paraId="4BFFF04B" w14:textId="77777777" w:rsidR="00CB0BB9" w:rsidRDefault="00CB0BB9" w:rsidP="00417A5B">
      <w:pPr>
        <w:numPr>
          <w:ilvl w:val="0"/>
          <w:numId w:val="7"/>
        </w:numPr>
        <w:pBdr>
          <w:top w:val="nil"/>
          <w:left w:val="nil"/>
          <w:bottom w:val="nil"/>
          <w:right w:val="nil"/>
          <w:between w:val="nil"/>
        </w:pBdr>
        <w:spacing w:before="120" w:after="120"/>
        <w:ind w:left="284" w:hanging="426"/>
        <w:jc w:val="both"/>
        <w:rPr>
          <w:rFonts w:ascii="Arial" w:eastAsia="Arial" w:hAnsi="Arial" w:cs="Arial"/>
          <w:sz w:val="24"/>
          <w:szCs w:val="24"/>
        </w:rPr>
      </w:pPr>
      <w:r>
        <w:rPr>
          <w:rFonts w:ascii="Arial" w:eastAsia="Arial" w:hAnsi="Arial" w:cs="Arial"/>
          <w:color w:val="000000"/>
          <w:sz w:val="24"/>
          <w:szCs w:val="24"/>
        </w:rPr>
        <w:t xml:space="preserve">Se debe contar con un buscador en el que la ciudadanía pueda encontrar información, datos o contenidos. </w:t>
      </w:r>
    </w:p>
    <w:p w14:paraId="34B239E6" w14:textId="77777777" w:rsidR="00CB0BB9" w:rsidRDefault="00CB0BB9" w:rsidP="00C73C23">
      <w:pPr>
        <w:pBdr>
          <w:top w:val="nil"/>
          <w:left w:val="nil"/>
          <w:bottom w:val="nil"/>
          <w:right w:val="nil"/>
          <w:between w:val="nil"/>
        </w:pBdr>
        <w:spacing w:before="120" w:after="120"/>
        <w:ind w:left="-142"/>
        <w:jc w:val="both"/>
        <w:rPr>
          <w:rFonts w:ascii="Arial" w:eastAsia="Arial" w:hAnsi="Arial" w:cs="Arial"/>
          <w:sz w:val="24"/>
          <w:szCs w:val="24"/>
        </w:rPr>
      </w:pPr>
      <w:r>
        <w:rPr>
          <w:rFonts w:ascii="Arial" w:eastAsia="Arial" w:hAnsi="Arial" w:cs="Arial"/>
          <w:sz w:val="24"/>
          <w:szCs w:val="24"/>
        </w:rPr>
        <w:t xml:space="preserve">Se observó el buscador en la parte superior izquierda de la página web. </w:t>
      </w:r>
    </w:p>
    <w:p w14:paraId="3463FF6D" w14:textId="77777777" w:rsidR="00CB0BB9" w:rsidRDefault="00CB0BB9" w:rsidP="00CB0BB9">
      <w:pPr>
        <w:pBdr>
          <w:top w:val="nil"/>
          <w:left w:val="nil"/>
          <w:bottom w:val="nil"/>
          <w:right w:val="nil"/>
          <w:between w:val="nil"/>
        </w:pBdr>
        <w:spacing w:before="120" w:after="120"/>
        <w:ind w:left="-142" w:right="-93"/>
        <w:rPr>
          <w:rFonts w:ascii="Arial" w:eastAsia="Arial" w:hAnsi="Arial" w:cs="Arial"/>
          <w:color w:val="000000"/>
          <w:sz w:val="24"/>
          <w:szCs w:val="24"/>
        </w:rPr>
      </w:pPr>
      <w:r>
        <w:rPr>
          <w:rFonts w:ascii="Arial" w:eastAsia="Arial" w:hAnsi="Arial" w:cs="Arial"/>
          <w:noProof/>
          <w:sz w:val="24"/>
          <w:szCs w:val="24"/>
          <w:lang w:val="es-CO" w:eastAsia="es-CO"/>
        </w:rPr>
        <w:drawing>
          <wp:inline distT="0" distB="0" distL="0" distR="0" wp14:anchorId="2C8B07AE" wp14:editId="6ADC6F98">
            <wp:extent cx="6192000" cy="1978301"/>
            <wp:effectExtent l="19050" t="19050" r="18415" b="22225"/>
            <wp:docPr id="76" name="image5.png" descr="Captura del buscador de la página web de la entidad."/>
            <wp:cNvGraphicFramePr/>
            <a:graphic xmlns:a="http://schemas.openxmlformats.org/drawingml/2006/main">
              <a:graphicData uri="http://schemas.openxmlformats.org/drawingml/2006/picture">
                <pic:pic xmlns:pic="http://schemas.openxmlformats.org/drawingml/2006/picture">
                  <pic:nvPicPr>
                    <pic:cNvPr id="0" name="image5.png" descr="Captura del buscador de la página web de la entidad."/>
                    <pic:cNvPicPr preferRelativeResize="0"/>
                  </pic:nvPicPr>
                  <pic:blipFill>
                    <a:blip r:embed="rId28"/>
                    <a:srcRect t="7843" b="33012"/>
                    <a:stretch>
                      <a:fillRect/>
                    </a:stretch>
                  </pic:blipFill>
                  <pic:spPr>
                    <a:xfrm>
                      <a:off x="0" y="0"/>
                      <a:ext cx="6192000" cy="1978301"/>
                    </a:xfrm>
                    <a:prstGeom prst="rect">
                      <a:avLst/>
                    </a:prstGeom>
                    <a:ln w="9525">
                      <a:solidFill>
                        <a:srgbClr val="000000"/>
                      </a:solidFill>
                      <a:prstDash val="solid"/>
                    </a:ln>
                  </pic:spPr>
                </pic:pic>
              </a:graphicData>
            </a:graphic>
          </wp:inline>
        </w:drawing>
      </w:r>
    </w:p>
    <w:p w14:paraId="7B4ACE63" w14:textId="77777777" w:rsidR="00CB0BB9" w:rsidRDefault="00CB0BB9" w:rsidP="00417A5B">
      <w:pPr>
        <w:numPr>
          <w:ilvl w:val="0"/>
          <w:numId w:val="9"/>
        </w:numPr>
        <w:pBdr>
          <w:top w:val="nil"/>
          <w:left w:val="nil"/>
          <w:bottom w:val="nil"/>
          <w:right w:val="nil"/>
          <w:between w:val="nil"/>
        </w:pBdr>
        <w:spacing w:before="120" w:after="120"/>
        <w:ind w:left="284" w:hanging="426"/>
        <w:jc w:val="both"/>
        <w:rPr>
          <w:rFonts w:ascii="Arial" w:eastAsia="Arial" w:hAnsi="Arial" w:cs="Arial"/>
          <w:sz w:val="24"/>
          <w:szCs w:val="24"/>
        </w:rPr>
      </w:pPr>
      <w:r>
        <w:rPr>
          <w:rFonts w:ascii="Arial" w:eastAsia="Arial" w:hAnsi="Arial" w:cs="Arial"/>
          <w:color w:val="000000"/>
          <w:sz w:val="24"/>
          <w:szCs w:val="24"/>
        </w:rPr>
        <w:lastRenderedPageBreak/>
        <w:t xml:space="preserve">Toda la información debe ser publicada en formatos que permitan: su descarga, acceso sin restricciones legales, uso libre, procesamiento por máquina y realizar búsquedas en su interior. </w:t>
      </w:r>
    </w:p>
    <w:p w14:paraId="7FDCAB57" w14:textId="77777777" w:rsidR="00CB0BB9" w:rsidRDefault="00CB0BB9" w:rsidP="00C73C23">
      <w:pPr>
        <w:pBdr>
          <w:top w:val="nil"/>
          <w:left w:val="nil"/>
          <w:bottom w:val="nil"/>
          <w:right w:val="nil"/>
          <w:between w:val="nil"/>
        </w:pBdr>
        <w:spacing w:before="120" w:after="120"/>
        <w:ind w:left="-142"/>
        <w:jc w:val="both"/>
        <w:rPr>
          <w:rFonts w:ascii="Arial" w:eastAsia="Arial" w:hAnsi="Arial" w:cs="Arial"/>
          <w:sz w:val="24"/>
          <w:szCs w:val="24"/>
        </w:rPr>
      </w:pPr>
      <w:bookmarkStart w:id="3" w:name="_heading=h.3znysh7" w:colFirst="0" w:colLast="0"/>
      <w:bookmarkEnd w:id="3"/>
      <w:r>
        <w:rPr>
          <w:rFonts w:ascii="Arial" w:eastAsia="Arial" w:hAnsi="Arial" w:cs="Arial"/>
          <w:sz w:val="24"/>
          <w:szCs w:val="24"/>
        </w:rPr>
        <w:t>Los enlaces permiten la descarga de la información, no obstante, algunos documentos se encuentran guardados como imagen por lo cual no es posible realizar búsquedas en su interior, entre los cuales se encuentran los siguientes:</w:t>
      </w:r>
    </w:p>
    <w:p w14:paraId="3341ECEA" w14:textId="0946E2CC" w:rsidR="00CB0BB9" w:rsidRPr="00E86C3C" w:rsidRDefault="00CB0BB9" w:rsidP="00417A5B">
      <w:pPr>
        <w:numPr>
          <w:ilvl w:val="0"/>
          <w:numId w:val="12"/>
        </w:numPr>
        <w:pBdr>
          <w:top w:val="nil"/>
          <w:left w:val="nil"/>
          <w:bottom w:val="nil"/>
          <w:right w:val="nil"/>
          <w:between w:val="nil"/>
        </w:pBdr>
        <w:spacing w:before="120" w:after="120"/>
        <w:jc w:val="both"/>
        <w:rPr>
          <w:rFonts w:ascii="Arial" w:eastAsia="Arial" w:hAnsi="Arial" w:cs="Arial"/>
          <w:sz w:val="24"/>
          <w:szCs w:val="24"/>
        </w:rPr>
      </w:pPr>
      <w:r w:rsidRPr="00E86C3C">
        <w:rPr>
          <w:rFonts w:ascii="Arial" w:eastAsia="Arial" w:hAnsi="Arial" w:cs="Arial"/>
          <w:sz w:val="24"/>
          <w:szCs w:val="24"/>
        </w:rPr>
        <w:t>Acuerdo 05 de 2021. Por el cual se modifica la planta de personal del Instituto Distrital de Patrimonio Cultural (</w:t>
      </w:r>
      <w:hyperlink r:id="rId29">
        <w:r w:rsidRPr="00E86C3C">
          <w:rPr>
            <w:rFonts w:ascii="Arial" w:eastAsia="Arial" w:hAnsi="Arial" w:cs="Arial"/>
            <w:sz w:val="24"/>
            <w:szCs w:val="24"/>
          </w:rPr>
          <w:t>https://www.idpc.gov.co/Transparencia/toma%20de%20decisiones/Acuerdo%20N.005%20de%20Nov%2011-2021.pdf</w:t>
        </w:r>
      </w:hyperlink>
      <w:r w:rsidRPr="00E86C3C">
        <w:rPr>
          <w:rFonts w:ascii="Arial" w:eastAsia="Arial" w:hAnsi="Arial" w:cs="Arial"/>
          <w:sz w:val="24"/>
          <w:szCs w:val="24"/>
        </w:rPr>
        <w:t>).</w:t>
      </w:r>
    </w:p>
    <w:p w14:paraId="6756751E" w14:textId="3B6C8011" w:rsidR="00CB0BB9" w:rsidRPr="00E86C3C" w:rsidRDefault="00CB0BB9" w:rsidP="00417A5B">
      <w:pPr>
        <w:numPr>
          <w:ilvl w:val="0"/>
          <w:numId w:val="10"/>
        </w:numPr>
        <w:pBdr>
          <w:top w:val="nil"/>
          <w:left w:val="nil"/>
          <w:bottom w:val="nil"/>
          <w:right w:val="nil"/>
          <w:between w:val="nil"/>
        </w:pBdr>
        <w:spacing w:before="120" w:after="120"/>
        <w:jc w:val="both"/>
        <w:rPr>
          <w:rFonts w:ascii="Arial" w:eastAsia="Arial" w:hAnsi="Arial" w:cs="Arial"/>
          <w:sz w:val="24"/>
          <w:szCs w:val="24"/>
        </w:rPr>
      </w:pPr>
      <w:r w:rsidRPr="00E86C3C">
        <w:rPr>
          <w:rFonts w:ascii="Arial" w:eastAsia="Arial" w:hAnsi="Arial" w:cs="Arial"/>
          <w:sz w:val="24"/>
          <w:szCs w:val="24"/>
        </w:rPr>
        <w:t>Acuerdo 04 de 2021. Por el cual se modifica la estructura del Instituto Distrital de Patrimonio Cultural y se dictan otras disposiciones (</w:t>
      </w:r>
      <w:hyperlink r:id="rId30">
        <w:r w:rsidRPr="00E86C3C">
          <w:rPr>
            <w:rFonts w:ascii="Arial" w:eastAsia="Arial" w:hAnsi="Arial" w:cs="Arial"/>
            <w:sz w:val="24"/>
            <w:szCs w:val="24"/>
          </w:rPr>
          <w:t>https://www.idpc.gov.co/Transparencia/toma%20de%20decisiones/Acuerdo%20N.%20004%20de%20Nov%2011-2021.pdf</w:t>
        </w:r>
      </w:hyperlink>
      <w:r w:rsidRPr="00E86C3C">
        <w:rPr>
          <w:rFonts w:ascii="Arial" w:eastAsia="Arial" w:hAnsi="Arial" w:cs="Arial"/>
          <w:sz w:val="24"/>
          <w:szCs w:val="24"/>
        </w:rPr>
        <w:t>)</w:t>
      </w:r>
      <w:r w:rsidR="00C73C23" w:rsidRPr="00E86C3C">
        <w:rPr>
          <w:rFonts w:ascii="Arial" w:eastAsia="Arial" w:hAnsi="Arial" w:cs="Arial"/>
          <w:sz w:val="24"/>
          <w:szCs w:val="24"/>
        </w:rPr>
        <w:t xml:space="preserve">. </w:t>
      </w:r>
    </w:p>
    <w:p w14:paraId="7AD7DEFB" w14:textId="77777777" w:rsidR="00CB0BB9" w:rsidRPr="00E86C3C" w:rsidRDefault="00CB0BB9" w:rsidP="00C73C23">
      <w:pPr>
        <w:numPr>
          <w:ilvl w:val="0"/>
          <w:numId w:val="14"/>
        </w:numPr>
        <w:pBdr>
          <w:top w:val="nil"/>
          <w:left w:val="nil"/>
          <w:bottom w:val="nil"/>
          <w:right w:val="nil"/>
          <w:between w:val="nil"/>
        </w:pBdr>
        <w:rPr>
          <w:rFonts w:ascii="Arial" w:eastAsia="Arial" w:hAnsi="Arial" w:cs="Arial"/>
          <w:sz w:val="24"/>
          <w:szCs w:val="24"/>
        </w:rPr>
      </w:pPr>
      <w:r w:rsidRPr="00E86C3C">
        <w:rPr>
          <w:rFonts w:ascii="Arial" w:eastAsia="Arial" w:hAnsi="Arial" w:cs="Arial"/>
          <w:sz w:val="24"/>
          <w:szCs w:val="24"/>
        </w:rPr>
        <w:t>Acuerdo 01 de 2019. Estructura Organizacional y Funciones del Instituto Distrital de Patrimonio Cultural (https://idpc.gov.co/Transparencia/acuerdo%2001%20de%202019%20%281%29.pdf).</w:t>
      </w:r>
    </w:p>
    <w:p w14:paraId="46923047" w14:textId="77777777" w:rsidR="00CB0BB9" w:rsidRDefault="00CB0BB9" w:rsidP="00C73C23">
      <w:pPr>
        <w:numPr>
          <w:ilvl w:val="0"/>
          <w:numId w:val="14"/>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20223050016211. Asunto: Respuesta del Radicado No. 202251100112872. Destinatario: Sra. Graciela Mancera (https://idpc.gov.co/Transparencia/Comunicaciones%20por%20Aviso/2022/abril/20223050016211%20con%20Anexos.pdf).</w:t>
      </w:r>
    </w:p>
    <w:p w14:paraId="7152FF9D" w14:textId="77777777" w:rsidR="00CB0BB9" w:rsidRDefault="00CB0BB9" w:rsidP="00C73C23">
      <w:pPr>
        <w:numPr>
          <w:ilvl w:val="0"/>
          <w:numId w:val="14"/>
        </w:num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Resolución 373 de 2018. Por la cual se reglamenta el trámite interno para los derechos de petición ante el Instituto Distrital de Patrimonio Cultural y se dictan otras disposiciones (https://idpc.gov.co/Transparencia/Resolucion%20373%20de%202018.pdf).</w:t>
      </w:r>
    </w:p>
    <w:p w14:paraId="1825127D" w14:textId="77777777" w:rsidR="00CB0BB9" w:rsidRDefault="00CB0BB9" w:rsidP="00C73C23">
      <w:pPr>
        <w:numPr>
          <w:ilvl w:val="0"/>
          <w:numId w:val="14"/>
        </w:num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Manual de contratación, versión 6 (https://idpc.gov.co/Transparencia/Planeaci%C3%B3n%202019/Diciembre/Manual%20de%20Contrataci%C3%B3n.pdf).</w:t>
      </w:r>
    </w:p>
    <w:p w14:paraId="614300FA" w14:textId="77777777" w:rsidR="00CB0BB9" w:rsidRDefault="00CB0BB9" w:rsidP="00865DB0">
      <w:pPr>
        <w:numPr>
          <w:ilvl w:val="0"/>
          <w:numId w:val="14"/>
        </w:num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Resolución 078 de 2020. Por la cual se modifica el manual específico de funciones y de competencias laborales para los empleos de la planta de personal del Instituto Distrital de Patrimonio Cultural (https://idpc.gov.co/Transparencia/Talento%20Humano/abril%202020/MANUAL-IDPC%20%282%29.pdf).</w:t>
      </w:r>
    </w:p>
    <w:p w14:paraId="6289602B" w14:textId="77777777" w:rsidR="00CB0BB9" w:rsidRDefault="00CB0BB9" w:rsidP="00865DB0">
      <w:pPr>
        <w:numPr>
          <w:ilvl w:val="0"/>
          <w:numId w:val="14"/>
        </w:num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Resolución 099 de 2019. Por el cual se adopta la actualización del manual de contratación del Instituto Distrital de Patrimonio Cultural versión 6 (https://idpc.gov.co/wp-content/uploads/2020/01/Resolucion-099-de-2019_compressed1.pdf).</w:t>
      </w:r>
    </w:p>
    <w:p w14:paraId="4B3B3A4C" w14:textId="77777777" w:rsidR="00CB0BB9" w:rsidRDefault="00CB0BB9" w:rsidP="00865DB0">
      <w:pPr>
        <w:numPr>
          <w:ilvl w:val="0"/>
          <w:numId w:val="14"/>
        </w:num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Resolución 372 de 2018. Por la cual el Instituto Distrital de Patrimonio Cultural establece la modalidad y costo de reprografía de la información solicitada por particulares (https://idpc.gov.co/Transparencia/Resolucion%20372_2018.pdf).</w:t>
      </w:r>
    </w:p>
    <w:p w14:paraId="3A3845EF" w14:textId="43303074" w:rsidR="00CB0BB9" w:rsidRDefault="00CB0BB9" w:rsidP="00865DB0">
      <w:pPr>
        <w:pBdr>
          <w:top w:val="nil"/>
          <w:left w:val="nil"/>
          <w:bottom w:val="nil"/>
          <w:right w:val="nil"/>
          <w:between w:val="nil"/>
        </w:pBdr>
        <w:ind w:left="-142"/>
        <w:jc w:val="both"/>
        <w:rPr>
          <w:rFonts w:ascii="Arial" w:eastAsia="Arial" w:hAnsi="Arial" w:cs="Arial"/>
          <w:strike/>
          <w:color w:val="000000"/>
          <w:sz w:val="24"/>
          <w:szCs w:val="24"/>
        </w:rPr>
      </w:pPr>
    </w:p>
    <w:p w14:paraId="3E3D760D" w14:textId="38C8526A" w:rsidR="00364F22" w:rsidRPr="00364F22" w:rsidRDefault="00364F22" w:rsidP="00364F22">
      <w:pPr>
        <w:pBdr>
          <w:top w:val="nil"/>
          <w:left w:val="nil"/>
          <w:bottom w:val="nil"/>
          <w:right w:val="nil"/>
          <w:between w:val="nil"/>
        </w:pBdr>
        <w:spacing w:before="120" w:after="120"/>
        <w:ind w:left="-142"/>
        <w:jc w:val="both"/>
        <w:rPr>
          <w:rFonts w:ascii="Arial" w:eastAsia="Arial" w:hAnsi="Arial" w:cs="Arial"/>
          <w:color w:val="002060"/>
          <w:sz w:val="24"/>
          <w:szCs w:val="24"/>
        </w:rPr>
      </w:pPr>
      <w:r w:rsidRPr="00204B48">
        <w:rPr>
          <w:rFonts w:ascii="Arial" w:eastAsia="Arial" w:hAnsi="Arial" w:cs="Arial"/>
          <w:b/>
          <w:color w:val="002060"/>
          <w:sz w:val="24"/>
          <w:szCs w:val="24"/>
        </w:rPr>
        <w:lastRenderedPageBreak/>
        <w:t>Respuesta del proceso:</w:t>
      </w:r>
      <w:r w:rsidRPr="00364F22">
        <w:rPr>
          <w:color w:val="002060"/>
        </w:rPr>
        <w:t xml:space="preserve"> </w:t>
      </w:r>
      <w:r w:rsidRPr="00364F22">
        <w:rPr>
          <w:rFonts w:ascii="Arial" w:eastAsia="Arial" w:hAnsi="Arial" w:cs="Arial"/>
          <w:color w:val="002060"/>
          <w:sz w:val="24"/>
          <w:szCs w:val="24"/>
        </w:rPr>
        <w:t>Manual de contratación, versión 6 (https://idpc.gov.co/Transparencia/Planeaci%C3%B3n%202019/Diciembre/Manual%20de%20Contrataci%C3%B3n.pdf).</w:t>
      </w:r>
    </w:p>
    <w:p w14:paraId="074C56CD" w14:textId="7866DB4D" w:rsidR="00364F22" w:rsidRPr="00364F22" w:rsidRDefault="00364F22" w:rsidP="004A2ABB">
      <w:pPr>
        <w:pBdr>
          <w:top w:val="nil"/>
          <w:left w:val="nil"/>
          <w:bottom w:val="nil"/>
          <w:right w:val="nil"/>
          <w:between w:val="nil"/>
        </w:pBdr>
        <w:spacing w:before="120" w:after="120"/>
        <w:ind w:left="720" w:hanging="720"/>
        <w:jc w:val="both"/>
        <w:rPr>
          <w:rFonts w:ascii="Arial" w:eastAsia="Arial" w:hAnsi="Arial" w:cs="Arial"/>
          <w:color w:val="002060"/>
          <w:sz w:val="24"/>
          <w:szCs w:val="24"/>
        </w:rPr>
      </w:pPr>
      <w:r w:rsidRPr="00364F22">
        <w:rPr>
          <w:rFonts w:ascii="Arial" w:eastAsia="Arial" w:hAnsi="Arial" w:cs="Arial"/>
          <w:color w:val="002060"/>
          <w:sz w:val="24"/>
          <w:szCs w:val="24"/>
        </w:rPr>
        <w:t>Resolución 099 de 2019. Por el cual se adopta la actualización del manual de contratación del Instituto Distrital de Patrimonio Cultural versión 6 (https://idpc.gov.co/wp-content/uploads/2020/01/Resolucion-099-de-2019_compressed1.pdf)".</w:t>
      </w:r>
    </w:p>
    <w:p w14:paraId="49FC7A6D" w14:textId="58CAFBE5" w:rsidR="00364F22" w:rsidRPr="00364F22" w:rsidRDefault="00364F22" w:rsidP="00B10D42">
      <w:pPr>
        <w:pBdr>
          <w:top w:val="nil"/>
          <w:left w:val="nil"/>
          <w:bottom w:val="nil"/>
          <w:right w:val="nil"/>
          <w:between w:val="nil"/>
        </w:pBdr>
        <w:spacing w:before="120" w:after="120"/>
        <w:ind w:left="-142"/>
        <w:jc w:val="both"/>
        <w:rPr>
          <w:rFonts w:ascii="Arial" w:eastAsia="Arial" w:hAnsi="Arial" w:cs="Arial"/>
          <w:color w:val="002060"/>
          <w:sz w:val="24"/>
          <w:szCs w:val="24"/>
        </w:rPr>
      </w:pPr>
      <w:r w:rsidRPr="00364F22">
        <w:rPr>
          <w:rFonts w:ascii="Arial" w:eastAsia="Arial" w:hAnsi="Arial" w:cs="Arial"/>
          <w:color w:val="002060"/>
          <w:sz w:val="24"/>
          <w:szCs w:val="24"/>
        </w:rPr>
        <w:t>Sin embargo, revisado estas se encuentran en versión de búsqueda, atendiendo las observaciones que efectuaste en informes pasados, en las siguientes 2.1 políticas, lineamientos y manuales y Resoluciones, y 3.4 Manual de Contratación, adquisiciones y/o compras.</w:t>
      </w:r>
    </w:p>
    <w:p w14:paraId="7A9CAE07" w14:textId="77777777" w:rsidR="00243539" w:rsidRDefault="00364F22" w:rsidP="00243539">
      <w:pPr>
        <w:pBdr>
          <w:top w:val="nil"/>
          <w:left w:val="nil"/>
          <w:bottom w:val="nil"/>
          <w:right w:val="nil"/>
          <w:between w:val="nil"/>
        </w:pBdr>
        <w:spacing w:before="120" w:after="120"/>
        <w:ind w:left="-142"/>
        <w:jc w:val="both"/>
        <w:rPr>
          <w:rFonts w:ascii="Arial" w:eastAsia="Arial" w:hAnsi="Arial" w:cs="Arial"/>
          <w:color w:val="002060"/>
          <w:sz w:val="24"/>
          <w:szCs w:val="24"/>
        </w:rPr>
      </w:pPr>
      <w:r w:rsidRPr="00364F22">
        <w:rPr>
          <w:rFonts w:ascii="Arial" w:eastAsia="Arial" w:hAnsi="Arial" w:cs="Arial"/>
          <w:color w:val="002060"/>
          <w:sz w:val="24"/>
          <w:szCs w:val="24"/>
        </w:rPr>
        <w:t>Quedo atenta a si debe publicarse en versión editable en otro lugar.</w:t>
      </w:r>
    </w:p>
    <w:p w14:paraId="076E3BCE" w14:textId="77777777" w:rsidR="00243539" w:rsidRDefault="00243539" w:rsidP="00243539">
      <w:pPr>
        <w:pBdr>
          <w:top w:val="nil"/>
          <w:left w:val="nil"/>
          <w:bottom w:val="nil"/>
          <w:right w:val="nil"/>
          <w:between w:val="nil"/>
        </w:pBdr>
        <w:spacing w:before="120" w:after="120"/>
        <w:ind w:left="-142"/>
        <w:jc w:val="both"/>
        <w:rPr>
          <w:rFonts w:ascii="Arial" w:eastAsia="Arial" w:hAnsi="Arial" w:cs="Arial"/>
          <w:color w:val="002060"/>
          <w:sz w:val="24"/>
          <w:szCs w:val="24"/>
        </w:rPr>
      </w:pPr>
      <w:r w:rsidRPr="008A605E">
        <w:rPr>
          <w:rFonts w:ascii="Arial" w:eastAsia="Arial" w:hAnsi="Arial" w:cs="Arial"/>
          <w:color w:val="002060"/>
          <w:sz w:val="24"/>
          <w:szCs w:val="24"/>
        </w:rPr>
        <w:t>En cuanto a lo señalado en el cuerpo del mencionado informe, se indica que se corrigieron los enlaces mencionados en las páginas 12 y 13.</w:t>
      </w:r>
    </w:p>
    <w:p w14:paraId="10733848" w14:textId="0FAC024D" w:rsidR="004A2ABB" w:rsidRPr="000F4BA6" w:rsidRDefault="00243539" w:rsidP="004A2ABB">
      <w:pPr>
        <w:pBdr>
          <w:top w:val="nil"/>
          <w:left w:val="nil"/>
          <w:bottom w:val="nil"/>
          <w:right w:val="nil"/>
          <w:between w:val="nil"/>
        </w:pBdr>
        <w:spacing w:before="120" w:after="120"/>
        <w:ind w:left="-142"/>
        <w:jc w:val="both"/>
        <w:rPr>
          <w:rFonts w:ascii="Arial" w:eastAsia="Arial" w:hAnsi="Arial" w:cs="Arial"/>
          <w:color w:val="7030A0"/>
          <w:sz w:val="24"/>
          <w:szCs w:val="24"/>
        </w:rPr>
      </w:pPr>
      <w:r w:rsidRPr="00204B48">
        <w:rPr>
          <w:rFonts w:ascii="Arial" w:eastAsia="Arial" w:hAnsi="Arial" w:cs="Arial"/>
          <w:b/>
          <w:color w:val="7030A0"/>
          <w:sz w:val="24"/>
          <w:szCs w:val="24"/>
        </w:rPr>
        <w:t>Valoración de la respuesta:</w:t>
      </w:r>
      <w:r w:rsidRPr="000F4BA6">
        <w:rPr>
          <w:rFonts w:ascii="Arial" w:eastAsia="Arial" w:hAnsi="Arial" w:cs="Arial"/>
          <w:color w:val="7030A0"/>
          <w:sz w:val="24"/>
          <w:szCs w:val="24"/>
        </w:rPr>
        <w:t xml:space="preserve"> </w:t>
      </w:r>
      <w:r w:rsidR="004A2ABB" w:rsidRPr="000F4BA6">
        <w:rPr>
          <w:rFonts w:ascii="Arial" w:eastAsia="Arial" w:hAnsi="Arial" w:cs="Arial"/>
          <w:color w:val="7030A0"/>
          <w:sz w:val="24"/>
          <w:szCs w:val="24"/>
        </w:rPr>
        <w:t xml:space="preserve">Se acepta la respuesta en cuanto al manual de contratación, versión 6, disponible en el siguiente enlace: </w:t>
      </w:r>
      <w:hyperlink r:id="rId31" w:history="1">
        <w:r w:rsidR="004A2ABB" w:rsidRPr="000F4BA6">
          <w:rPr>
            <w:rStyle w:val="Hipervnculo"/>
            <w:rFonts w:ascii="Arial" w:eastAsia="Arial" w:hAnsi="Arial" w:cs="Arial"/>
            <w:color w:val="7030A0"/>
            <w:sz w:val="24"/>
            <w:szCs w:val="24"/>
            <w:u w:val="none"/>
          </w:rPr>
          <w:t>https://idpc.gov.co/Transparencia/Jur%C3%ADdica/2022/mayo/Manual%20de%20Contratacion%20%28version%20busqueda%29.pdf</w:t>
        </w:r>
      </w:hyperlink>
      <w:r w:rsidR="004A2ABB" w:rsidRPr="000F4BA6">
        <w:rPr>
          <w:rFonts w:ascii="Arial" w:eastAsia="Arial" w:hAnsi="Arial" w:cs="Arial"/>
          <w:color w:val="7030A0"/>
          <w:sz w:val="24"/>
          <w:szCs w:val="24"/>
        </w:rPr>
        <w:t>. Este documento incluye también la resolución 099 de 2019 Por el cual se adopta la actualización del manual de contratación del Instituto Distrital de Patrimonio Cultural versión 6.</w:t>
      </w:r>
    </w:p>
    <w:p w14:paraId="760AB437" w14:textId="33E4C6C1" w:rsidR="00364F22" w:rsidRPr="000F4BA6" w:rsidRDefault="000F4BA6" w:rsidP="000F4BA6">
      <w:pPr>
        <w:pBdr>
          <w:top w:val="nil"/>
          <w:left w:val="nil"/>
          <w:bottom w:val="nil"/>
          <w:right w:val="nil"/>
          <w:between w:val="nil"/>
        </w:pBdr>
        <w:spacing w:before="120" w:after="120"/>
        <w:ind w:left="-142"/>
        <w:jc w:val="both"/>
        <w:rPr>
          <w:rFonts w:ascii="Arial" w:eastAsia="Arial" w:hAnsi="Arial" w:cs="Arial"/>
          <w:color w:val="7030A0"/>
          <w:sz w:val="24"/>
          <w:szCs w:val="24"/>
        </w:rPr>
      </w:pPr>
      <w:r w:rsidRPr="000F4BA6">
        <w:rPr>
          <w:rFonts w:ascii="Arial" w:eastAsia="Arial" w:hAnsi="Arial" w:cs="Arial"/>
          <w:color w:val="7030A0"/>
          <w:sz w:val="24"/>
          <w:szCs w:val="24"/>
        </w:rPr>
        <w:t>Con respecto a los demás documentos, de acuerdo con la revisión realizada, aún no es posible la búsqueda de información en su interior.</w:t>
      </w:r>
    </w:p>
    <w:p w14:paraId="1BDFB0E0" w14:textId="77777777" w:rsidR="00CB0BB9" w:rsidRDefault="00CB0BB9" w:rsidP="00865DB0">
      <w:pPr>
        <w:numPr>
          <w:ilvl w:val="0"/>
          <w:numId w:val="6"/>
        </w:numPr>
        <w:pBdr>
          <w:top w:val="nil"/>
          <w:left w:val="nil"/>
          <w:bottom w:val="nil"/>
          <w:right w:val="nil"/>
          <w:between w:val="nil"/>
        </w:pBdr>
        <w:ind w:left="284" w:hanging="426"/>
        <w:jc w:val="both"/>
        <w:rPr>
          <w:rFonts w:ascii="Arial" w:eastAsia="Arial" w:hAnsi="Arial" w:cs="Arial"/>
          <w:sz w:val="24"/>
          <w:szCs w:val="24"/>
        </w:rPr>
      </w:pPr>
      <w:r>
        <w:rPr>
          <w:rFonts w:ascii="Arial" w:eastAsia="Arial" w:hAnsi="Arial" w:cs="Arial"/>
          <w:color w:val="000000"/>
          <w:sz w:val="24"/>
          <w:szCs w:val="24"/>
        </w:rPr>
        <w:t xml:space="preserve">Todo documento o información debe indicar la fecha de su publicación en página web. </w:t>
      </w:r>
    </w:p>
    <w:p w14:paraId="6F914D0D" w14:textId="77777777" w:rsidR="00CB0BB9" w:rsidRDefault="00CB0BB9" w:rsidP="00865DB0">
      <w:pPr>
        <w:pBdr>
          <w:top w:val="nil"/>
          <w:left w:val="nil"/>
          <w:bottom w:val="nil"/>
          <w:right w:val="nil"/>
          <w:between w:val="nil"/>
        </w:pBdr>
        <w:ind w:left="-142"/>
        <w:jc w:val="both"/>
        <w:rPr>
          <w:rFonts w:ascii="Arial" w:eastAsia="Arial" w:hAnsi="Arial" w:cs="Arial"/>
          <w:sz w:val="24"/>
          <w:szCs w:val="24"/>
        </w:rPr>
      </w:pPr>
    </w:p>
    <w:p w14:paraId="3445D719" w14:textId="77777777" w:rsidR="00CB0BB9" w:rsidRDefault="00CB0BB9" w:rsidP="00865DB0">
      <w:pPr>
        <w:ind w:left="-142"/>
        <w:jc w:val="both"/>
        <w:rPr>
          <w:rFonts w:ascii="Arial" w:eastAsia="Arial" w:hAnsi="Arial" w:cs="Arial"/>
          <w:sz w:val="24"/>
          <w:szCs w:val="24"/>
        </w:rPr>
      </w:pPr>
      <w:r>
        <w:rPr>
          <w:rFonts w:ascii="Arial" w:eastAsia="Arial" w:hAnsi="Arial" w:cs="Arial"/>
          <w:sz w:val="24"/>
          <w:szCs w:val="24"/>
        </w:rPr>
        <w:t xml:space="preserve">A nivel general, la fecha de publicación en la página web se incluye a partir de mayo de 2021. </w:t>
      </w:r>
    </w:p>
    <w:p w14:paraId="765998CB" w14:textId="77777777" w:rsidR="00CB0BB9" w:rsidRDefault="00CB0BB9" w:rsidP="00865DB0">
      <w:pPr>
        <w:ind w:left="-142"/>
        <w:jc w:val="both"/>
        <w:rPr>
          <w:rFonts w:ascii="Arial" w:eastAsia="Arial" w:hAnsi="Arial" w:cs="Arial"/>
          <w:sz w:val="24"/>
          <w:szCs w:val="24"/>
        </w:rPr>
      </w:pPr>
    </w:p>
    <w:p w14:paraId="6647A538" w14:textId="77777777" w:rsidR="00CB0BB9" w:rsidRDefault="00CB0BB9" w:rsidP="00865DB0">
      <w:pPr>
        <w:pBdr>
          <w:top w:val="nil"/>
          <w:left w:val="nil"/>
          <w:bottom w:val="nil"/>
          <w:right w:val="nil"/>
          <w:between w:val="nil"/>
        </w:pBdr>
        <w:ind w:left="-142"/>
        <w:jc w:val="both"/>
        <w:rPr>
          <w:rFonts w:ascii="Arial" w:eastAsia="Arial" w:hAnsi="Arial" w:cs="Arial"/>
          <w:i/>
          <w:color w:val="000000"/>
          <w:sz w:val="24"/>
          <w:szCs w:val="24"/>
          <w:u w:val="single"/>
        </w:rPr>
      </w:pPr>
      <w:r>
        <w:rPr>
          <w:rFonts w:ascii="Arial" w:eastAsia="Arial" w:hAnsi="Arial" w:cs="Arial"/>
          <w:i/>
          <w:sz w:val="24"/>
          <w:szCs w:val="24"/>
          <w:u w:val="single"/>
        </w:rPr>
        <w:t xml:space="preserve">1.2.1.6 </w:t>
      </w:r>
      <w:r>
        <w:rPr>
          <w:rFonts w:ascii="Arial" w:eastAsia="Arial" w:hAnsi="Arial" w:cs="Arial"/>
          <w:i/>
          <w:color w:val="000000"/>
          <w:sz w:val="24"/>
          <w:szCs w:val="24"/>
          <w:u w:val="single"/>
        </w:rPr>
        <w:t>Menú de Transparencia y acceso a la información pública</w:t>
      </w:r>
    </w:p>
    <w:p w14:paraId="659A50C0" w14:textId="77777777" w:rsidR="00CB0BB9" w:rsidRDefault="00CB0BB9" w:rsidP="00865DB0">
      <w:pPr>
        <w:ind w:left="-142"/>
        <w:jc w:val="both"/>
        <w:rPr>
          <w:rFonts w:ascii="Arial" w:eastAsia="Arial" w:hAnsi="Arial" w:cs="Arial"/>
          <w:sz w:val="24"/>
          <w:szCs w:val="24"/>
        </w:rPr>
      </w:pPr>
    </w:p>
    <w:p w14:paraId="0B039ACC" w14:textId="56C43ADE" w:rsidR="00CB0BB9" w:rsidRPr="00FF533B" w:rsidRDefault="00CB0BB9" w:rsidP="00FF533B">
      <w:pPr>
        <w:spacing w:after="120"/>
        <w:ind w:left="-142"/>
        <w:jc w:val="both"/>
        <w:rPr>
          <w:rFonts w:ascii="Arial" w:eastAsia="Arial" w:hAnsi="Arial" w:cs="Arial"/>
          <w:sz w:val="24"/>
          <w:szCs w:val="24"/>
        </w:rPr>
      </w:pPr>
      <w:r>
        <w:rPr>
          <w:rFonts w:ascii="Arial" w:eastAsia="Arial" w:hAnsi="Arial" w:cs="Arial"/>
          <w:sz w:val="24"/>
          <w:szCs w:val="24"/>
        </w:rPr>
        <w:t>El Instituto en su calidad de sujeto obligado, de acuerdo con lo estipulado en la Resolución 1519 de 2020, debe realizar publicación de la información acorde a lo dispuesto en el anexo 2 de la misma. Por tal razón la Asesoría de Control Interno llevó a cabo la revisión del Menú de Transparencia de su Página web, evaluando 5</w:t>
      </w:r>
      <w:r w:rsidR="00B87456">
        <w:rPr>
          <w:rFonts w:ascii="Arial" w:eastAsia="Arial" w:hAnsi="Arial" w:cs="Arial"/>
          <w:sz w:val="24"/>
          <w:szCs w:val="24"/>
        </w:rPr>
        <w:t>2</w:t>
      </w:r>
      <w:r>
        <w:rPr>
          <w:rFonts w:ascii="Arial" w:eastAsia="Arial" w:hAnsi="Arial" w:cs="Arial"/>
          <w:sz w:val="24"/>
          <w:szCs w:val="24"/>
        </w:rPr>
        <w:t xml:space="preserve"> ítems, tal como se evidencia en el anexo 2 del presente informe y en los siguientes cuadros:  </w:t>
      </w:r>
    </w:p>
    <w:tbl>
      <w:tblPr>
        <w:tblStyle w:val="Tablaconcuadrcula1"/>
        <w:tblW w:w="7508" w:type="dxa"/>
        <w:jc w:val="center"/>
        <w:tblLayout w:type="fixed"/>
        <w:tblLook w:val="0420" w:firstRow="1" w:lastRow="0" w:firstColumn="0" w:lastColumn="0" w:noHBand="0" w:noVBand="1"/>
      </w:tblPr>
      <w:tblGrid>
        <w:gridCol w:w="4966"/>
        <w:gridCol w:w="1125"/>
        <w:gridCol w:w="1417"/>
      </w:tblGrid>
      <w:tr w:rsidR="00CB0BB9" w14:paraId="736ADBC3" w14:textId="77777777" w:rsidTr="00FA584D">
        <w:trPr>
          <w:jc w:val="center"/>
        </w:trPr>
        <w:tc>
          <w:tcPr>
            <w:tcW w:w="4966" w:type="dxa"/>
            <w:shd w:val="clear" w:color="auto" w:fill="F2F2F2" w:themeFill="background1" w:themeFillShade="F2"/>
            <w:vAlign w:val="center"/>
          </w:tcPr>
          <w:p w14:paraId="51B18CDE" w14:textId="77777777" w:rsidR="00CB6F03" w:rsidRPr="00CB6F03" w:rsidRDefault="00CB6F03" w:rsidP="00CB6F03">
            <w:pPr>
              <w:ind w:left="32" w:right="-93"/>
              <w:rPr>
                <w:rFonts w:ascii="Arial" w:eastAsia="Arial" w:hAnsi="Arial" w:cs="Arial"/>
                <w:b/>
                <w:bCs/>
                <w:sz w:val="24"/>
                <w:szCs w:val="24"/>
              </w:rPr>
            </w:pPr>
            <w:r w:rsidRPr="00CB6F03">
              <w:rPr>
                <w:rFonts w:ascii="Arial" w:eastAsia="Arial" w:hAnsi="Arial" w:cs="Arial"/>
                <w:b/>
                <w:bCs/>
                <w:sz w:val="24"/>
                <w:szCs w:val="24"/>
              </w:rPr>
              <w:t>Seguimiento y evaluación CI Agosto 2022</w:t>
            </w:r>
          </w:p>
          <w:p w14:paraId="3D3F693C" w14:textId="23760834" w:rsidR="00CB0BB9" w:rsidRPr="00CB6F03" w:rsidRDefault="00CB6F03" w:rsidP="00CB6F03">
            <w:pPr>
              <w:ind w:left="-142" w:right="-93"/>
              <w:jc w:val="center"/>
              <w:rPr>
                <w:rFonts w:ascii="Arial" w:eastAsia="Arial" w:hAnsi="Arial" w:cs="Arial"/>
                <w:b/>
                <w:bCs/>
                <w:sz w:val="24"/>
                <w:szCs w:val="24"/>
              </w:rPr>
            </w:pPr>
            <w:r w:rsidRPr="00CB6F03">
              <w:rPr>
                <w:rFonts w:ascii="Arial" w:eastAsia="Arial" w:hAnsi="Arial" w:cs="Arial"/>
                <w:b/>
                <w:bCs/>
                <w:sz w:val="24"/>
                <w:szCs w:val="24"/>
              </w:rPr>
              <w:t>Publicaciones 2022</w:t>
            </w:r>
          </w:p>
        </w:tc>
        <w:tc>
          <w:tcPr>
            <w:tcW w:w="1125" w:type="dxa"/>
            <w:shd w:val="clear" w:color="auto" w:fill="F2F2F2" w:themeFill="background1" w:themeFillShade="F2"/>
            <w:vAlign w:val="center"/>
          </w:tcPr>
          <w:p w14:paraId="44B5022E" w14:textId="77777777" w:rsidR="00CB0BB9" w:rsidRPr="00CB6F03" w:rsidRDefault="00CB0BB9" w:rsidP="006324A8">
            <w:pPr>
              <w:ind w:left="-142" w:right="-93"/>
              <w:jc w:val="center"/>
              <w:rPr>
                <w:rFonts w:ascii="Arial" w:eastAsia="Arial" w:hAnsi="Arial" w:cs="Arial"/>
                <w:b/>
                <w:bCs/>
                <w:sz w:val="24"/>
                <w:szCs w:val="24"/>
              </w:rPr>
            </w:pPr>
            <w:r w:rsidRPr="00CB6F03">
              <w:rPr>
                <w:rFonts w:ascii="Arial" w:eastAsia="Arial" w:hAnsi="Arial" w:cs="Arial"/>
                <w:b/>
                <w:bCs/>
                <w:sz w:val="24"/>
                <w:szCs w:val="24"/>
              </w:rPr>
              <w:t xml:space="preserve"> Totales </w:t>
            </w:r>
          </w:p>
        </w:tc>
        <w:tc>
          <w:tcPr>
            <w:tcW w:w="1417" w:type="dxa"/>
            <w:shd w:val="clear" w:color="auto" w:fill="F2F2F2" w:themeFill="background1" w:themeFillShade="F2"/>
            <w:vAlign w:val="center"/>
          </w:tcPr>
          <w:p w14:paraId="6F218150" w14:textId="77777777" w:rsidR="00CB0BB9" w:rsidRPr="00CB6F03" w:rsidRDefault="00CB0BB9" w:rsidP="006324A8">
            <w:pPr>
              <w:ind w:left="-142" w:right="-93"/>
              <w:jc w:val="center"/>
              <w:rPr>
                <w:rFonts w:ascii="Arial" w:eastAsia="Arial" w:hAnsi="Arial" w:cs="Arial"/>
                <w:b/>
                <w:bCs/>
                <w:sz w:val="24"/>
                <w:szCs w:val="24"/>
              </w:rPr>
            </w:pPr>
            <w:r w:rsidRPr="00CB6F03">
              <w:rPr>
                <w:rFonts w:ascii="Arial" w:eastAsia="Arial" w:hAnsi="Arial" w:cs="Arial"/>
                <w:b/>
                <w:bCs/>
                <w:sz w:val="24"/>
                <w:szCs w:val="24"/>
              </w:rPr>
              <w:t xml:space="preserve">Porcentaje </w:t>
            </w:r>
          </w:p>
        </w:tc>
      </w:tr>
      <w:tr w:rsidR="00CB0BB9" w14:paraId="190569B1" w14:textId="77777777" w:rsidTr="00FA584D">
        <w:trPr>
          <w:jc w:val="center"/>
        </w:trPr>
        <w:tc>
          <w:tcPr>
            <w:tcW w:w="4966" w:type="dxa"/>
            <w:vAlign w:val="center"/>
          </w:tcPr>
          <w:p w14:paraId="657DB1DD" w14:textId="77777777" w:rsidR="00CB0BB9" w:rsidRDefault="00CB0BB9" w:rsidP="00FF533B">
            <w:pPr>
              <w:ind w:left="32" w:right="-93" w:hanging="31"/>
              <w:rPr>
                <w:rFonts w:ascii="Arial" w:eastAsia="Arial" w:hAnsi="Arial" w:cs="Arial"/>
                <w:sz w:val="24"/>
                <w:szCs w:val="24"/>
              </w:rPr>
            </w:pPr>
            <w:r>
              <w:rPr>
                <w:rFonts w:ascii="Arial" w:eastAsia="Arial" w:hAnsi="Arial" w:cs="Arial"/>
                <w:sz w:val="24"/>
                <w:szCs w:val="24"/>
              </w:rPr>
              <w:t>Cumple</w:t>
            </w:r>
          </w:p>
        </w:tc>
        <w:tc>
          <w:tcPr>
            <w:tcW w:w="1125" w:type="dxa"/>
            <w:vAlign w:val="center"/>
          </w:tcPr>
          <w:p w14:paraId="221D4607" w14:textId="568DD08E" w:rsidR="00CB0BB9" w:rsidRDefault="00CB0BB9" w:rsidP="006324A8">
            <w:pPr>
              <w:ind w:left="-142" w:right="-93"/>
              <w:jc w:val="center"/>
              <w:rPr>
                <w:rFonts w:ascii="Arial" w:eastAsia="Arial" w:hAnsi="Arial" w:cs="Arial"/>
                <w:sz w:val="24"/>
                <w:szCs w:val="24"/>
              </w:rPr>
            </w:pPr>
            <w:r w:rsidRPr="00B10D42">
              <w:rPr>
                <w:rFonts w:ascii="Arial" w:eastAsia="Arial" w:hAnsi="Arial" w:cs="Arial"/>
                <w:sz w:val="24"/>
                <w:szCs w:val="24"/>
              </w:rPr>
              <w:t>4</w:t>
            </w:r>
            <w:r w:rsidR="00B10D42" w:rsidRPr="00B10D42">
              <w:rPr>
                <w:rFonts w:ascii="Arial" w:eastAsia="Arial" w:hAnsi="Arial" w:cs="Arial"/>
                <w:sz w:val="24"/>
                <w:szCs w:val="24"/>
              </w:rPr>
              <w:t>8</w:t>
            </w:r>
          </w:p>
        </w:tc>
        <w:tc>
          <w:tcPr>
            <w:tcW w:w="1417" w:type="dxa"/>
            <w:vAlign w:val="center"/>
          </w:tcPr>
          <w:p w14:paraId="58142CBE" w14:textId="2AF9DE5B" w:rsidR="00CB0BB9" w:rsidRDefault="00B10D42" w:rsidP="006324A8">
            <w:pPr>
              <w:ind w:left="-142" w:right="-93"/>
              <w:jc w:val="center"/>
              <w:rPr>
                <w:rFonts w:ascii="Arial" w:eastAsia="Arial" w:hAnsi="Arial" w:cs="Arial"/>
                <w:sz w:val="24"/>
                <w:szCs w:val="24"/>
              </w:rPr>
            </w:pPr>
            <w:r>
              <w:rPr>
                <w:rFonts w:ascii="Arial" w:eastAsia="Arial" w:hAnsi="Arial" w:cs="Arial"/>
                <w:sz w:val="24"/>
                <w:szCs w:val="24"/>
              </w:rPr>
              <w:t>92</w:t>
            </w:r>
            <w:r w:rsidR="00CB0BB9">
              <w:rPr>
                <w:rFonts w:ascii="Arial" w:eastAsia="Arial" w:hAnsi="Arial" w:cs="Arial"/>
                <w:sz w:val="24"/>
                <w:szCs w:val="24"/>
              </w:rPr>
              <w:t>,</w:t>
            </w:r>
            <w:r>
              <w:rPr>
                <w:rFonts w:ascii="Arial" w:eastAsia="Arial" w:hAnsi="Arial" w:cs="Arial"/>
                <w:sz w:val="24"/>
                <w:szCs w:val="24"/>
              </w:rPr>
              <w:t>3</w:t>
            </w:r>
            <w:r w:rsidR="00CB0BB9">
              <w:rPr>
                <w:rFonts w:ascii="Arial" w:eastAsia="Arial" w:hAnsi="Arial" w:cs="Arial"/>
                <w:sz w:val="24"/>
                <w:szCs w:val="24"/>
              </w:rPr>
              <w:t>%</w:t>
            </w:r>
          </w:p>
        </w:tc>
      </w:tr>
      <w:tr w:rsidR="00CB0BB9" w14:paraId="7774AA17" w14:textId="77777777" w:rsidTr="00FA584D">
        <w:trPr>
          <w:jc w:val="center"/>
        </w:trPr>
        <w:tc>
          <w:tcPr>
            <w:tcW w:w="4966" w:type="dxa"/>
            <w:vAlign w:val="center"/>
          </w:tcPr>
          <w:p w14:paraId="7FB457A8" w14:textId="77777777" w:rsidR="00CB0BB9" w:rsidRDefault="00CB0BB9" w:rsidP="00FF533B">
            <w:pPr>
              <w:ind w:right="-93"/>
              <w:rPr>
                <w:rFonts w:ascii="Arial" w:eastAsia="Arial" w:hAnsi="Arial" w:cs="Arial"/>
                <w:sz w:val="24"/>
                <w:szCs w:val="24"/>
              </w:rPr>
            </w:pPr>
            <w:r>
              <w:rPr>
                <w:rFonts w:ascii="Arial" w:eastAsia="Arial" w:hAnsi="Arial" w:cs="Arial"/>
                <w:sz w:val="24"/>
                <w:szCs w:val="24"/>
              </w:rPr>
              <w:t>No Cumple</w:t>
            </w:r>
          </w:p>
        </w:tc>
        <w:tc>
          <w:tcPr>
            <w:tcW w:w="1125" w:type="dxa"/>
            <w:vAlign w:val="center"/>
          </w:tcPr>
          <w:p w14:paraId="4493B640" w14:textId="77777777" w:rsidR="00CB0BB9" w:rsidRDefault="00CB0BB9" w:rsidP="006324A8">
            <w:pPr>
              <w:ind w:left="-142" w:right="-93"/>
              <w:jc w:val="center"/>
              <w:rPr>
                <w:rFonts w:ascii="Arial" w:eastAsia="Arial" w:hAnsi="Arial" w:cs="Arial"/>
                <w:sz w:val="24"/>
                <w:szCs w:val="24"/>
              </w:rPr>
            </w:pPr>
            <w:r>
              <w:rPr>
                <w:rFonts w:ascii="Arial" w:eastAsia="Arial" w:hAnsi="Arial" w:cs="Arial"/>
                <w:sz w:val="24"/>
                <w:szCs w:val="24"/>
              </w:rPr>
              <w:t>0</w:t>
            </w:r>
          </w:p>
        </w:tc>
        <w:tc>
          <w:tcPr>
            <w:tcW w:w="1417" w:type="dxa"/>
            <w:vAlign w:val="center"/>
          </w:tcPr>
          <w:p w14:paraId="71C39694" w14:textId="77777777" w:rsidR="00CB0BB9" w:rsidRDefault="00CB0BB9" w:rsidP="006324A8">
            <w:pPr>
              <w:ind w:left="-142" w:right="-93"/>
              <w:jc w:val="center"/>
              <w:rPr>
                <w:rFonts w:ascii="Arial" w:eastAsia="Arial" w:hAnsi="Arial" w:cs="Arial"/>
                <w:sz w:val="24"/>
                <w:szCs w:val="24"/>
              </w:rPr>
            </w:pPr>
            <w:r>
              <w:rPr>
                <w:rFonts w:ascii="Arial" w:eastAsia="Arial" w:hAnsi="Arial" w:cs="Arial"/>
                <w:sz w:val="24"/>
                <w:szCs w:val="24"/>
              </w:rPr>
              <w:t>0%</w:t>
            </w:r>
          </w:p>
        </w:tc>
      </w:tr>
      <w:tr w:rsidR="00CB0BB9" w14:paraId="21EF7E3D" w14:textId="77777777" w:rsidTr="00FA584D">
        <w:trPr>
          <w:jc w:val="center"/>
        </w:trPr>
        <w:tc>
          <w:tcPr>
            <w:tcW w:w="4966" w:type="dxa"/>
            <w:vAlign w:val="center"/>
          </w:tcPr>
          <w:p w14:paraId="51AE3E26" w14:textId="77777777" w:rsidR="00CB0BB9" w:rsidRDefault="00CB0BB9" w:rsidP="00FF533B">
            <w:pPr>
              <w:ind w:left="32" w:right="-93" w:hanging="31"/>
              <w:rPr>
                <w:rFonts w:ascii="Arial" w:eastAsia="Arial" w:hAnsi="Arial" w:cs="Arial"/>
                <w:sz w:val="24"/>
                <w:szCs w:val="24"/>
              </w:rPr>
            </w:pPr>
            <w:r>
              <w:rPr>
                <w:rFonts w:ascii="Arial" w:eastAsia="Arial" w:hAnsi="Arial" w:cs="Arial"/>
                <w:sz w:val="24"/>
                <w:szCs w:val="24"/>
              </w:rPr>
              <w:t>Cumple Parcialmente</w:t>
            </w:r>
          </w:p>
        </w:tc>
        <w:tc>
          <w:tcPr>
            <w:tcW w:w="1125" w:type="dxa"/>
            <w:vAlign w:val="center"/>
          </w:tcPr>
          <w:p w14:paraId="24931325" w14:textId="61A7595E" w:rsidR="00CB0BB9" w:rsidRDefault="00B10D42" w:rsidP="006324A8">
            <w:pPr>
              <w:ind w:left="-142" w:right="-93"/>
              <w:jc w:val="center"/>
              <w:rPr>
                <w:rFonts w:ascii="Arial" w:eastAsia="Arial" w:hAnsi="Arial" w:cs="Arial"/>
                <w:sz w:val="24"/>
                <w:szCs w:val="24"/>
              </w:rPr>
            </w:pPr>
            <w:r>
              <w:rPr>
                <w:rFonts w:ascii="Arial" w:eastAsia="Arial" w:hAnsi="Arial" w:cs="Arial"/>
                <w:sz w:val="24"/>
                <w:szCs w:val="24"/>
              </w:rPr>
              <w:t>4</w:t>
            </w:r>
          </w:p>
        </w:tc>
        <w:tc>
          <w:tcPr>
            <w:tcW w:w="1417" w:type="dxa"/>
            <w:vAlign w:val="center"/>
          </w:tcPr>
          <w:p w14:paraId="39523607" w14:textId="471C4F04" w:rsidR="00CB0BB9" w:rsidRDefault="00B10D42" w:rsidP="006324A8">
            <w:pPr>
              <w:ind w:left="-142" w:right="-93"/>
              <w:jc w:val="center"/>
              <w:rPr>
                <w:rFonts w:ascii="Arial" w:eastAsia="Arial" w:hAnsi="Arial" w:cs="Arial"/>
                <w:sz w:val="24"/>
                <w:szCs w:val="24"/>
              </w:rPr>
            </w:pPr>
            <w:r>
              <w:rPr>
                <w:rFonts w:ascii="Arial" w:eastAsia="Arial" w:hAnsi="Arial" w:cs="Arial"/>
                <w:sz w:val="24"/>
                <w:szCs w:val="24"/>
              </w:rPr>
              <w:t>7,7</w:t>
            </w:r>
            <w:r w:rsidR="00CB0BB9">
              <w:rPr>
                <w:rFonts w:ascii="Arial" w:eastAsia="Arial" w:hAnsi="Arial" w:cs="Arial"/>
                <w:sz w:val="24"/>
                <w:szCs w:val="24"/>
              </w:rPr>
              <w:t>%</w:t>
            </w:r>
          </w:p>
        </w:tc>
      </w:tr>
      <w:tr w:rsidR="00CB0BB9" w14:paraId="00E0B453" w14:textId="77777777" w:rsidTr="00FA584D">
        <w:trPr>
          <w:jc w:val="center"/>
        </w:trPr>
        <w:tc>
          <w:tcPr>
            <w:tcW w:w="4966" w:type="dxa"/>
            <w:vAlign w:val="center"/>
          </w:tcPr>
          <w:p w14:paraId="7BCABFE0" w14:textId="77777777" w:rsidR="00CB0BB9" w:rsidRDefault="00CB0BB9" w:rsidP="00FF533B">
            <w:pPr>
              <w:ind w:left="32" w:right="-93" w:hanging="32"/>
              <w:rPr>
                <w:rFonts w:ascii="Arial" w:eastAsia="Arial" w:hAnsi="Arial" w:cs="Arial"/>
                <w:b/>
                <w:sz w:val="24"/>
                <w:szCs w:val="24"/>
              </w:rPr>
            </w:pPr>
            <w:r>
              <w:rPr>
                <w:rFonts w:ascii="Arial" w:eastAsia="Arial" w:hAnsi="Arial" w:cs="Arial"/>
                <w:b/>
                <w:sz w:val="24"/>
                <w:szCs w:val="24"/>
              </w:rPr>
              <w:t>Total ítems verificados</w:t>
            </w:r>
          </w:p>
        </w:tc>
        <w:tc>
          <w:tcPr>
            <w:tcW w:w="1125" w:type="dxa"/>
            <w:vAlign w:val="center"/>
          </w:tcPr>
          <w:p w14:paraId="2C2FECC9" w14:textId="38963627" w:rsidR="00CB0BB9" w:rsidRDefault="00CB0BB9" w:rsidP="006324A8">
            <w:pPr>
              <w:ind w:left="-142" w:right="-93"/>
              <w:jc w:val="center"/>
              <w:rPr>
                <w:rFonts w:ascii="Arial" w:eastAsia="Arial" w:hAnsi="Arial" w:cs="Arial"/>
                <w:b/>
                <w:sz w:val="24"/>
                <w:szCs w:val="24"/>
              </w:rPr>
            </w:pPr>
            <w:r>
              <w:rPr>
                <w:rFonts w:ascii="Arial" w:eastAsia="Arial" w:hAnsi="Arial" w:cs="Arial"/>
                <w:b/>
                <w:sz w:val="24"/>
                <w:szCs w:val="24"/>
              </w:rPr>
              <w:t>5</w:t>
            </w:r>
            <w:r w:rsidR="00B87456">
              <w:rPr>
                <w:rFonts w:ascii="Arial" w:eastAsia="Arial" w:hAnsi="Arial" w:cs="Arial"/>
                <w:b/>
                <w:sz w:val="24"/>
                <w:szCs w:val="24"/>
              </w:rPr>
              <w:t>2</w:t>
            </w:r>
          </w:p>
        </w:tc>
        <w:tc>
          <w:tcPr>
            <w:tcW w:w="1417" w:type="dxa"/>
            <w:vAlign w:val="center"/>
          </w:tcPr>
          <w:p w14:paraId="459BB0F6" w14:textId="77777777" w:rsidR="00CB0BB9" w:rsidRDefault="00CB0BB9" w:rsidP="006324A8">
            <w:pPr>
              <w:ind w:left="-142" w:right="-93"/>
              <w:jc w:val="center"/>
              <w:rPr>
                <w:rFonts w:ascii="Arial" w:eastAsia="Arial" w:hAnsi="Arial" w:cs="Arial"/>
                <w:b/>
                <w:sz w:val="24"/>
                <w:szCs w:val="24"/>
              </w:rPr>
            </w:pPr>
            <w:r>
              <w:rPr>
                <w:rFonts w:ascii="Arial" w:eastAsia="Arial" w:hAnsi="Arial" w:cs="Arial"/>
                <w:b/>
                <w:sz w:val="24"/>
                <w:szCs w:val="24"/>
              </w:rPr>
              <w:t>100%</w:t>
            </w:r>
          </w:p>
        </w:tc>
      </w:tr>
    </w:tbl>
    <w:p w14:paraId="62FA6131" w14:textId="7F77ED35" w:rsidR="00CB0BB9" w:rsidRDefault="00CB0BB9" w:rsidP="00FF533B">
      <w:pPr>
        <w:spacing w:before="120" w:after="120"/>
        <w:ind w:left="-142"/>
        <w:jc w:val="both"/>
        <w:rPr>
          <w:rFonts w:ascii="Arial" w:eastAsia="Arial" w:hAnsi="Arial" w:cs="Arial"/>
          <w:i/>
          <w:sz w:val="24"/>
          <w:szCs w:val="24"/>
          <w:u w:val="single"/>
        </w:rPr>
      </w:pPr>
      <w:r w:rsidRPr="00B10D42">
        <w:rPr>
          <w:rFonts w:ascii="Arial" w:eastAsia="Arial" w:hAnsi="Arial" w:cs="Arial"/>
          <w:sz w:val="24"/>
          <w:szCs w:val="24"/>
        </w:rPr>
        <w:t xml:space="preserve">De esta forma, se alcanza un cumplimiento del </w:t>
      </w:r>
      <w:r w:rsidR="00B10D42" w:rsidRPr="00B10D42">
        <w:rPr>
          <w:rFonts w:ascii="Arial" w:eastAsia="Arial" w:hAnsi="Arial" w:cs="Arial"/>
          <w:sz w:val="24"/>
          <w:szCs w:val="24"/>
        </w:rPr>
        <w:t>92,3</w:t>
      </w:r>
      <w:r w:rsidRPr="00B10D42">
        <w:rPr>
          <w:rFonts w:ascii="Arial" w:eastAsia="Arial" w:hAnsi="Arial" w:cs="Arial"/>
          <w:sz w:val="24"/>
          <w:szCs w:val="24"/>
        </w:rPr>
        <w:t>% en cuanto a las publicaciones de la vigencia.</w:t>
      </w:r>
      <w:r w:rsidR="00353DD8" w:rsidRPr="00B10D42">
        <w:rPr>
          <w:rFonts w:ascii="Arial" w:eastAsia="Arial" w:hAnsi="Arial" w:cs="Arial"/>
          <w:sz w:val="24"/>
          <w:szCs w:val="24"/>
        </w:rPr>
        <w:t xml:space="preserve"> Se evidencia el cumplimiento de </w:t>
      </w:r>
      <w:r w:rsidR="00C72FEB" w:rsidRPr="00B10D42">
        <w:rPr>
          <w:rFonts w:ascii="Arial" w:eastAsia="Arial" w:hAnsi="Arial" w:cs="Arial"/>
          <w:sz w:val="24"/>
          <w:szCs w:val="24"/>
        </w:rPr>
        <w:t>tres</w:t>
      </w:r>
      <w:r w:rsidR="00353DD8" w:rsidRPr="00B10D42">
        <w:rPr>
          <w:rFonts w:ascii="Arial" w:eastAsia="Arial" w:hAnsi="Arial" w:cs="Arial"/>
          <w:sz w:val="24"/>
          <w:szCs w:val="24"/>
        </w:rPr>
        <w:t xml:space="preserve"> criterios más con respecto a las publicaciones de 2021, anteriores o con fecha indefinida.</w:t>
      </w:r>
    </w:p>
    <w:p w14:paraId="3A6F80A0" w14:textId="77777777" w:rsidR="00CB0BB9" w:rsidRDefault="00CB0BB9" w:rsidP="00865DB0">
      <w:pPr>
        <w:pBdr>
          <w:top w:val="nil"/>
          <w:left w:val="nil"/>
          <w:bottom w:val="nil"/>
          <w:right w:val="nil"/>
          <w:between w:val="nil"/>
        </w:pBdr>
        <w:spacing w:before="120" w:after="120"/>
        <w:ind w:left="-142"/>
        <w:jc w:val="both"/>
        <w:rPr>
          <w:rFonts w:ascii="Arial" w:eastAsia="Arial" w:hAnsi="Arial" w:cs="Arial"/>
          <w:i/>
          <w:color w:val="000000"/>
          <w:sz w:val="24"/>
          <w:szCs w:val="24"/>
          <w:u w:val="single"/>
        </w:rPr>
      </w:pPr>
      <w:r>
        <w:rPr>
          <w:rFonts w:ascii="Arial" w:eastAsia="Arial" w:hAnsi="Arial" w:cs="Arial"/>
          <w:i/>
          <w:sz w:val="24"/>
          <w:szCs w:val="24"/>
          <w:u w:val="single"/>
        </w:rPr>
        <w:lastRenderedPageBreak/>
        <w:t xml:space="preserve">1.2.1.7 </w:t>
      </w:r>
      <w:r>
        <w:rPr>
          <w:rFonts w:ascii="Arial" w:eastAsia="Arial" w:hAnsi="Arial" w:cs="Arial"/>
          <w:i/>
          <w:color w:val="000000"/>
          <w:sz w:val="24"/>
          <w:szCs w:val="24"/>
          <w:u w:val="single"/>
        </w:rPr>
        <w:t>Menú Atención y Servicios a la Ciudadanía:</w:t>
      </w:r>
    </w:p>
    <w:p w14:paraId="62A63C36" w14:textId="77777777" w:rsidR="00CB0BB9" w:rsidRDefault="00CB0BB9" w:rsidP="00865DB0">
      <w:pPr>
        <w:numPr>
          <w:ilvl w:val="0"/>
          <w:numId w:val="11"/>
        </w:numPr>
        <w:pBdr>
          <w:top w:val="nil"/>
          <w:left w:val="nil"/>
          <w:bottom w:val="nil"/>
          <w:right w:val="nil"/>
          <w:between w:val="nil"/>
        </w:pBdr>
        <w:spacing w:before="120" w:after="120"/>
        <w:ind w:left="-142" w:firstLine="0"/>
        <w:jc w:val="both"/>
        <w:rPr>
          <w:rFonts w:ascii="Arial" w:eastAsia="Arial" w:hAnsi="Arial" w:cs="Arial"/>
          <w:sz w:val="24"/>
          <w:szCs w:val="24"/>
        </w:rPr>
      </w:pPr>
      <w:r>
        <w:rPr>
          <w:rFonts w:ascii="Arial" w:eastAsia="Arial" w:hAnsi="Arial" w:cs="Arial"/>
          <w:color w:val="000000"/>
          <w:sz w:val="24"/>
          <w:szCs w:val="24"/>
        </w:rPr>
        <w:t xml:space="preserve">Trámites, Otros Procedimientos Administrativos y consultas de acceso a información pública. </w:t>
      </w:r>
    </w:p>
    <w:p w14:paraId="1E60C567" w14:textId="77777777" w:rsidR="00CB0BB9" w:rsidRDefault="00CB0BB9" w:rsidP="00865DB0">
      <w:pPr>
        <w:pBdr>
          <w:top w:val="nil"/>
          <w:left w:val="nil"/>
          <w:bottom w:val="nil"/>
          <w:right w:val="nil"/>
          <w:between w:val="nil"/>
        </w:pBdr>
        <w:spacing w:before="120" w:after="120"/>
        <w:ind w:left="-142"/>
        <w:jc w:val="both"/>
        <w:rPr>
          <w:rFonts w:ascii="Arial" w:eastAsia="Arial" w:hAnsi="Arial" w:cs="Arial"/>
          <w:color w:val="000000"/>
          <w:sz w:val="24"/>
          <w:szCs w:val="24"/>
        </w:rPr>
      </w:pPr>
      <w:r>
        <w:rPr>
          <w:rFonts w:ascii="Arial" w:eastAsia="Arial" w:hAnsi="Arial" w:cs="Arial"/>
          <w:color w:val="000000"/>
          <w:sz w:val="24"/>
          <w:szCs w:val="24"/>
        </w:rPr>
        <w:t>Los sujetos obligados que tengan el carácter de autoridad deberán adoptar el lineamiento general y guías de sede electrónica, trámites, otros procedimientos administrativos y consultas de acceso a información pública para integrarlas al Portal Único del Estado colombiano.</w:t>
      </w:r>
    </w:p>
    <w:p w14:paraId="0181B579" w14:textId="77777777" w:rsidR="00CB0BB9" w:rsidRDefault="00CB0BB9" w:rsidP="00865DB0">
      <w:pPr>
        <w:pBdr>
          <w:top w:val="nil"/>
          <w:left w:val="nil"/>
          <w:bottom w:val="nil"/>
          <w:right w:val="nil"/>
          <w:between w:val="nil"/>
        </w:pBdr>
        <w:spacing w:before="120" w:after="120"/>
        <w:ind w:left="-142"/>
        <w:jc w:val="both"/>
        <w:rPr>
          <w:rFonts w:ascii="Arial" w:eastAsia="Arial" w:hAnsi="Arial" w:cs="Arial"/>
          <w:color w:val="000000"/>
          <w:sz w:val="24"/>
          <w:szCs w:val="24"/>
        </w:rPr>
      </w:pPr>
      <w:r>
        <w:rPr>
          <w:rFonts w:ascii="Arial" w:eastAsia="Arial" w:hAnsi="Arial" w:cs="Arial"/>
          <w:color w:val="000000"/>
          <w:sz w:val="24"/>
          <w:szCs w:val="24"/>
        </w:rPr>
        <w:t>A nivel general, se presentan dos instructivos acerca de los trámites y servicios e instrucciones para acceder a la herramienta Bogotá Te Escucha.</w:t>
      </w:r>
    </w:p>
    <w:p w14:paraId="681B8725" w14:textId="77777777" w:rsidR="00CB0BB9" w:rsidRDefault="00CB0BB9" w:rsidP="00865DB0">
      <w:pPr>
        <w:pBdr>
          <w:top w:val="nil"/>
          <w:left w:val="nil"/>
          <w:bottom w:val="nil"/>
          <w:right w:val="nil"/>
          <w:between w:val="nil"/>
        </w:pBdr>
        <w:spacing w:before="120" w:after="120"/>
        <w:ind w:left="-142"/>
        <w:jc w:val="both"/>
        <w:rPr>
          <w:rFonts w:ascii="Arial" w:eastAsia="Arial" w:hAnsi="Arial" w:cs="Arial"/>
          <w:color w:val="000000"/>
          <w:sz w:val="24"/>
          <w:szCs w:val="24"/>
        </w:rPr>
      </w:pPr>
      <w:r>
        <w:rPr>
          <w:rFonts w:ascii="Arial" w:eastAsia="Arial" w:hAnsi="Arial" w:cs="Arial"/>
          <w:color w:val="000000"/>
          <w:sz w:val="24"/>
          <w:szCs w:val="24"/>
        </w:rPr>
        <w:t xml:space="preserve">En la opción señalada, se incluye la información referente a seis (7) trámites y quince (15) servicios gestionados por la entidad; para cada uno se presenta la información acerca de la normatividad aplicable, descripción, pasos, duración, costo y se adjuntan los formularios requeridos, según corresponda. </w:t>
      </w:r>
    </w:p>
    <w:p w14:paraId="031C8C62" w14:textId="77777777" w:rsidR="00CB0BB9" w:rsidRDefault="00CB0BB9" w:rsidP="00865DB0">
      <w:pPr>
        <w:pBdr>
          <w:top w:val="nil"/>
          <w:left w:val="nil"/>
          <w:bottom w:val="nil"/>
          <w:right w:val="nil"/>
          <w:between w:val="nil"/>
        </w:pBdr>
        <w:spacing w:before="120" w:after="120"/>
        <w:ind w:left="-142"/>
        <w:jc w:val="both"/>
        <w:rPr>
          <w:rFonts w:ascii="Arial" w:eastAsia="Arial" w:hAnsi="Arial" w:cs="Arial"/>
          <w:color w:val="000000"/>
          <w:sz w:val="24"/>
          <w:szCs w:val="24"/>
        </w:rPr>
      </w:pPr>
      <w:r>
        <w:rPr>
          <w:rFonts w:ascii="Arial" w:eastAsia="Arial" w:hAnsi="Arial" w:cs="Arial"/>
          <w:noProof/>
          <w:sz w:val="24"/>
          <w:szCs w:val="24"/>
          <w:lang w:val="es-CO" w:eastAsia="es-CO"/>
        </w:rPr>
        <w:drawing>
          <wp:inline distT="0" distB="0" distL="0" distR="0" wp14:anchorId="45EF8411" wp14:editId="1C43722E">
            <wp:extent cx="6192000" cy="936697"/>
            <wp:effectExtent l="19050" t="19050" r="18415" b="15875"/>
            <wp:docPr id="77" name="image7.png" descr="Captura del menú de trámites y servicios de la página web de la entidad."/>
            <wp:cNvGraphicFramePr/>
            <a:graphic xmlns:a="http://schemas.openxmlformats.org/drawingml/2006/main">
              <a:graphicData uri="http://schemas.openxmlformats.org/drawingml/2006/picture">
                <pic:pic xmlns:pic="http://schemas.openxmlformats.org/drawingml/2006/picture">
                  <pic:nvPicPr>
                    <pic:cNvPr id="0" name="image7.png" descr="Captura del menú de trámites y servicios de la página web de la entidad."/>
                    <pic:cNvPicPr preferRelativeResize="0"/>
                  </pic:nvPicPr>
                  <pic:blipFill>
                    <a:blip r:embed="rId32"/>
                    <a:srcRect t="48884" b="24260"/>
                    <a:stretch>
                      <a:fillRect/>
                    </a:stretch>
                  </pic:blipFill>
                  <pic:spPr>
                    <a:xfrm>
                      <a:off x="0" y="0"/>
                      <a:ext cx="6192000" cy="936697"/>
                    </a:xfrm>
                    <a:prstGeom prst="rect">
                      <a:avLst/>
                    </a:prstGeom>
                    <a:ln w="9525">
                      <a:solidFill>
                        <a:srgbClr val="000000"/>
                      </a:solidFill>
                      <a:prstDash val="solid"/>
                    </a:ln>
                  </pic:spPr>
                </pic:pic>
              </a:graphicData>
            </a:graphic>
          </wp:inline>
        </w:drawing>
      </w:r>
    </w:p>
    <w:p w14:paraId="794246CB" w14:textId="77777777" w:rsidR="00CB0BB9" w:rsidRDefault="00CB0BB9" w:rsidP="00865DB0">
      <w:pPr>
        <w:numPr>
          <w:ilvl w:val="0"/>
          <w:numId w:val="11"/>
        </w:numPr>
        <w:pBdr>
          <w:top w:val="nil"/>
          <w:left w:val="nil"/>
          <w:bottom w:val="nil"/>
          <w:right w:val="nil"/>
          <w:between w:val="nil"/>
        </w:pBdr>
        <w:spacing w:before="120" w:after="120"/>
        <w:ind w:left="-142" w:firstLine="0"/>
        <w:jc w:val="both"/>
        <w:rPr>
          <w:rFonts w:ascii="Arial" w:eastAsia="Arial" w:hAnsi="Arial" w:cs="Arial"/>
          <w:sz w:val="24"/>
          <w:szCs w:val="24"/>
        </w:rPr>
      </w:pPr>
      <w:bookmarkStart w:id="4" w:name="_heading=h.gjdgxs" w:colFirst="0" w:colLast="0"/>
      <w:bookmarkEnd w:id="4"/>
      <w:r>
        <w:rPr>
          <w:rFonts w:ascii="Arial" w:eastAsia="Arial" w:hAnsi="Arial" w:cs="Arial"/>
          <w:color w:val="000000"/>
          <w:sz w:val="24"/>
          <w:szCs w:val="24"/>
        </w:rPr>
        <w:t>Canales de atención y pida una cita</w:t>
      </w:r>
    </w:p>
    <w:p w14:paraId="7EA2C69E" w14:textId="77777777" w:rsidR="00CB0BB9" w:rsidRDefault="00CB0BB9" w:rsidP="00865DB0">
      <w:pPr>
        <w:pBdr>
          <w:top w:val="nil"/>
          <w:left w:val="nil"/>
          <w:bottom w:val="nil"/>
          <w:right w:val="nil"/>
          <w:between w:val="nil"/>
        </w:pBdr>
        <w:spacing w:before="120" w:after="120"/>
        <w:ind w:left="-142"/>
        <w:jc w:val="both"/>
        <w:rPr>
          <w:rFonts w:ascii="Arial" w:eastAsia="Arial" w:hAnsi="Arial" w:cs="Arial"/>
          <w:color w:val="000000"/>
          <w:sz w:val="24"/>
          <w:szCs w:val="24"/>
        </w:rPr>
      </w:pPr>
      <w:r>
        <w:rPr>
          <w:rFonts w:ascii="Arial" w:eastAsia="Arial" w:hAnsi="Arial" w:cs="Arial"/>
          <w:color w:val="000000"/>
          <w:sz w:val="24"/>
          <w:szCs w:val="24"/>
        </w:rPr>
        <w:t>Los sujetos obligados deberán incluir en su respectiva sede electrónica la información y contenidos relacionados con los canales habilitados para la atención a la ciudadanía y demás grupos caracterizados, con la finalidad de identificar y dar a conocer los canales digitales oficiales de recepción de solicitudes, peticiones e información. Además, se deberá habilitar un mecanismo para que el usuario pueda agendar una cita para atención presencial, e indicar los horarios de atención en sedes físicas.</w:t>
      </w:r>
    </w:p>
    <w:p w14:paraId="45AA8951" w14:textId="77777777" w:rsidR="00CB0BB9" w:rsidRDefault="00CB0BB9" w:rsidP="00865DB0">
      <w:pPr>
        <w:pBdr>
          <w:top w:val="nil"/>
          <w:left w:val="nil"/>
          <w:bottom w:val="nil"/>
          <w:right w:val="nil"/>
          <w:between w:val="nil"/>
        </w:pBdr>
        <w:spacing w:before="120" w:after="120"/>
        <w:ind w:left="-142"/>
        <w:jc w:val="both"/>
        <w:rPr>
          <w:rFonts w:ascii="Arial" w:eastAsia="Arial" w:hAnsi="Arial" w:cs="Arial"/>
          <w:color w:val="000000"/>
          <w:sz w:val="24"/>
          <w:szCs w:val="24"/>
        </w:rPr>
      </w:pPr>
      <w:r>
        <w:rPr>
          <w:rFonts w:ascii="Arial" w:eastAsia="Arial" w:hAnsi="Arial" w:cs="Arial"/>
          <w:color w:val="000000"/>
          <w:sz w:val="24"/>
          <w:szCs w:val="24"/>
        </w:rPr>
        <w:t xml:space="preserve">Se encuentra publicada la ubicación, información de contacto y horarios de atención de la sede de atención Palomar del Príncipe. </w:t>
      </w:r>
    </w:p>
    <w:p w14:paraId="3A62D440" w14:textId="77777777" w:rsidR="00CB0BB9" w:rsidRDefault="00CB0BB9" w:rsidP="00CB0BB9">
      <w:pPr>
        <w:pBdr>
          <w:top w:val="nil"/>
          <w:left w:val="nil"/>
          <w:bottom w:val="nil"/>
          <w:right w:val="nil"/>
          <w:between w:val="nil"/>
        </w:pBdr>
        <w:spacing w:before="120" w:after="120"/>
        <w:ind w:left="-142" w:right="-91"/>
        <w:jc w:val="both"/>
        <w:rPr>
          <w:rFonts w:ascii="Arial" w:eastAsia="Arial" w:hAnsi="Arial" w:cs="Arial"/>
          <w:color w:val="000000"/>
          <w:sz w:val="24"/>
          <w:szCs w:val="24"/>
        </w:rPr>
      </w:pPr>
      <w:r>
        <w:rPr>
          <w:rFonts w:ascii="Arial" w:eastAsia="Arial" w:hAnsi="Arial" w:cs="Arial"/>
          <w:noProof/>
          <w:sz w:val="24"/>
          <w:szCs w:val="24"/>
          <w:lang w:val="es-CO" w:eastAsia="es-CO"/>
        </w:rPr>
        <w:drawing>
          <wp:inline distT="0" distB="0" distL="0" distR="0" wp14:anchorId="72185F73" wp14:editId="22BC967E">
            <wp:extent cx="6192000" cy="2491299"/>
            <wp:effectExtent l="19050" t="19050" r="18415" b="23495"/>
            <wp:docPr id="81" name="image15.png" descr="Captura de el horario y sede de atención publicado en la página web."/>
            <wp:cNvGraphicFramePr/>
            <a:graphic xmlns:a="http://schemas.openxmlformats.org/drawingml/2006/main">
              <a:graphicData uri="http://schemas.openxmlformats.org/drawingml/2006/picture">
                <pic:pic xmlns:pic="http://schemas.openxmlformats.org/drawingml/2006/picture">
                  <pic:nvPicPr>
                    <pic:cNvPr id="0" name="image15.png" descr="Captura de el horario y sede de atención publicado en la página web."/>
                    <pic:cNvPicPr preferRelativeResize="0"/>
                  </pic:nvPicPr>
                  <pic:blipFill>
                    <a:blip r:embed="rId33"/>
                    <a:srcRect t="12371" b="15811"/>
                    <a:stretch>
                      <a:fillRect/>
                    </a:stretch>
                  </pic:blipFill>
                  <pic:spPr>
                    <a:xfrm>
                      <a:off x="0" y="0"/>
                      <a:ext cx="6192000" cy="2491299"/>
                    </a:xfrm>
                    <a:prstGeom prst="rect">
                      <a:avLst/>
                    </a:prstGeom>
                    <a:ln w="9525">
                      <a:solidFill>
                        <a:srgbClr val="000000"/>
                      </a:solidFill>
                      <a:prstDash val="solid"/>
                    </a:ln>
                  </pic:spPr>
                </pic:pic>
              </a:graphicData>
            </a:graphic>
          </wp:inline>
        </w:drawing>
      </w:r>
    </w:p>
    <w:p w14:paraId="7C755D55" w14:textId="77777777" w:rsidR="00CB0BB9" w:rsidRDefault="00CB0BB9" w:rsidP="00865DB0">
      <w:pPr>
        <w:pBdr>
          <w:top w:val="nil"/>
          <w:left w:val="nil"/>
          <w:bottom w:val="nil"/>
          <w:right w:val="nil"/>
          <w:between w:val="nil"/>
        </w:pBdr>
        <w:spacing w:before="120" w:after="120"/>
        <w:ind w:left="-142"/>
        <w:jc w:val="both"/>
        <w:rPr>
          <w:rFonts w:ascii="Arial" w:eastAsia="Arial" w:hAnsi="Arial" w:cs="Arial"/>
          <w:sz w:val="24"/>
          <w:szCs w:val="24"/>
        </w:rPr>
      </w:pPr>
      <w:bookmarkStart w:id="5" w:name="_heading=h.30j0zll" w:colFirst="0" w:colLast="0"/>
      <w:bookmarkEnd w:id="5"/>
      <w:r>
        <w:rPr>
          <w:rFonts w:ascii="Arial" w:eastAsia="Arial" w:hAnsi="Arial" w:cs="Arial"/>
          <w:color w:val="000000"/>
          <w:sz w:val="24"/>
          <w:szCs w:val="24"/>
        </w:rPr>
        <w:lastRenderedPageBreak/>
        <w:t>De igual forma, se presenta la opción pide una cita en la cual se incluyen los canales de atención habilitados</w:t>
      </w:r>
      <w:r>
        <w:rPr>
          <w:rFonts w:ascii="Arial" w:eastAsia="Arial" w:hAnsi="Arial" w:cs="Arial"/>
          <w:sz w:val="24"/>
          <w:szCs w:val="24"/>
        </w:rPr>
        <w:t>:</w:t>
      </w:r>
    </w:p>
    <w:p w14:paraId="3D8A8E06" w14:textId="77777777" w:rsidR="00CB0BB9" w:rsidRDefault="00CB0BB9" w:rsidP="00CB0BB9">
      <w:pPr>
        <w:spacing w:before="120" w:after="120"/>
        <w:ind w:left="-142" w:right="-91"/>
        <w:jc w:val="both"/>
        <w:rPr>
          <w:rFonts w:ascii="Arial" w:eastAsia="Arial" w:hAnsi="Arial" w:cs="Arial"/>
          <w:sz w:val="24"/>
          <w:szCs w:val="24"/>
        </w:rPr>
      </w:pPr>
      <w:r>
        <w:rPr>
          <w:rFonts w:ascii="Arial" w:eastAsia="Arial" w:hAnsi="Arial" w:cs="Arial"/>
          <w:noProof/>
          <w:sz w:val="24"/>
          <w:szCs w:val="24"/>
          <w:lang w:val="es-CO" w:eastAsia="es-CO"/>
        </w:rPr>
        <w:drawing>
          <wp:inline distT="0" distB="0" distL="0" distR="0" wp14:anchorId="65C27A1A" wp14:editId="4CED13C1">
            <wp:extent cx="6192000" cy="2675165"/>
            <wp:effectExtent l="19050" t="19050" r="18415" b="11430"/>
            <wp:docPr id="79" name="image16.png" descr="Captura de los canales habilitados para la solicitud de una cita de Asesoría Técnica Personalizada."/>
            <wp:cNvGraphicFramePr/>
            <a:graphic xmlns:a="http://schemas.openxmlformats.org/drawingml/2006/main">
              <a:graphicData uri="http://schemas.openxmlformats.org/drawingml/2006/picture">
                <pic:pic xmlns:pic="http://schemas.openxmlformats.org/drawingml/2006/picture">
                  <pic:nvPicPr>
                    <pic:cNvPr id="0" name="image16.png" descr="Captura de los canales habilitados para la solicitud de una cita de Asesoría Técnica Personalizada."/>
                    <pic:cNvPicPr preferRelativeResize="0"/>
                  </pic:nvPicPr>
                  <pic:blipFill>
                    <a:blip r:embed="rId34"/>
                    <a:srcRect t="12070" b="10079"/>
                    <a:stretch>
                      <a:fillRect/>
                    </a:stretch>
                  </pic:blipFill>
                  <pic:spPr>
                    <a:xfrm>
                      <a:off x="0" y="0"/>
                      <a:ext cx="6192000" cy="2675165"/>
                    </a:xfrm>
                    <a:prstGeom prst="rect">
                      <a:avLst/>
                    </a:prstGeom>
                    <a:ln w="9525">
                      <a:solidFill>
                        <a:srgbClr val="000000"/>
                      </a:solidFill>
                      <a:prstDash val="solid"/>
                    </a:ln>
                  </pic:spPr>
                </pic:pic>
              </a:graphicData>
            </a:graphic>
          </wp:inline>
        </w:drawing>
      </w:r>
    </w:p>
    <w:p w14:paraId="077757AC" w14:textId="77777777" w:rsidR="00CB0BB9" w:rsidRDefault="00CB0BB9" w:rsidP="00CB0BB9">
      <w:pPr>
        <w:numPr>
          <w:ilvl w:val="0"/>
          <w:numId w:val="11"/>
        </w:numPr>
        <w:pBdr>
          <w:top w:val="nil"/>
          <w:left w:val="nil"/>
          <w:bottom w:val="nil"/>
          <w:right w:val="nil"/>
          <w:between w:val="nil"/>
        </w:pBdr>
        <w:spacing w:before="120" w:after="120"/>
        <w:ind w:left="-142" w:right="-91" w:firstLine="0"/>
        <w:jc w:val="both"/>
        <w:rPr>
          <w:rFonts w:ascii="Arial" w:eastAsia="Arial" w:hAnsi="Arial" w:cs="Arial"/>
          <w:sz w:val="24"/>
          <w:szCs w:val="24"/>
        </w:rPr>
      </w:pPr>
      <w:r>
        <w:rPr>
          <w:rFonts w:ascii="Arial" w:eastAsia="Arial" w:hAnsi="Arial" w:cs="Arial"/>
          <w:color w:val="000000"/>
          <w:sz w:val="24"/>
          <w:szCs w:val="24"/>
        </w:rPr>
        <w:t xml:space="preserve">PQRSD </w:t>
      </w:r>
    </w:p>
    <w:p w14:paraId="0DD0E166" w14:textId="4C79E437" w:rsidR="00CB0BB9" w:rsidRDefault="00CB0BB9" w:rsidP="00417A5B">
      <w:pPr>
        <w:pBdr>
          <w:top w:val="nil"/>
          <w:left w:val="nil"/>
          <w:bottom w:val="nil"/>
          <w:right w:val="nil"/>
          <w:between w:val="nil"/>
        </w:pBdr>
        <w:spacing w:before="120" w:after="120"/>
        <w:ind w:left="-142"/>
        <w:jc w:val="both"/>
        <w:rPr>
          <w:rFonts w:ascii="Arial" w:eastAsia="Arial" w:hAnsi="Arial" w:cs="Arial"/>
          <w:color w:val="000000"/>
          <w:sz w:val="24"/>
          <w:szCs w:val="24"/>
        </w:rPr>
      </w:pPr>
      <w:r>
        <w:rPr>
          <w:rFonts w:ascii="Arial" w:eastAsia="Arial" w:hAnsi="Arial" w:cs="Arial"/>
          <w:color w:val="000000"/>
          <w:sz w:val="24"/>
          <w:szCs w:val="24"/>
        </w:rPr>
        <w:t>Las entidades sujetas de obligación deberán habilitar un formulario de PQRSD – Peticiones, Quejas, Reclamos, Sugerencias, Solicitud de información pública, y Denuncias, conforme con los siguientes criterios, procurando siempre el acceso autónomo e independiente de cualquier persona, incluidas las personas con discapacidad sensorial e intelectual.</w:t>
      </w:r>
    </w:p>
    <w:p w14:paraId="2163B629" w14:textId="77777777" w:rsidR="00CB0BB9" w:rsidRDefault="00CB0BB9" w:rsidP="00865DB0">
      <w:pPr>
        <w:pBdr>
          <w:top w:val="nil"/>
          <w:left w:val="nil"/>
          <w:bottom w:val="nil"/>
          <w:right w:val="nil"/>
          <w:between w:val="nil"/>
        </w:pBdr>
        <w:spacing w:before="120" w:after="120"/>
        <w:ind w:left="-142"/>
        <w:jc w:val="both"/>
        <w:rPr>
          <w:rFonts w:ascii="Arial" w:eastAsia="Arial" w:hAnsi="Arial" w:cs="Arial"/>
          <w:color w:val="000000"/>
          <w:sz w:val="24"/>
          <w:szCs w:val="24"/>
        </w:rPr>
      </w:pPr>
      <w:r>
        <w:rPr>
          <w:rFonts w:ascii="Arial" w:eastAsia="Arial" w:hAnsi="Arial" w:cs="Arial"/>
          <w:color w:val="000000"/>
          <w:sz w:val="24"/>
          <w:szCs w:val="24"/>
        </w:rPr>
        <w:t>En la página web se presentan dos enlaces, el primero direcciona al Sistema Distrital de Peticiones ciudadanas de la Alcaldía de Bogotá y el segundo, se denomina solicitudes de información pública con identificación reservada –SIPIR y redirecciona a la página de la Procuraduría General de la Nación. Adicionalmente, se presenta la información de contacto de la entidad.</w:t>
      </w:r>
    </w:p>
    <w:p w14:paraId="09500DE7" w14:textId="77777777" w:rsidR="00CB0BB9" w:rsidRDefault="00CB0BB9" w:rsidP="00CB0BB9">
      <w:pPr>
        <w:pBdr>
          <w:top w:val="nil"/>
          <w:left w:val="nil"/>
          <w:bottom w:val="nil"/>
          <w:right w:val="nil"/>
          <w:between w:val="nil"/>
        </w:pBdr>
        <w:spacing w:before="120" w:after="120"/>
        <w:ind w:left="-142" w:right="-93"/>
        <w:jc w:val="both"/>
        <w:rPr>
          <w:rFonts w:ascii="Arial" w:eastAsia="Arial" w:hAnsi="Arial" w:cs="Arial"/>
          <w:color w:val="000000"/>
          <w:sz w:val="24"/>
          <w:szCs w:val="24"/>
        </w:rPr>
      </w:pPr>
      <w:r>
        <w:rPr>
          <w:rFonts w:ascii="Arial" w:eastAsia="Arial" w:hAnsi="Arial" w:cs="Arial"/>
          <w:noProof/>
          <w:sz w:val="24"/>
          <w:szCs w:val="24"/>
          <w:lang w:val="es-CO" w:eastAsia="es-CO"/>
        </w:rPr>
        <w:drawing>
          <wp:inline distT="0" distB="0" distL="0" distR="0" wp14:anchorId="6EF9F048" wp14:editId="4E3B22DE">
            <wp:extent cx="6192000" cy="1685098"/>
            <wp:effectExtent l="19050" t="19050" r="18415" b="10795"/>
            <wp:docPr id="80" name="image18.png" descr="Captura del menú PQRSD en la página web de la entidad."/>
            <wp:cNvGraphicFramePr/>
            <a:graphic xmlns:a="http://schemas.openxmlformats.org/drawingml/2006/main">
              <a:graphicData uri="http://schemas.openxmlformats.org/drawingml/2006/picture">
                <pic:pic xmlns:pic="http://schemas.openxmlformats.org/drawingml/2006/picture">
                  <pic:nvPicPr>
                    <pic:cNvPr id="0" name="image18.png" descr="Captura del menú PQRSD en la página web de la entidad."/>
                    <pic:cNvPicPr preferRelativeResize="0"/>
                  </pic:nvPicPr>
                  <pic:blipFill>
                    <a:blip r:embed="rId35"/>
                    <a:srcRect t="12068" b="39348"/>
                    <a:stretch>
                      <a:fillRect/>
                    </a:stretch>
                  </pic:blipFill>
                  <pic:spPr>
                    <a:xfrm>
                      <a:off x="0" y="0"/>
                      <a:ext cx="6192000" cy="1685098"/>
                    </a:xfrm>
                    <a:prstGeom prst="rect">
                      <a:avLst/>
                    </a:prstGeom>
                    <a:ln w="9525">
                      <a:solidFill>
                        <a:srgbClr val="000000"/>
                      </a:solidFill>
                      <a:prstDash val="solid"/>
                    </a:ln>
                  </pic:spPr>
                </pic:pic>
              </a:graphicData>
            </a:graphic>
          </wp:inline>
        </w:drawing>
      </w:r>
    </w:p>
    <w:p w14:paraId="5F320393" w14:textId="77777777" w:rsidR="00CB0BB9" w:rsidRDefault="00CB0BB9" w:rsidP="00865DB0">
      <w:pPr>
        <w:pBdr>
          <w:top w:val="nil"/>
          <w:left w:val="nil"/>
          <w:bottom w:val="nil"/>
          <w:right w:val="nil"/>
          <w:between w:val="nil"/>
        </w:pBdr>
        <w:spacing w:before="120" w:after="120"/>
        <w:ind w:left="-142"/>
        <w:jc w:val="both"/>
        <w:rPr>
          <w:rFonts w:ascii="Arial" w:eastAsia="Arial" w:hAnsi="Arial" w:cs="Arial"/>
          <w:i/>
          <w:color w:val="000000"/>
          <w:sz w:val="24"/>
          <w:szCs w:val="24"/>
          <w:u w:val="single"/>
        </w:rPr>
      </w:pPr>
      <w:r>
        <w:rPr>
          <w:rFonts w:ascii="Arial" w:eastAsia="Arial" w:hAnsi="Arial" w:cs="Arial"/>
          <w:i/>
          <w:sz w:val="24"/>
          <w:szCs w:val="24"/>
          <w:u w:val="single"/>
        </w:rPr>
        <w:t xml:space="preserve">1.2.1.8 </w:t>
      </w:r>
      <w:r>
        <w:rPr>
          <w:rFonts w:ascii="Arial" w:eastAsia="Arial" w:hAnsi="Arial" w:cs="Arial"/>
          <w:i/>
          <w:color w:val="000000"/>
          <w:sz w:val="24"/>
          <w:szCs w:val="24"/>
          <w:u w:val="single"/>
        </w:rPr>
        <w:t>Menú Participa</w:t>
      </w:r>
    </w:p>
    <w:p w14:paraId="1CC00222" w14:textId="77777777" w:rsidR="00CB0BB9" w:rsidRDefault="00CB0BB9" w:rsidP="00865DB0">
      <w:pPr>
        <w:spacing w:before="120" w:after="120"/>
        <w:ind w:left="-142"/>
        <w:jc w:val="both"/>
        <w:rPr>
          <w:rFonts w:ascii="Arial" w:eastAsia="Arial" w:hAnsi="Arial" w:cs="Arial"/>
          <w:sz w:val="24"/>
          <w:szCs w:val="24"/>
        </w:rPr>
      </w:pPr>
      <w:r>
        <w:rPr>
          <w:rFonts w:ascii="Arial" w:eastAsia="Arial" w:hAnsi="Arial" w:cs="Arial"/>
          <w:sz w:val="24"/>
          <w:szCs w:val="24"/>
        </w:rPr>
        <w:t>Los sujetos obligados entidades públicas, y particulares que cumplan función pública o administren recursos públicos, deberán publicar la información que le corresponda, conforme con los lineamientos específicos que expida el Departamento Administrativo de la Función Pública.</w:t>
      </w:r>
    </w:p>
    <w:p w14:paraId="0D1EA321" w14:textId="77777777" w:rsidR="00CB0BB9" w:rsidRDefault="00CB0BB9" w:rsidP="00865DB0">
      <w:pPr>
        <w:spacing w:before="120" w:after="120"/>
        <w:ind w:left="-142"/>
        <w:jc w:val="both"/>
        <w:rPr>
          <w:rFonts w:ascii="Arial" w:eastAsia="Arial" w:hAnsi="Arial" w:cs="Arial"/>
          <w:sz w:val="24"/>
          <w:szCs w:val="24"/>
        </w:rPr>
      </w:pPr>
      <w:r>
        <w:rPr>
          <w:rFonts w:ascii="Arial" w:eastAsia="Arial" w:hAnsi="Arial" w:cs="Arial"/>
          <w:sz w:val="24"/>
          <w:szCs w:val="24"/>
        </w:rPr>
        <w:lastRenderedPageBreak/>
        <w:t>El Menú Participa contiene información sobre el diagnóstico e identificación de problemas, planeación y/o presupuesto participativo, consulta ciudadana, colaboración e innovación abierta, rendición de cuentas y control social.</w:t>
      </w:r>
    </w:p>
    <w:p w14:paraId="6B64D51E" w14:textId="77777777" w:rsidR="00CB0BB9" w:rsidRDefault="00CB0BB9" w:rsidP="00CB0BB9">
      <w:pPr>
        <w:spacing w:before="120" w:after="120"/>
        <w:ind w:left="-142" w:right="-93"/>
        <w:jc w:val="both"/>
        <w:rPr>
          <w:rFonts w:ascii="Arial" w:eastAsia="Arial" w:hAnsi="Arial" w:cs="Arial"/>
          <w:sz w:val="24"/>
          <w:szCs w:val="24"/>
        </w:rPr>
      </w:pPr>
      <w:r>
        <w:rPr>
          <w:rFonts w:ascii="Arial" w:eastAsia="Arial" w:hAnsi="Arial" w:cs="Arial"/>
          <w:noProof/>
          <w:sz w:val="24"/>
          <w:szCs w:val="24"/>
          <w:lang w:val="es-CO" w:eastAsia="es-CO"/>
        </w:rPr>
        <w:drawing>
          <wp:inline distT="0" distB="0" distL="0" distR="0" wp14:anchorId="2F3A5A6F" wp14:editId="159D7C3D">
            <wp:extent cx="6192000" cy="2302317"/>
            <wp:effectExtent l="19050" t="19050" r="18415" b="22225"/>
            <wp:docPr id="82" name="image2.png" descr="Captura del Menú Participa."/>
            <wp:cNvGraphicFramePr/>
            <a:graphic xmlns:a="http://schemas.openxmlformats.org/drawingml/2006/main">
              <a:graphicData uri="http://schemas.openxmlformats.org/drawingml/2006/picture">
                <pic:pic xmlns:pic="http://schemas.openxmlformats.org/drawingml/2006/picture">
                  <pic:nvPicPr>
                    <pic:cNvPr id="0" name="image2.png" descr="Captura del Menú Participa."/>
                    <pic:cNvPicPr preferRelativeResize="0"/>
                  </pic:nvPicPr>
                  <pic:blipFill>
                    <a:blip r:embed="rId36"/>
                    <a:srcRect t="17200" b="15810"/>
                    <a:stretch>
                      <a:fillRect/>
                    </a:stretch>
                  </pic:blipFill>
                  <pic:spPr>
                    <a:xfrm>
                      <a:off x="0" y="0"/>
                      <a:ext cx="6192000" cy="2302317"/>
                    </a:xfrm>
                    <a:prstGeom prst="rect">
                      <a:avLst/>
                    </a:prstGeom>
                    <a:ln w="9525">
                      <a:solidFill>
                        <a:srgbClr val="000000"/>
                      </a:solidFill>
                      <a:prstDash val="solid"/>
                    </a:ln>
                  </pic:spPr>
                </pic:pic>
              </a:graphicData>
            </a:graphic>
          </wp:inline>
        </w:drawing>
      </w:r>
    </w:p>
    <w:p w14:paraId="1650DF94" w14:textId="77777777" w:rsidR="00CB0BB9" w:rsidRDefault="00CB0BB9" w:rsidP="00865DB0">
      <w:pPr>
        <w:pStyle w:val="Ttulo2"/>
        <w:spacing w:before="120" w:after="120"/>
        <w:ind w:left="-142"/>
        <w:rPr>
          <w:rFonts w:ascii="Arial" w:eastAsia="Arial" w:hAnsi="Arial" w:cs="Arial"/>
          <w:sz w:val="24"/>
          <w:szCs w:val="24"/>
        </w:rPr>
      </w:pPr>
      <w:r>
        <w:rPr>
          <w:rFonts w:ascii="Arial" w:eastAsia="Arial" w:hAnsi="Arial" w:cs="Arial"/>
          <w:sz w:val="24"/>
          <w:szCs w:val="24"/>
        </w:rPr>
        <w:t>1.3 CONDICIONES MÍNIMAS TÉCNICAS Y DE SEGURIDAD</w:t>
      </w:r>
    </w:p>
    <w:p w14:paraId="379DF806" w14:textId="77777777" w:rsidR="00CB0BB9" w:rsidRDefault="00CB0BB9" w:rsidP="00865DB0">
      <w:pPr>
        <w:spacing w:before="120" w:after="120"/>
        <w:ind w:left="-142"/>
        <w:jc w:val="both"/>
        <w:rPr>
          <w:rFonts w:ascii="Arial" w:eastAsia="Arial" w:hAnsi="Arial" w:cs="Arial"/>
          <w:sz w:val="24"/>
          <w:szCs w:val="24"/>
        </w:rPr>
      </w:pPr>
      <w:r>
        <w:rPr>
          <w:rFonts w:ascii="Arial" w:eastAsia="Arial" w:hAnsi="Arial" w:cs="Arial"/>
          <w:sz w:val="24"/>
          <w:szCs w:val="24"/>
        </w:rPr>
        <w:t>Los sujetos obligados tendrán que adoptar medidas para garantizar la seguridad digital y mitigar riesgos de incidentes cibernéticos o filtración de datos personales o sensibles.</w:t>
      </w:r>
    </w:p>
    <w:p w14:paraId="4240CE0E" w14:textId="77777777" w:rsidR="00CB0BB9" w:rsidRDefault="00CB0BB9" w:rsidP="00865DB0">
      <w:pPr>
        <w:spacing w:before="120" w:after="120"/>
        <w:ind w:left="-142"/>
        <w:jc w:val="both"/>
        <w:rPr>
          <w:rFonts w:ascii="Arial" w:eastAsia="Arial" w:hAnsi="Arial" w:cs="Arial"/>
          <w:sz w:val="24"/>
          <w:szCs w:val="24"/>
        </w:rPr>
      </w:pPr>
      <w:r>
        <w:rPr>
          <w:rFonts w:ascii="Arial" w:eastAsia="Arial" w:hAnsi="Arial" w:cs="Arial"/>
          <w:sz w:val="24"/>
          <w:szCs w:val="24"/>
        </w:rPr>
        <w:t xml:space="preserve">Como resultado de la verificación de condiciones mínimas técnicas y de seguridad digital, que incluyó la revisión del aplicativo SISBIC, se observó que el Instituto, cuenta con el Manual de Políticas de Seguridad y Privacidad de la Información y una Política de Seguridad y Privacidad de la Información. De conformidad con el anexo 3 de la Resolución 1519 de 2020, la Asesoría de Control Interno evaluó 23 criterios relacionados con las condiciones de seguridad digital web. </w:t>
      </w:r>
    </w:p>
    <w:p w14:paraId="75FEAB1A" w14:textId="647D5B2C" w:rsidR="002933DD" w:rsidRDefault="00CB0BB9" w:rsidP="00A97C5A">
      <w:pPr>
        <w:spacing w:before="120" w:after="120"/>
        <w:ind w:left="-142"/>
        <w:jc w:val="both"/>
        <w:rPr>
          <w:rFonts w:ascii="Arial" w:eastAsia="Arial" w:hAnsi="Arial" w:cs="Arial"/>
          <w:sz w:val="24"/>
          <w:szCs w:val="24"/>
        </w:rPr>
      </w:pPr>
      <w:r>
        <w:rPr>
          <w:rFonts w:ascii="Arial" w:eastAsia="Arial" w:hAnsi="Arial" w:cs="Arial"/>
          <w:sz w:val="24"/>
          <w:szCs w:val="24"/>
        </w:rPr>
        <w:t>La evaluación corresponde a lo consignado en el anexo 3 del presente informe y en el siguiente cuadro:</w:t>
      </w:r>
    </w:p>
    <w:tbl>
      <w:tblPr>
        <w:tblStyle w:val="Tablaconcuadrcula1"/>
        <w:tblW w:w="7508" w:type="dxa"/>
        <w:jc w:val="center"/>
        <w:tblLayout w:type="fixed"/>
        <w:tblLook w:val="0420" w:firstRow="1" w:lastRow="0" w:firstColumn="0" w:lastColumn="0" w:noHBand="0" w:noVBand="1"/>
      </w:tblPr>
      <w:tblGrid>
        <w:gridCol w:w="5020"/>
        <w:gridCol w:w="1071"/>
        <w:gridCol w:w="1417"/>
      </w:tblGrid>
      <w:tr w:rsidR="00CB0BB9" w14:paraId="1C469A0C" w14:textId="77777777" w:rsidTr="00FA584D">
        <w:trPr>
          <w:jc w:val="center"/>
        </w:trPr>
        <w:tc>
          <w:tcPr>
            <w:tcW w:w="5020" w:type="dxa"/>
            <w:shd w:val="clear" w:color="auto" w:fill="F2F2F2" w:themeFill="background1" w:themeFillShade="F2"/>
            <w:vAlign w:val="center"/>
          </w:tcPr>
          <w:p w14:paraId="06CE7388" w14:textId="77777777" w:rsidR="002933DD" w:rsidRPr="00A97C5A" w:rsidRDefault="002933DD" w:rsidP="00A97C5A">
            <w:pPr>
              <w:ind w:left="32" w:right="-93"/>
              <w:jc w:val="center"/>
              <w:rPr>
                <w:rFonts w:ascii="Arial" w:eastAsia="Arial" w:hAnsi="Arial" w:cs="Arial"/>
                <w:b/>
                <w:bCs/>
                <w:sz w:val="24"/>
                <w:szCs w:val="24"/>
              </w:rPr>
            </w:pPr>
            <w:r w:rsidRPr="00A97C5A">
              <w:rPr>
                <w:rFonts w:ascii="Arial" w:eastAsia="Arial" w:hAnsi="Arial" w:cs="Arial"/>
                <w:b/>
                <w:bCs/>
                <w:sz w:val="24"/>
                <w:szCs w:val="24"/>
              </w:rPr>
              <w:t>Seguimiento y evaluación CI Agosto 2022</w:t>
            </w:r>
          </w:p>
          <w:p w14:paraId="57BEC9B4" w14:textId="3932D1FE" w:rsidR="00CB0BB9" w:rsidRPr="00A97C5A" w:rsidRDefault="002933DD" w:rsidP="00A97C5A">
            <w:pPr>
              <w:ind w:left="-142" w:right="-93"/>
              <w:jc w:val="center"/>
              <w:rPr>
                <w:rFonts w:ascii="Arial" w:eastAsia="Arial" w:hAnsi="Arial" w:cs="Arial"/>
                <w:b/>
                <w:bCs/>
                <w:sz w:val="24"/>
                <w:szCs w:val="24"/>
              </w:rPr>
            </w:pPr>
            <w:r w:rsidRPr="00A97C5A">
              <w:rPr>
                <w:rFonts w:ascii="Arial" w:eastAsia="Arial" w:hAnsi="Arial" w:cs="Arial"/>
                <w:b/>
                <w:bCs/>
                <w:sz w:val="24"/>
                <w:szCs w:val="24"/>
              </w:rPr>
              <w:t>Publicaciones 2022</w:t>
            </w:r>
          </w:p>
        </w:tc>
        <w:tc>
          <w:tcPr>
            <w:tcW w:w="1071" w:type="dxa"/>
            <w:shd w:val="clear" w:color="auto" w:fill="F2F2F2" w:themeFill="background1" w:themeFillShade="F2"/>
            <w:vAlign w:val="center"/>
          </w:tcPr>
          <w:p w14:paraId="4D4CDB14" w14:textId="544ACDD0" w:rsidR="00CB0BB9" w:rsidRPr="00A97C5A" w:rsidRDefault="00CB0BB9" w:rsidP="00A97C5A">
            <w:pPr>
              <w:ind w:left="-142" w:right="-93"/>
              <w:jc w:val="center"/>
              <w:rPr>
                <w:rFonts w:ascii="Arial" w:eastAsia="Arial" w:hAnsi="Arial" w:cs="Arial"/>
                <w:b/>
                <w:bCs/>
                <w:sz w:val="24"/>
                <w:szCs w:val="24"/>
              </w:rPr>
            </w:pPr>
            <w:r w:rsidRPr="00A97C5A">
              <w:rPr>
                <w:rFonts w:ascii="Arial" w:eastAsia="Arial" w:hAnsi="Arial" w:cs="Arial"/>
                <w:b/>
                <w:bCs/>
                <w:sz w:val="24"/>
                <w:szCs w:val="24"/>
              </w:rPr>
              <w:t>Totales</w:t>
            </w:r>
          </w:p>
        </w:tc>
        <w:tc>
          <w:tcPr>
            <w:tcW w:w="1417" w:type="dxa"/>
            <w:shd w:val="clear" w:color="auto" w:fill="F2F2F2" w:themeFill="background1" w:themeFillShade="F2"/>
            <w:vAlign w:val="center"/>
          </w:tcPr>
          <w:p w14:paraId="187D5C32" w14:textId="54C67F3A" w:rsidR="00CB0BB9" w:rsidRPr="00A97C5A" w:rsidRDefault="00CB0BB9" w:rsidP="00A97C5A">
            <w:pPr>
              <w:ind w:left="-142" w:right="-93"/>
              <w:jc w:val="center"/>
              <w:rPr>
                <w:rFonts w:ascii="Arial" w:eastAsia="Arial" w:hAnsi="Arial" w:cs="Arial"/>
                <w:b/>
                <w:bCs/>
                <w:sz w:val="24"/>
                <w:szCs w:val="24"/>
              </w:rPr>
            </w:pPr>
            <w:r w:rsidRPr="00A97C5A">
              <w:rPr>
                <w:rFonts w:ascii="Arial" w:eastAsia="Arial" w:hAnsi="Arial" w:cs="Arial"/>
                <w:b/>
                <w:bCs/>
                <w:sz w:val="24"/>
                <w:szCs w:val="24"/>
              </w:rPr>
              <w:t>Porcentaje</w:t>
            </w:r>
          </w:p>
        </w:tc>
      </w:tr>
      <w:tr w:rsidR="00CB0BB9" w14:paraId="47BF9BE0" w14:textId="77777777" w:rsidTr="00FA584D">
        <w:trPr>
          <w:jc w:val="center"/>
        </w:trPr>
        <w:tc>
          <w:tcPr>
            <w:tcW w:w="5020" w:type="dxa"/>
            <w:vAlign w:val="center"/>
          </w:tcPr>
          <w:p w14:paraId="5B907475" w14:textId="77777777" w:rsidR="00CB0BB9" w:rsidRDefault="00CB0BB9" w:rsidP="00A97C5A">
            <w:pPr>
              <w:ind w:left="22" w:right="-93"/>
              <w:rPr>
                <w:rFonts w:ascii="Arial" w:eastAsia="Arial" w:hAnsi="Arial" w:cs="Arial"/>
                <w:sz w:val="24"/>
                <w:szCs w:val="24"/>
              </w:rPr>
            </w:pPr>
            <w:r>
              <w:rPr>
                <w:rFonts w:ascii="Arial" w:eastAsia="Arial" w:hAnsi="Arial" w:cs="Arial"/>
                <w:sz w:val="24"/>
                <w:szCs w:val="24"/>
              </w:rPr>
              <w:t>Cumple</w:t>
            </w:r>
          </w:p>
        </w:tc>
        <w:tc>
          <w:tcPr>
            <w:tcW w:w="1071" w:type="dxa"/>
            <w:vAlign w:val="center"/>
          </w:tcPr>
          <w:p w14:paraId="4FD08BE3" w14:textId="23A95954" w:rsidR="00CB0BB9" w:rsidRDefault="00CB0BB9" w:rsidP="006324A8">
            <w:pPr>
              <w:ind w:left="-142" w:right="-93"/>
              <w:jc w:val="center"/>
              <w:rPr>
                <w:rFonts w:ascii="Arial" w:eastAsia="Arial" w:hAnsi="Arial" w:cs="Arial"/>
                <w:sz w:val="24"/>
                <w:szCs w:val="24"/>
              </w:rPr>
            </w:pPr>
            <w:r>
              <w:rPr>
                <w:rFonts w:ascii="Arial" w:eastAsia="Arial" w:hAnsi="Arial" w:cs="Arial"/>
                <w:sz w:val="24"/>
                <w:szCs w:val="24"/>
              </w:rPr>
              <w:t>2</w:t>
            </w:r>
            <w:r w:rsidR="00602FAC">
              <w:rPr>
                <w:rFonts w:ascii="Arial" w:eastAsia="Arial" w:hAnsi="Arial" w:cs="Arial"/>
                <w:sz w:val="24"/>
                <w:szCs w:val="24"/>
              </w:rPr>
              <w:t>8</w:t>
            </w:r>
          </w:p>
        </w:tc>
        <w:tc>
          <w:tcPr>
            <w:tcW w:w="1417" w:type="dxa"/>
            <w:vAlign w:val="center"/>
          </w:tcPr>
          <w:p w14:paraId="0E936613" w14:textId="30F5B89D" w:rsidR="00CB0BB9" w:rsidRDefault="00CB0BB9" w:rsidP="006324A8">
            <w:pPr>
              <w:ind w:left="-142" w:right="-93"/>
              <w:jc w:val="center"/>
              <w:rPr>
                <w:rFonts w:ascii="Arial" w:eastAsia="Arial" w:hAnsi="Arial" w:cs="Arial"/>
                <w:sz w:val="24"/>
                <w:szCs w:val="24"/>
              </w:rPr>
            </w:pPr>
            <w:r>
              <w:rPr>
                <w:rFonts w:ascii="Arial" w:eastAsia="Arial" w:hAnsi="Arial" w:cs="Arial"/>
                <w:sz w:val="24"/>
                <w:szCs w:val="24"/>
              </w:rPr>
              <w:t>8</w:t>
            </w:r>
            <w:r w:rsidR="00602FAC">
              <w:rPr>
                <w:rFonts w:ascii="Arial" w:eastAsia="Arial" w:hAnsi="Arial" w:cs="Arial"/>
                <w:sz w:val="24"/>
                <w:szCs w:val="24"/>
              </w:rPr>
              <w:t>7</w:t>
            </w:r>
            <w:r>
              <w:rPr>
                <w:rFonts w:ascii="Arial" w:eastAsia="Arial" w:hAnsi="Arial" w:cs="Arial"/>
                <w:sz w:val="24"/>
                <w:szCs w:val="24"/>
              </w:rPr>
              <w:t>,</w:t>
            </w:r>
            <w:r w:rsidR="00602FAC">
              <w:rPr>
                <w:rFonts w:ascii="Arial" w:eastAsia="Arial" w:hAnsi="Arial" w:cs="Arial"/>
                <w:sz w:val="24"/>
                <w:szCs w:val="24"/>
              </w:rPr>
              <w:t>5</w:t>
            </w:r>
            <w:r>
              <w:rPr>
                <w:rFonts w:ascii="Arial" w:eastAsia="Arial" w:hAnsi="Arial" w:cs="Arial"/>
                <w:sz w:val="24"/>
                <w:szCs w:val="24"/>
              </w:rPr>
              <w:t>%</w:t>
            </w:r>
          </w:p>
        </w:tc>
      </w:tr>
      <w:tr w:rsidR="00CB0BB9" w14:paraId="640F3244" w14:textId="77777777" w:rsidTr="00FA584D">
        <w:trPr>
          <w:jc w:val="center"/>
        </w:trPr>
        <w:tc>
          <w:tcPr>
            <w:tcW w:w="5020" w:type="dxa"/>
            <w:vAlign w:val="center"/>
          </w:tcPr>
          <w:p w14:paraId="1CCBCA53" w14:textId="77777777" w:rsidR="00CB0BB9" w:rsidRDefault="00CB0BB9" w:rsidP="00A97C5A">
            <w:pPr>
              <w:ind w:left="22" w:right="-93"/>
              <w:rPr>
                <w:rFonts w:ascii="Arial" w:eastAsia="Arial" w:hAnsi="Arial" w:cs="Arial"/>
                <w:sz w:val="24"/>
                <w:szCs w:val="24"/>
              </w:rPr>
            </w:pPr>
            <w:r>
              <w:rPr>
                <w:rFonts w:ascii="Arial" w:eastAsia="Arial" w:hAnsi="Arial" w:cs="Arial"/>
                <w:sz w:val="24"/>
                <w:szCs w:val="24"/>
              </w:rPr>
              <w:t>No Cumple</w:t>
            </w:r>
          </w:p>
        </w:tc>
        <w:tc>
          <w:tcPr>
            <w:tcW w:w="1071" w:type="dxa"/>
            <w:vAlign w:val="center"/>
          </w:tcPr>
          <w:p w14:paraId="511DA5D9" w14:textId="77777777" w:rsidR="00CB0BB9" w:rsidRDefault="00CB0BB9" w:rsidP="006324A8">
            <w:pPr>
              <w:ind w:left="-142" w:right="-93"/>
              <w:jc w:val="center"/>
              <w:rPr>
                <w:rFonts w:ascii="Arial" w:eastAsia="Arial" w:hAnsi="Arial" w:cs="Arial"/>
                <w:sz w:val="24"/>
                <w:szCs w:val="24"/>
              </w:rPr>
            </w:pPr>
            <w:r>
              <w:rPr>
                <w:rFonts w:ascii="Arial" w:eastAsia="Arial" w:hAnsi="Arial" w:cs="Arial"/>
                <w:sz w:val="24"/>
                <w:szCs w:val="24"/>
              </w:rPr>
              <w:t>0</w:t>
            </w:r>
          </w:p>
        </w:tc>
        <w:tc>
          <w:tcPr>
            <w:tcW w:w="1417" w:type="dxa"/>
            <w:vAlign w:val="center"/>
          </w:tcPr>
          <w:p w14:paraId="79704B8C" w14:textId="77777777" w:rsidR="00CB0BB9" w:rsidRDefault="00CB0BB9" w:rsidP="006324A8">
            <w:pPr>
              <w:ind w:left="-142" w:right="-93"/>
              <w:jc w:val="center"/>
              <w:rPr>
                <w:rFonts w:ascii="Arial" w:eastAsia="Arial" w:hAnsi="Arial" w:cs="Arial"/>
                <w:sz w:val="24"/>
                <w:szCs w:val="24"/>
              </w:rPr>
            </w:pPr>
            <w:r>
              <w:rPr>
                <w:rFonts w:ascii="Arial" w:eastAsia="Arial" w:hAnsi="Arial" w:cs="Arial"/>
                <w:sz w:val="24"/>
                <w:szCs w:val="24"/>
              </w:rPr>
              <w:t>0%</w:t>
            </w:r>
          </w:p>
        </w:tc>
      </w:tr>
      <w:tr w:rsidR="00CB0BB9" w14:paraId="0D13F7AA" w14:textId="77777777" w:rsidTr="00FA584D">
        <w:trPr>
          <w:jc w:val="center"/>
        </w:trPr>
        <w:tc>
          <w:tcPr>
            <w:tcW w:w="5020" w:type="dxa"/>
            <w:vAlign w:val="center"/>
          </w:tcPr>
          <w:p w14:paraId="36085703" w14:textId="77777777" w:rsidR="00CB0BB9" w:rsidRDefault="00CB0BB9" w:rsidP="00A97C5A">
            <w:pPr>
              <w:ind w:left="22" w:right="-93"/>
              <w:rPr>
                <w:rFonts w:ascii="Arial" w:eastAsia="Arial" w:hAnsi="Arial" w:cs="Arial"/>
                <w:sz w:val="24"/>
                <w:szCs w:val="24"/>
              </w:rPr>
            </w:pPr>
            <w:r>
              <w:rPr>
                <w:rFonts w:ascii="Arial" w:eastAsia="Arial" w:hAnsi="Arial" w:cs="Arial"/>
                <w:sz w:val="24"/>
                <w:szCs w:val="24"/>
              </w:rPr>
              <w:t>Cumple Parcialmente</w:t>
            </w:r>
          </w:p>
        </w:tc>
        <w:tc>
          <w:tcPr>
            <w:tcW w:w="1071" w:type="dxa"/>
            <w:vAlign w:val="center"/>
          </w:tcPr>
          <w:p w14:paraId="78FECEAD" w14:textId="26E08E87" w:rsidR="00CB0BB9" w:rsidRDefault="00602FAC" w:rsidP="006324A8">
            <w:pPr>
              <w:ind w:left="-142" w:right="-93"/>
              <w:jc w:val="center"/>
              <w:rPr>
                <w:rFonts w:ascii="Arial" w:eastAsia="Arial" w:hAnsi="Arial" w:cs="Arial"/>
                <w:sz w:val="24"/>
                <w:szCs w:val="24"/>
              </w:rPr>
            </w:pPr>
            <w:r>
              <w:rPr>
                <w:rFonts w:ascii="Arial" w:eastAsia="Arial" w:hAnsi="Arial" w:cs="Arial"/>
                <w:sz w:val="24"/>
                <w:szCs w:val="24"/>
              </w:rPr>
              <w:t>4</w:t>
            </w:r>
          </w:p>
        </w:tc>
        <w:tc>
          <w:tcPr>
            <w:tcW w:w="1417" w:type="dxa"/>
            <w:vAlign w:val="center"/>
          </w:tcPr>
          <w:p w14:paraId="624BB2B7" w14:textId="153D3AD3" w:rsidR="00CB0BB9" w:rsidRDefault="00CB0BB9" w:rsidP="006324A8">
            <w:pPr>
              <w:ind w:left="-142" w:right="-93"/>
              <w:jc w:val="center"/>
              <w:rPr>
                <w:rFonts w:ascii="Arial" w:eastAsia="Arial" w:hAnsi="Arial" w:cs="Arial"/>
                <w:sz w:val="24"/>
                <w:szCs w:val="24"/>
              </w:rPr>
            </w:pPr>
            <w:r>
              <w:rPr>
                <w:rFonts w:ascii="Arial" w:eastAsia="Arial" w:hAnsi="Arial" w:cs="Arial"/>
                <w:sz w:val="24"/>
                <w:szCs w:val="24"/>
              </w:rPr>
              <w:t>1</w:t>
            </w:r>
            <w:r w:rsidR="00602FAC">
              <w:rPr>
                <w:rFonts w:ascii="Arial" w:eastAsia="Arial" w:hAnsi="Arial" w:cs="Arial"/>
                <w:sz w:val="24"/>
                <w:szCs w:val="24"/>
              </w:rPr>
              <w:t>2,5</w:t>
            </w:r>
            <w:r>
              <w:rPr>
                <w:rFonts w:ascii="Arial" w:eastAsia="Arial" w:hAnsi="Arial" w:cs="Arial"/>
                <w:sz w:val="24"/>
                <w:szCs w:val="24"/>
              </w:rPr>
              <w:t>%</w:t>
            </w:r>
          </w:p>
        </w:tc>
      </w:tr>
      <w:tr w:rsidR="00CB0BB9" w14:paraId="401EF1F4" w14:textId="77777777" w:rsidTr="00FA584D">
        <w:trPr>
          <w:jc w:val="center"/>
        </w:trPr>
        <w:tc>
          <w:tcPr>
            <w:tcW w:w="5020" w:type="dxa"/>
            <w:vAlign w:val="center"/>
          </w:tcPr>
          <w:p w14:paraId="5210FEC9" w14:textId="77777777" w:rsidR="00CB0BB9" w:rsidRDefault="00CB0BB9" w:rsidP="00A97C5A">
            <w:pPr>
              <w:ind w:left="22" w:right="-93"/>
              <w:rPr>
                <w:rFonts w:ascii="Arial" w:eastAsia="Arial" w:hAnsi="Arial" w:cs="Arial"/>
                <w:b/>
                <w:sz w:val="24"/>
                <w:szCs w:val="24"/>
              </w:rPr>
            </w:pPr>
            <w:r>
              <w:rPr>
                <w:rFonts w:ascii="Arial" w:eastAsia="Arial" w:hAnsi="Arial" w:cs="Arial"/>
                <w:b/>
                <w:sz w:val="24"/>
                <w:szCs w:val="24"/>
              </w:rPr>
              <w:t>Total ítems verificados</w:t>
            </w:r>
          </w:p>
        </w:tc>
        <w:tc>
          <w:tcPr>
            <w:tcW w:w="1071" w:type="dxa"/>
            <w:vAlign w:val="center"/>
          </w:tcPr>
          <w:p w14:paraId="710B508A" w14:textId="77777777" w:rsidR="00CB0BB9" w:rsidRDefault="00CB0BB9" w:rsidP="006324A8">
            <w:pPr>
              <w:ind w:left="-142" w:right="-93"/>
              <w:jc w:val="center"/>
              <w:rPr>
                <w:rFonts w:ascii="Arial" w:eastAsia="Arial" w:hAnsi="Arial" w:cs="Arial"/>
                <w:b/>
                <w:sz w:val="24"/>
                <w:szCs w:val="24"/>
              </w:rPr>
            </w:pPr>
            <w:r>
              <w:rPr>
                <w:rFonts w:ascii="Arial" w:eastAsia="Arial" w:hAnsi="Arial" w:cs="Arial"/>
                <w:b/>
                <w:sz w:val="24"/>
                <w:szCs w:val="24"/>
              </w:rPr>
              <w:t>32</w:t>
            </w:r>
          </w:p>
        </w:tc>
        <w:tc>
          <w:tcPr>
            <w:tcW w:w="1417" w:type="dxa"/>
            <w:vAlign w:val="center"/>
          </w:tcPr>
          <w:p w14:paraId="5A1DB112" w14:textId="77777777" w:rsidR="00CB0BB9" w:rsidRDefault="00CB0BB9" w:rsidP="006324A8">
            <w:pPr>
              <w:ind w:left="-142" w:right="-93"/>
              <w:jc w:val="center"/>
              <w:rPr>
                <w:rFonts w:ascii="Arial" w:eastAsia="Arial" w:hAnsi="Arial" w:cs="Arial"/>
                <w:b/>
                <w:sz w:val="24"/>
                <w:szCs w:val="24"/>
              </w:rPr>
            </w:pPr>
            <w:r>
              <w:rPr>
                <w:rFonts w:ascii="Arial" w:eastAsia="Arial" w:hAnsi="Arial" w:cs="Arial"/>
                <w:b/>
                <w:sz w:val="24"/>
                <w:szCs w:val="24"/>
              </w:rPr>
              <w:t>100%</w:t>
            </w:r>
          </w:p>
        </w:tc>
      </w:tr>
    </w:tbl>
    <w:p w14:paraId="7E35057D" w14:textId="77777777" w:rsidR="00CB0BB9" w:rsidRDefault="00CB0BB9" w:rsidP="00865DB0">
      <w:pPr>
        <w:spacing w:before="120" w:after="120"/>
        <w:ind w:left="-142"/>
        <w:jc w:val="both"/>
        <w:rPr>
          <w:rFonts w:ascii="Arial" w:eastAsia="Arial" w:hAnsi="Arial" w:cs="Arial"/>
          <w:sz w:val="24"/>
          <w:szCs w:val="24"/>
        </w:rPr>
      </w:pPr>
      <w:r>
        <w:rPr>
          <w:rFonts w:ascii="Arial" w:eastAsia="Arial" w:hAnsi="Arial" w:cs="Arial"/>
          <w:sz w:val="24"/>
          <w:szCs w:val="24"/>
        </w:rPr>
        <w:t xml:space="preserve">Se evidenciaron avances en la implementación de las condiciones de seguridad digital estipuladas en las normas. No obstante, se evidencia cumplimiento parcial de algunos de los criterios. </w:t>
      </w:r>
    </w:p>
    <w:p w14:paraId="5320832C" w14:textId="77777777" w:rsidR="00CB0BB9" w:rsidRDefault="00CB0BB9" w:rsidP="00865DB0">
      <w:pPr>
        <w:pStyle w:val="Ttulo2"/>
        <w:ind w:left="-142"/>
        <w:rPr>
          <w:rFonts w:ascii="Arial" w:eastAsia="Arial" w:hAnsi="Arial" w:cs="Arial"/>
          <w:sz w:val="24"/>
          <w:szCs w:val="24"/>
        </w:rPr>
      </w:pPr>
      <w:r>
        <w:rPr>
          <w:rFonts w:ascii="Arial" w:eastAsia="Arial" w:hAnsi="Arial" w:cs="Arial"/>
          <w:sz w:val="24"/>
          <w:szCs w:val="24"/>
        </w:rPr>
        <w:t>1.4 REQUISITOS MÍNIMOS DATOS ABIERTOS</w:t>
      </w:r>
    </w:p>
    <w:p w14:paraId="21550514" w14:textId="77777777" w:rsidR="00CB0BB9" w:rsidRDefault="00CB0BB9" w:rsidP="00865DB0">
      <w:pPr>
        <w:spacing w:before="120" w:after="120"/>
        <w:ind w:left="-142"/>
        <w:rPr>
          <w:rFonts w:ascii="Arial" w:eastAsia="Arial" w:hAnsi="Arial" w:cs="Arial"/>
          <w:sz w:val="24"/>
          <w:szCs w:val="24"/>
        </w:rPr>
      </w:pPr>
      <w:r>
        <w:rPr>
          <w:rFonts w:ascii="Arial" w:eastAsia="Arial" w:hAnsi="Arial" w:cs="Arial"/>
          <w:sz w:val="24"/>
          <w:szCs w:val="24"/>
        </w:rPr>
        <w:t>En relación con los requisitos mínimos de datos abiertos, se observó la publicación de los siguientes instrumentos de gestión de la información pública:</w:t>
      </w:r>
    </w:p>
    <w:p w14:paraId="55B09ECA" w14:textId="77777777" w:rsidR="00CB0BB9" w:rsidRDefault="006D0B5F" w:rsidP="00865DB0">
      <w:pPr>
        <w:numPr>
          <w:ilvl w:val="0"/>
          <w:numId w:val="18"/>
        </w:numPr>
        <w:pBdr>
          <w:top w:val="nil"/>
          <w:left w:val="nil"/>
          <w:bottom w:val="nil"/>
          <w:right w:val="nil"/>
          <w:between w:val="nil"/>
        </w:pBdr>
        <w:ind w:left="284" w:hanging="284"/>
        <w:jc w:val="both"/>
        <w:rPr>
          <w:rFonts w:ascii="Arial" w:eastAsia="Arial" w:hAnsi="Arial" w:cs="Arial"/>
          <w:sz w:val="24"/>
          <w:szCs w:val="24"/>
        </w:rPr>
      </w:pPr>
      <w:hyperlink r:id="rId37">
        <w:r w:rsidR="00CB0BB9">
          <w:rPr>
            <w:rFonts w:ascii="Arial" w:eastAsia="Arial" w:hAnsi="Arial" w:cs="Arial"/>
            <w:sz w:val="24"/>
            <w:szCs w:val="24"/>
          </w:rPr>
          <w:t>Registro de activos de Información</w:t>
        </w:r>
      </w:hyperlink>
      <w:r w:rsidR="00CB0BB9">
        <w:rPr>
          <w:rFonts w:ascii="Arial" w:eastAsia="Arial" w:hAnsi="Arial" w:cs="Arial"/>
          <w:sz w:val="24"/>
          <w:szCs w:val="24"/>
        </w:rPr>
        <w:t>.</w:t>
      </w:r>
    </w:p>
    <w:p w14:paraId="73C89301" w14:textId="77777777" w:rsidR="00CB0BB9" w:rsidRDefault="006D0B5F" w:rsidP="00865DB0">
      <w:pPr>
        <w:numPr>
          <w:ilvl w:val="0"/>
          <w:numId w:val="18"/>
        </w:numPr>
        <w:pBdr>
          <w:top w:val="nil"/>
          <w:left w:val="nil"/>
          <w:bottom w:val="nil"/>
          <w:right w:val="nil"/>
          <w:between w:val="nil"/>
        </w:pBdr>
        <w:ind w:left="284" w:hanging="284"/>
        <w:jc w:val="both"/>
        <w:rPr>
          <w:rFonts w:ascii="Arial" w:eastAsia="Arial" w:hAnsi="Arial" w:cs="Arial"/>
          <w:sz w:val="24"/>
          <w:szCs w:val="24"/>
        </w:rPr>
      </w:pPr>
      <w:hyperlink r:id="rId38">
        <w:r w:rsidR="00CB0BB9">
          <w:rPr>
            <w:rFonts w:ascii="Arial" w:eastAsia="Arial" w:hAnsi="Arial" w:cs="Arial"/>
            <w:sz w:val="24"/>
            <w:szCs w:val="24"/>
          </w:rPr>
          <w:t>Índice de Información Clasificada y Reservada – Resolución de Adopción 2018</w:t>
        </w:r>
      </w:hyperlink>
      <w:r w:rsidR="00CB0BB9">
        <w:rPr>
          <w:rFonts w:ascii="Arial" w:eastAsia="Arial" w:hAnsi="Arial" w:cs="Arial"/>
          <w:sz w:val="24"/>
          <w:szCs w:val="24"/>
        </w:rPr>
        <w:t>.</w:t>
      </w:r>
    </w:p>
    <w:p w14:paraId="70BC9595" w14:textId="77777777" w:rsidR="00CB0BB9" w:rsidRDefault="006D0B5F" w:rsidP="00865DB0">
      <w:pPr>
        <w:numPr>
          <w:ilvl w:val="0"/>
          <w:numId w:val="18"/>
        </w:numPr>
        <w:pBdr>
          <w:top w:val="nil"/>
          <w:left w:val="nil"/>
          <w:bottom w:val="nil"/>
          <w:right w:val="nil"/>
          <w:between w:val="nil"/>
        </w:pBdr>
        <w:ind w:left="284" w:hanging="284"/>
        <w:jc w:val="both"/>
        <w:rPr>
          <w:rFonts w:ascii="Arial" w:eastAsia="Arial" w:hAnsi="Arial" w:cs="Arial"/>
          <w:sz w:val="24"/>
          <w:szCs w:val="24"/>
        </w:rPr>
      </w:pPr>
      <w:hyperlink r:id="rId39">
        <w:r w:rsidR="00CB0BB9">
          <w:rPr>
            <w:rFonts w:ascii="Arial" w:eastAsia="Arial" w:hAnsi="Arial" w:cs="Arial"/>
            <w:sz w:val="24"/>
            <w:szCs w:val="24"/>
          </w:rPr>
          <w:t>Esquema de Publicación de Información</w:t>
        </w:r>
      </w:hyperlink>
    </w:p>
    <w:p w14:paraId="0DC357AA" w14:textId="77777777" w:rsidR="00CB0BB9" w:rsidRDefault="006D0B5F" w:rsidP="00865DB0">
      <w:pPr>
        <w:numPr>
          <w:ilvl w:val="0"/>
          <w:numId w:val="18"/>
        </w:numPr>
        <w:pBdr>
          <w:top w:val="nil"/>
          <w:left w:val="nil"/>
          <w:bottom w:val="nil"/>
          <w:right w:val="nil"/>
          <w:between w:val="nil"/>
        </w:pBdr>
        <w:ind w:left="284" w:hanging="284"/>
        <w:jc w:val="both"/>
        <w:rPr>
          <w:rFonts w:ascii="Arial" w:eastAsia="Arial" w:hAnsi="Arial" w:cs="Arial"/>
          <w:sz w:val="24"/>
          <w:szCs w:val="24"/>
        </w:rPr>
      </w:pPr>
      <w:hyperlink r:id="rId40">
        <w:r w:rsidR="00CB0BB9">
          <w:rPr>
            <w:rFonts w:ascii="Arial" w:eastAsia="Arial" w:hAnsi="Arial" w:cs="Arial"/>
            <w:sz w:val="24"/>
            <w:szCs w:val="24"/>
          </w:rPr>
          <w:t>Programa de Gestión Documental</w:t>
        </w:r>
      </w:hyperlink>
    </w:p>
    <w:p w14:paraId="1A06C2D7" w14:textId="77777777" w:rsidR="00CB0BB9" w:rsidRDefault="006D0B5F" w:rsidP="00865DB0">
      <w:pPr>
        <w:numPr>
          <w:ilvl w:val="0"/>
          <w:numId w:val="18"/>
        </w:numPr>
        <w:pBdr>
          <w:top w:val="nil"/>
          <w:left w:val="nil"/>
          <w:bottom w:val="nil"/>
          <w:right w:val="nil"/>
          <w:between w:val="nil"/>
        </w:pBdr>
        <w:ind w:left="284" w:hanging="284"/>
        <w:jc w:val="both"/>
        <w:rPr>
          <w:rFonts w:ascii="Arial" w:eastAsia="Arial" w:hAnsi="Arial" w:cs="Arial"/>
          <w:sz w:val="24"/>
          <w:szCs w:val="24"/>
        </w:rPr>
      </w:pPr>
      <w:hyperlink r:id="rId41">
        <w:r w:rsidR="00CB0BB9">
          <w:rPr>
            <w:rFonts w:ascii="Arial" w:eastAsia="Arial" w:hAnsi="Arial" w:cs="Arial"/>
            <w:sz w:val="24"/>
            <w:szCs w:val="24"/>
          </w:rPr>
          <w:t>Tablas de Retención Documental y Tabla de Valoración Documental</w:t>
        </w:r>
      </w:hyperlink>
    </w:p>
    <w:p w14:paraId="106D80C9" w14:textId="77777777" w:rsidR="00CB0BB9" w:rsidRDefault="006D0B5F" w:rsidP="00865DB0">
      <w:pPr>
        <w:numPr>
          <w:ilvl w:val="0"/>
          <w:numId w:val="18"/>
        </w:numPr>
        <w:pBdr>
          <w:top w:val="nil"/>
          <w:left w:val="nil"/>
          <w:bottom w:val="nil"/>
          <w:right w:val="nil"/>
          <w:between w:val="nil"/>
        </w:pBdr>
        <w:ind w:left="284" w:hanging="284"/>
        <w:jc w:val="both"/>
        <w:rPr>
          <w:rFonts w:ascii="Arial" w:eastAsia="Arial" w:hAnsi="Arial" w:cs="Arial"/>
          <w:sz w:val="24"/>
          <w:szCs w:val="24"/>
        </w:rPr>
      </w:pPr>
      <w:hyperlink r:id="rId42">
        <w:r w:rsidR="00CB0BB9">
          <w:rPr>
            <w:rFonts w:ascii="Arial" w:eastAsia="Arial" w:hAnsi="Arial" w:cs="Arial"/>
            <w:sz w:val="24"/>
            <w:szCs w:val="24"/>
          </w:rPr>
          <w:t>Costos de reproducción de la información pública</w:t>
        </w:r>
      </w:hyperlink>
    </w:p>
    <w:p w14:paraId="53F247DB" w14:textId="77777777" w:rsidR="00CB0BB9" w:rsidRDefault="00CB0BB9" w:rsidP="00CB0BB9">
      <w:pPr>
        <w:spacing w:before="120" w:after="120"/>
        <w:ind w:left="-142" w:right="-91"/>
        <w:jc w:val="both"/>
        <w:rPr>
          <w:rFonts w:ascii="Arial" w:eastAsia="Arial" w:hAnsi="Arial" w:cs="Arial"/>
          <w:sz w:val="24"/>
          <w:szCs w:val="24"/>
        </w:rPr>
      </w:pPr>
      <w:r>
        <w:rPr>
          <w:rFonts w:ascii="Arial" w:eastAsia="Arial" w:hAnsi="Arial" w:cs="Arial"/>
          <w:noProof/>
          <w:sz w:val="24"/>
          <w:szCs w:val="24"/>
          <w:lang w:val="es-CO" w:eastAsia="es-CO"/>
        </w:rPr>
        <w:drawing>
          <wp:inline distT="0" distB="0" distL="0" distR="0" wp14:anchorId="231DC252" wp14:editId="7282577B">
            <wp:extent cx="6192000" cy="1786974"/>
            <wp:effectExtent l="19050" t="19050" r="18415" b="22860"/>
            <wp:docPr id="83" name="image11.png" descr="Captura del Menú de Datos Abiertos en la página web."/>
            <wp:cNvGraphicFramePr/>
            <a:graphic xmlns:a="http://schemas.openxmlformats.org/drawingml/2006/main">
              <a:graphicData uri="http://schemas.openxmlformats.org/drawingml/2006/picture">
                <pic:pic xmlns:pic="http://schemas.openxmlformats.org/drawingml/2006/picture">
                  <pic:nvPicPr>
                    <pic:cNvPr id="0" name="image11.png" descr="Captura del Menú de Datos Abiertos en la página web."/>
                    <pic:cNvPicPr preferRelativeResize="0"/>
                  </pic:nvPicPr>
                  <pic:blipFill>
                    <a:blip r:embed="rId43"/>
                    <a:srcRect t="19010" b="29089"/>
                    <a:stretch>
                      <a:fillRect/>
                    </a:stretch>
                  </pic:blipFill>
                  <pic:spPr>
                    <a:xfrm>
                      <a:off x="0" y="0"/>
                      <a:ext cx="6192000" cy="1786974"/>
                    </a:xfrm>
                    <a:prstGeom prst="rect">
                      <a:avLst/>
                    </a:prstGeom>
                    <a:ln w="9525">
                      <a:solidFill>
                        <a:srgbClr val="000000"/>
                      </a:solidFill>
                      <a:prstDash val="solid"/>
                    </a:ln>
                  </pic:spPr>
                </pic:pic>
              </a:graphicData>
            </a:graphic>
          </wp:inline>
        </w:drawing>
      </w:r>
    </w:p>
    <w:p w14:paraId="10BB762D" w14:textId="77777777" w:rsidR="00CB0BB9" w:rsidRDefault="00CB0BB9" w:rsidP="00865DB0">
      <w:pPr>
        <w:spacing w:before="120" w:after="120"/>
        <w:ind w:left="-142"/>
        <w:jc w:val="both"/>
        <w:rPr>
          <w:rFonts w:ascii="Arial" w:eastAsia="Arial" w:hAnsi="Arial" w:cs="Arial"/>
          <w:sz w:val="24"/>
          <w:szCs w:val="24"/>
        </w:rPr>
      </w:pPr>
      <w:r>
        <w:rPr>
          <w:rFonts w:ascii="Arial" w:eastAsia="Arial" w:hAnsi="Arial" w:cs="Arial"/>
          <w:sz w:val="24"/>
          <w:szCs w:val="24"/>
        </w:rPr>
        <w:t>El registro de activos de información tiene fecha de aprobación del 12 de noviembre de 2021.</w:t>
      </w:r>
    </w:p>
    <w:p w14:paraId="02B1591E" w14:textId="77777777" w:rsidR="00CB0BB9" w:rsidRDefault="00CB0BB9" w:rsidP="00CB0BB9">
      <w:pPr>
        <w:spacing w:before="120" w:after="120"/>
        <w:ind w:left="-142" w:right="-93"/>
        <w:jc w:val="both"/>
        <w:rPr>
          <w:rFonts w:ascii="Arial" w:eastAsia="Arial" w:hAnsi="Arial" w:cs="Arial"/>
          <w:sz w:val="24"/>
          <w:szCs w:val="24"/>
        </w:rPr>
      </w:pPr>
      <w:r>
        <w:rPr>
          <w:rFonts w:ascii="Arial" w:eastAsia="Arial" w:hAnsi="Arial" w:cs="Arial"/>
          <w:noProof/>
          <w:sz w:val="24"/>
          <w:szCs w:val="24"/>
          <w:lang w:val="es-CO" w:eastAsia="es-CO"/>
        </w:rPr>
        <w:drawing>
          <wp:inline distT="0" distB="0" distL="0" distR="0" wp14:anchorId="75C28A29" wp14:editId="2F4601E1">
            <wp:extent cx="6192000" cy="1589558"/>
            <wp:effectExtent l="19050" t="19050" r="18415" b="10795"/>
            <wp:docPr id="84" name="image25.png" descr="Captura del documento Excel de registro de activos de información."/>
            <wp:cNvGraphicFramePr/>
            <a:graphic xmlns:a="http://schemas.openxmlformats.org/drawingml/2006/main">
              <a:graphicData uri="http://schemas.openxmlformats.org/drawingml/2006/picture">
                <pic:pic xmlns:pic="http://schemas.openxmlformats.org/drawingml/2006/picture">
                  <pic:nvPicPr>
                    <pic:cNvPr id="0" name="image25.png" descr="Captura del documento Excel de registro de activos de información."/>
                    <pic:cNvPicPr preferRelativeResize="0"/>
                  </pic:nvPicPr>
                  <pic:blipFill>
                    <a:blip r:embed="rId44"/>
                    <a:srcRect t="18105" b="36331"/>
                    <a:stretch>
                      <a:fillRect/>
                    </a:stretch>
                  </pic:blipFill>
                  <pic:spPr>
                    <a:xfrm>
                      <a:off x="0" y="0"/>
                      <a:ext cx="6192000" cy="1589558"/>
                    </a:xfrm>
                    <a:prstGeom prst="rect">
                      <a:avLst/>
                    </a:prstGeom>
                    <a:ln w="9525">
                      <a:solidFill>
                        <a:srgbClr val="000000"/>
                      </a:solidFill>
                      <a:prstDash val="solid"/>
                    </a:ln>
                  </pic:spPr>
                </pic:pic>
              </a:graphicData>
            </a:graphic>
          </wp:inline>
        </w:drawing>
      </w:r>
    </w:p>
    <w:p w14:paraId="68B49349" w14:textId="77777777" w:rsidR="00CB0BB9" w:rsidRDefault="00CB0BB9" w:rsidP="00865DB0">
      <w:pPr>
        <w:spacing w:before="120" w:after="120"/>
        <w:ind w:left="-142"/>
        <w:jc w:val="both"/>
        <w:rPr>
          <w:rFonts w:ascii="Arial" w:eastAsia="Arial" w:hAnsi="Arial" w:cs="Arial"/>
          <w:sz w:val="24"/>
          <w:szCs w:val="24"/>
        </w:rPr>
      </w:pPr>
      <w:r>
        <w:rPr>
          <w:rFonts w:ascii="Arial" w:eastAsia="Arial" w:hAnsi="Arial" w:cs="Arial"/>
          <w:sz w:val="24"/>
          <w:szCs w:val="24"/>
        </w:rPr>
        <w:t>El índice de información clasificada y reservada se encuentra publicado con corte al año 2021.</w:t>
      </w:r>
    </w:p>
    <w:p w14:paraId="72834AFC" w14:textId="77777777" w:rsidR="00CB0BB9" w:rsidRDefault="00CB0BB9" w:rsidP="00CB0BB9">
      <w:pPr>
        <w:spacing w:before="120" w:after="120"/>
        <w:ind w:left="-142" w:right="-93"/>
        <w:jc w:val="both"/>
        <w:rPr>
          <w:rFonts w:ascii="Arial" w:eastAsia="Arial" w:hAnsi="Arial" w:cs="Arial"/>
          <w:sz w:val="24"/>
          <w:szCs w:val="24"/>
        </w:rPr>
      </w:pPr>
      <w:r>
        <w:rPr>
          <w:rFonts w:ascii="Arial" w:eastAsia="Arial" w:hAnsi="Arial" w:cs="Arial"/>
          <w:noProof/>
          <w:sz w:val="24"/>
          <w:szCs w:val="24"/>
          <w:lang w:val="es-CO" w:eastAsia="es-CO"/>
        </w:rPr>
        <w:drawing>
          <wp:inline distT="0" distB="0" distL="0" distR="0" wp14:anchorId="50F8C04C" wp14:editId="6E986FDC">
            <wp:extent cx="6192000" cy="953113"/>
            <wp:effectExtent l="19050" t="19050" r="18415" b="19050"/>
            <wp:docPr id="85" name="image20.png" descr="Captura del Índice de Información Clasificada y Reservada de la página web de la entidad."/>
            <wp:cNvGraphicFramePr/>
            <a:graphic xmlns:a="http://schemas.openxmlformats.org/drawingml/2006/main">
              <a:graphicData uri="http://schemas.openxmlformats.org/drawingml/2006/picture">
                <pic:pic xmlns:pic="http://schemas.openxmlformats.org/drawingml/2006/picture">
                  <pic:nvPicPr>
                    <pic:cNvPr id="0" name="image20.png" descr="Captura del Índice de Información Clasificada y Reservada de la página web de la entidad."/>
                    <pic:cNvPicPr preferRelativeResize="0"/>
                  </pic:nvPicPr>
                  <pic:blipFill>
                    <a:blip r:embed="rId45"/>
                    <a:srcRect t="41340" b="31200"/>
                    <a:stretch>
                      <a:fillRect/>
                    </a:stretch>
                  </pic:blipFill>
                  <pic:spPr>
                    <a:xfrm>
                      <a:off x="0" y="0"/>
                      <a:ext cx="6192000" cy="953113"/>
                    </a:xfrm>
                    <a:prstGeom prst="rect">
                      <a:avLst/>
                    </a:prstGeom>
                    <a:ln w="9525">
                      <a:solidFill>
                        <a:srgbClr val="000000"/>
                      </a:solidFill>
                      <a:prstDash val="solid"/>
                    </a:ln>
                  </pic:spPr>
                </pic:pic>
              </a:graphicData>
            </a:graphic>
          </wp:inline>
        </w:drawing>
      </w:r>
    </w:p>
    <w:p w14:paraId="31E092DE" w14:textId="77777777" w:rsidR="00CB0BB9" w:rsidRDefault="00CB0BB9" w:rsidP="00865DB0">
      <w:pPr>
        <w:spacing w:before="120" w:after="120"/>
        <w:ind w:left="-142"/>
        <w:jc w:val="both"/>
        <w:rPr>
          <w:rFonts w:ascii="Arial" w:eastAsia="Arial" w:hAnsi="Arial" w:cs="Arial"/>
          <w:sz w:val="24"/>
          <w:szCs w:val="24"/>
        </w:rPr>
      </w:pPr>
      <w:r>
        <w:rPr>
          <w:rFonts w:ascii="Arial" w:eastAsia="Arial" w:hAnsi="Arial" w:cs="Arial"/>
          <w:sz w:val="24"/>
          <w:szCs w:val="24"/>
        </w:rPr>
        <w:t xml:space="preserve">Por su parte, la resolución No. 0805 del 14 de diciembre de 2018 por la cual se adopta la actualización del </w:t>
      </w:r>
      <w:r w:rsidRPr="00E86C3C">
        <w:rPr>
          <w:rFonts w:ascii="Arial" w:eastAsia="Arial" w:hAnsi="Arial" w:cs="Arial"/>
          <w:sz w:val="24"/>
          <w:szCs w:val="24"/>
        </w:rPr>
        <w:t>Índice de Información Clasificada y Reservada del IDPC se encuentra guardada como imagen y, por tanto, no permite la búsqueda de información en su interior (</w:t>
      </w:r>
      <w:hyperlink r:id="rId46">
        <w:r w:rsidRPr="00E86C3C">
          <w:rPr>
            <w:rFonts w:ascii="Arial" w:eastAsia="Arial" w:hAnsi="Arial" w:cs="Arial"/>
            <w:color w:val="000000"/>
            <w:sz w:val="24"/>
            <w:szCs w:val="24"/>
          </w:rPr>
          <w:t>https://idpc.gov.co/Transparencia/03%20Resoluci%C3%B3n%20805%20de%202018%20Indice%20Informacion%20Clasificada%20Reservada%20V2.pdf</w:t>
        </w:r>
      </w:hyperlink>
      <w:r w:rsidRPr="00E86C3C">
        <w:rPr>
          <w:rFonts w:ascii="Arial" w:eastAsia="Arial" w:hAnsi="Arial" w:cs="Arial"/>
          <w:sz w:val="24"/>
          <w:szCs w:val="24"/>
        </w:rPr>
        <w:t>)</w:t>
      </w:r>
    </w:p>
    <w:p w14:paraId="0F6F2917" w14:textId="77777777" w:rsidR="00CB0BB9" w:rsidRDefault="00CB0BB9" w:rsidP="00865DB0">
      <w:pPr>
        <w:spacing w:before="120" w:after="120"/>
        <w:ind w:left="-142"/>
        <w:jc w:val="both"/>
        <w:rPr>
          <w:rFonts w:ascii="Arial" w:eastAsia="Arial" w:hAnsi="Arial" w:cs="Arial"/>
          <w:sz w:val="24"/>
          <w:szCs w:val="24"/>
        </w:rPr>
      </w:pPr>
      <w:r>
        <w:rPr>
          <w:rFonts w:ascii="Arial" w:eastAsia="Arial" w:hAnsi="Arial" w:cs="Arial"/>
          <w:noProof/>
          <w:sz w:val="24"/>
          <w:szCs w:val="24"/>
          <w:lang w:val="es-CO" w:eastAsia="es-CO"/>
        </w:rPr>
        <w:lastRenderedPageBreak/>
        <w:drawing>
          <wp:inline distT="0" distB="0" distL="0" distR="0" wp14:anchorId="07B237CD" wp14:editId="27A3DA5D">
            <wp:extent cx="6192000" cy="1990817"/>
            <wp:effectExtent l="19050" t="19050" r="18415" b="28575"/>
            <wp:docPr id="86" name="image23.png" descr="Captura de la resolución no. 0805 de 2018."/>
            <wp:cNvGraphicFramePr/>
            <a:graphic xmlns:a="http://schemas.openxmlformats.org/drawingml/2006/main">
              <a:graphicData uri="http://schemas.openxmlformats.org/drawingml/2006/picture">
                <pic:pic xmlns:pic="http://schemas.openxmlformats.org/drawingml/2006/picture">
                  <pic:nvPicPr>
                    <pic:cNvPr id="0" name="image23.png" descr="Captura de la resolución no. 0805 de 2018."/>
                    <pic:cNvPicPr preferRelativeResize="0"/>
                  </pic:nvPicPr>
                  <pic:blipFill>
                    <a:blip r:embed="rId47"/>
                    <a:srcRect t="3320" b="39348"/>
                    <a:stretch>
                      <a:fillRect/>
                    </a:stretch>
                  </pic:blipFill>
                  <pic:spPr>
                    <a:xfrm>
                      <a:off x="0" y="0"/>
                      <a:ext cx="6192000" cy="1990817"/>
                    </a:xfrm>
                    <a:prstGeom prst="rect">
                      <a:avLst/>
                    </a:prstGeom>
                    <a:ln w="9525">
                      <a:solidFill>
                        <a:srgbClr val="000000"/>
                      </a:solidFill>
                      <a:prstDash val="solid"/>
                    </a:ln>
                  </pic:spPr>
                </pic:pic>
              </a:graphicData>
            </a:graphic>
          </wp:inline>
        </w:drawing>
      </w:r>
    </w:p>
    <w:p w14:paraId="3688140C" w14:textId="77777777" w:rsidR="00CB0BB9" w:rsidRDefault="00CB0BB9" w:rsidP="00865DB0">
      <w:pPr>
        <w:spacing w:before="120" w:after="120"/>
        <w:ind w:left="-142"/>
        <w:jc w:val="both"/>
        <w:rPr>
          <w:rFonts w:ascii="Arial" w:eastAsia="Arial" w:hAnsi="Arial" w:cs="Arial"/>
          <w:sz w:val="24"/>
          <w:szCs w:val="24"/>
        </w:rPr>
      </w:pPr>
      <w:r>
        <w:rPr>
          <w:rFonts w:ascii="Arial" w:eastAsia="Arial" w:hAnsi="Arial" w:cs="Arial"/>
          <w:sz w:val="24"/>
          <w:szCs w:val="24"/>
        </w:rPr>
        <w:t>La última versión del esquema de publicación es de 2021 y no es posible acceder a su acta de aprobación, no se encuentra habilitado el enlace.</w:t>
      </w:r>
    </w:p>
    <w:p w14:paraId="1D75EF25" w14:textId="77777777" w:rsidR="00CB0BB9" w:rsidRDefault="00CB0BB9" w:rsidP="00CB0BB9">
      <w:pPr>
        <w:spacing w:before="120" w:after="120"/>
        <w:ind w:left="-142" w:right="-93"/>
        <w:jc w:val="both"/>
        <w:rPr>
          <w:rFonts w:ascii="Arial" w:eastAsia="Arial" w:hAnsi="Arial" w:cs="Arial"/>
          <w:sz w:val="24"/>
          <w:szCs w:val="24"/>
        </w:rPr>
      </w:pPr>
      <w:r>
        <w:rPr>
          <w:rFonts w:ascii="Arial" w:eastAsia="Arial" w:hAnsi="Arial" w:cs="Arial"/>
          <w:noProof/>
          <w:sz w:val="24"/>
          <w:szCs w:val="24"/>
          <w:lang w:val="es-CO" w:eastAsia="es-CO"/>
        </w:rPr>
        <w:drawing>
          <wp:inline distT="0" distB="0" distL="0" distR="0" wp14:anchorId="156F26C7" wp14:editId="2F364368">
            <wp:extent cx="6192000" cy="673820"/>
            <wp:effectExtent l="19050" t="19050" r="18415" b="12065"/>
            <wp:docPr id="87" name="image21.png" descr="Captura del enlace de la resolución de aprobación del esquema de publicación en la página web.&#10;"/>
            <wp:cNvGraphicFramePr/>
            <a:graphic xmlns:a="http://schemas.openxmlformats.org/drawingml/2006/main">
              <a:graphicData uri="http://schemas.openxmlformats.org/drawingml/2006/picture">
                <pic:pic xmlns:pic="http://schemas.openxmlformats.org/drawingml/2006/picture">
                  <pic:nvPicPr>
                    <pic:cNvPr id="0" name="image21.png" descr="Captura del enlace de la resolución de aprobación del esquema de publicación en la página web.&#10;"/>
                    <pic:cNvPicPr preferRelativeResize="0"/>
                  </pic:nvPicPr>
                  <pic:blipFill>
                    <a:blip r:embed="rId48"/>
                    <a:srcRect t="61557" b="19129"/>
                    <a:stretch>
                      <a:fillRect/>
                    </a:stretch>
                  </pic:blipFill>
                  <pic:spPr>
                    <a:xfrm>
                      <a:off x="0" y="0"/>
                      <a:ext cx="6192000" cy="673820"/>
                    </a:xfrm>
                    <a:prstGeom prst="rect">
                      <a:avLst/>
                    </a:prstGeom>
                    <a:ln w="9525">
                      <a:solidFill>
                        <a:srgbClr val="000000"/>
                      </a:solidFill>
                      <a:prstDash val="solid"/>
                    </a:ln>
                  </pic:spPr>
                </pic:pic>
              </a:graphicData>
            </a:graphic>
          </wp:inline>
        </w:drawing>
      </w:r>
    </w:p>
    <w:p w14:paraId="50642FAA" w14:textId="77777777" w:rsidR="00CB0BB9" w:rsidRDefault="00CB0BB9" w:rsidP="00865DB0">
      <w:pPr>
        <w:spacing w:before="120" w:after="120"/>
        <w:ind w:left="-142"/>
        <w:jc w:val="both"/>
        <w:rPr>
          <w:rFonts w:ascii="Arial" w:eastAsia="Arial" w:hAnsi="Arial" w:cs="Arial"/>
          <w:sz w:val="24"/>
          <w:szCs w:val="24"/>
        </w:rPr>
      </w:pPr>
      <w:r>
        <w:rPr>
          <w:rFonts w:ascii="Arial" w:eastAsia="Arial" w:hAnsi="Arial" w:cs="Arial"/>
          <w:sz w:val="24"/>
          <w:szCs w:val="24"/>
        </w:rPr>
        <w:t>En cuanto a la resolución No. 0804 del 14 de diciembre 2018 por la cual se actualiza el esquema de publicación de información del IDPC y el acta de aprobación del esquema de publicación de 2018, los documentos se encuentran guardados como imagen y no permiten la búsqueda de información en su interior.</w:t>
      </w:r>
    </w:p>
    <w:p w14:paraId="2E8562B4" w14:textId="77777777" w:rsidR="00CB0BB9" w:rsidRPr="00E86C3C" w:rsidRDefault="00CB0BB9" w:rsidP="00865DB0">
      <w:pPr>
        <w:spacing w:before="120" w:after="120"/>
        <w:ind w:left="-142"/>
        <w:jc w:val="both"/>
        <w:rPr>
          <w:rFonts w:ascii="Arial" w:eastAsia="Arial" w:hAnsi="Arial" w:cs="Arial"/>
          <w:sz w:val="24"/>
          <w:szCs w:val="24"/>
        </w:rPr>
      </w:pPr>
      <w:r w:rsidRPr="00E86C3C">
        <w:rPr>
          <w:rFonts w:ascii="Arial" w:eastAsia="Arial" w:hAnsi="Arial" w:cs="Arial"/>
          <w:sz w:val="24"/>
          <w:szCs w:val="24"/>
        </w:rPr>
        <w:t>Resolución No. 0804 de 2018 (</w:t>
      </w:r>
      <w:hyperlink r:id="rId49">
        <w:r w:rsidRPr="00E86C3C">
          <w:rPr>
            <w:rFonts w:ascii="Arial" w:eastAsia="Arial" w:hAnsi="Arial" w:cs="Arial"/>
            <w:color w:val="000000"/>
            <w:sz w:val="24"/>
            <w:szCs w:val="24"/>
          </w:rPr>
          <w:t>https://idpc.gov.co/Transparencia/01%20Resoluci%C3%B3n%20804%20de%202018%20Esquema%20de%20Publicacion%20V2.pdf</w:t>
        </w:r>
      </w:hyperlink>
      <w:r w:rsidRPr="00E86C3C">
        <w:rPr>
          <w:rFonts w:ascii="Arial" w:eastAsia="Arial" w:hAnsi="Arial" w:cs="Arial"/>
          <w:sz w:val="24"/>
          <w:szCs w:val="24"/>
        </w:rPr>
        <w:t xml:space="preserve">) </w:t>
      </w:r>
    </w:p>
    <w:p w14:paraId="4E2853FA" w14:textId="77777777" w:rsidR="00CB0BB9" w:rsidRDefault="00CB0BB9" w:rsidP="00CB0BB9">
      <w:pPr>
        <w:spacing w:before="120" w:after="120"/>
        <w:ind w:left="-142" w:right="-93"/>
        <w:jc w:val="both"/>
        <w:rPr>
          <w:rFonts w:ascii="Arial" w:eastAsia="Arial" w:hAnsi="Arial" w:cs="Arial"/>
          <w:sz w:val="24"/>
          <w:szCs w:val="24"/>
        </w:rPr>
      </w:pPr>
      <w:r>
        <w:rPr>
          <w:rFonts w:ascii="Arial" w:eastAsia="Arial" w:hAnsi="Arial" w:cs="Arial"/>
          <w:noProof/>
          <w:sz w:val="24"/>
          <w:szCs w:val="24"/>
          <w:lang w:val="es-CO" w:eastAsia="es-CO"/>
        </w:rPr>
        <w:drawing>
          <wp:inline distT="0" distB="0" distL="0" distR="0" wp14:anchorId="055A4D81" wp14:editId="6755E0AC">
            <wp:extent cx="6192000" cy="1843165"/>
            <wp:effectExtent l="19050" t="19050" r="18415" b="24130"/>
            <wp:docPr id="88" name="image24.png" descr="Captura de la resolución no. 0804 de 2018."/>
            <wp:cNvGraphicFramePr/>
            <a:graphic xmlns:a="http://schemas.openxmlformats.org/drawingml/2006/main">
              <a:graphicData uri="http://schemas.openxmlformats.org/drawingml/2006/picture">
                <pic:pic xmlns:pic="http://schemas.openxmlformats.org/drawingml/2006/picture">
                  <pic:nvPicPr>
                    <pic:cNvPr id="0" name="image24.png" descr="Captura de la resolución no. 0804 de 2018."/>
                    <pic:cNvPicPr preferRelativeResize="0"/>
                  </pic:nvPicPr>
                  <pic:blipFill>
                    <a:blip r:embed="rId50"/>
                    <a:srcRect t="4224" b="42666"/>
                    <a:stretch>
                      <a:fillRect/>
                    </a:stretch>
                  </pic:blipFill>
                  <pic:spPr>
                    <a:xfrm>
                      <a:off x="0" y="0"/>
                      <a:ext cx="6192000" cy="1843165"/>
                    </a:xfrm>
                    <a:prstGeom prst="rect">
                      <a:avLst/>
                    </a:prstGeom>
                    <a:ln w="9525">
                      <a:solidFill>
                        <a:srgbClr val="000000"/>
                      </a:solidFill>
                      <a:prstDash val="solid"/>
                    </a:ln>
                  </pic:spPr>
                </pic:pic>
              </a:graphicData>
            </a:graphic>
          </wp:inline>
        </w:drawing>
      </w:r>
    </w:p>
    <w:p w14:paraId="7C2A8DAF" w14:textId="77777777" w:rsidR="00CB0BB9" w:rsidRPr="00E86C3C" w:rsidRDefault="00CB0BB9" w:rsidP="00865DB0">
      <w:pPr>
        <w:spacing w:before="120" w:after="120"/>
        <w:ind w:left="-142"/>
        <w:jc w:val="both"/>
        <w:rPr>
          <w:rFonts w:ascii="Arial" w:eastAsia="Arial" w:hAnsi="Arial" w:cs="Arial"/>
          <w:sz w:val="24"/>
          <w:szCs w:val="24"/>
        </w:rPr>
      </w:pPr>
      <w:r w:rsidRPr="00E86C3C">
        <w:rPr>
          <w:rFonts w:ascii="Arial" w:eastAsia="Arial" w:hAnsi="Arial" w:cs="Arial"/>
          <w:sz w:val="24"/>
          <w:szCs w:val="24"/>
        </w:rPr>
        <w:t>Acta de aprobación del esquema de publicación de 2018 (</w:t>
      </w:r>
      <w:hyperlink r:id="rId51">
        <w:r w:rsidRPr="00E86C3C">
          <w:rPr>
            <w:rFonts w:ascii="Arial" w:eastAsia="Arial" w:hAnsi="Arial" w:cs="Arial"/>
            <w:color w:val="000000"/>
            <w:sz w:val="24"/>
            <w:szCs w:val="24"/>
          </w:rPr>
          <w:t>https://idpc.gov.co/10-5-programa-de-gestion-documental</w:t>
        </w:r>
      </w:hyperlink>
      <w:r w:rsidRPr="00E86C3C">
        <w:rPr>
          <w:rFonts w:ascii="Arial" w:eastAsia="Arial" w:hAnsi="Arial" w:cs="Arial"/>
          <w:sz w:val="24"/>
          <w:szCs w:val="24"/>
        </w:rPr>
        <w:t xml:space="preserve">) </w:t>
      </w:r>
    </w:p>
    <w:p w14:paraId="078A7A0C" w14:textId="77777777" w:rsidR="00CB0BB9" w:rsidRDefault="00CB0BB9" w:rsidP="00CB0BB9">
      <w:pPr>
        <w:spacing w:before="120" w:after="120"/>
        <w:ind w:left="-142" w:right="-93"/>
        <w:jc w:val="both"/>
        <w:rPr>
          <w:rFonts w:ascii="Arial" w:eastAsia="Arial" w:hAnsi="Arial" w:cs="Arial"/>
          <w:sz w:val="24"/>
          <w:szCs w:val="24"/>
        </w:rPr>
      </w:pPr>
      <w:r>
        <w:rPr>
          <w:rFonts w:ascii="Arial" w:eastAsia="Arial" w:hAnsi="Arial" w:cs="Arial"/>
          <w:noProof/>
          <w:sz w:val="24"/>
          <w:szCs w:val="24"/>
          <w:lang w:val="es-CO" w:eastAsia="es-CO"/>
        </w:rPr>
        <w:lastRenderedPageBreak/>
        <w:drawing>
          <wp:inline distT="0" distB="0" distL="0" distR="0" wp14:anchorId="06BDCE86" wp14:editId="0B021869">
            <wp:extent cx="6192000" cy="1686186"/>
            <wp:effectExtent l="19050" t="19050" r="18415" b="28575"/>
            <wp:docPr id="89" name="image22.png" descr="Captura del acta de aprobación del esquema de publicación de 2018."/>
            <wp:cNvGraphicFramePr/>
            <a:graphic xmlns:a="http://schemas.openxmlformats.org/drawingml/2006/main">
              <a:graphicData uri="http://schemas.openxmlformats.org/drawingml/2006/picture">
                <pic:pic xmlns:pic="http://schemas.openxmlformats.org/drawingml/2006/picture">
                  <pic:nvPicPr>
                    <pic:cNvPr id="0" name="image22.png" descr="Captura del acta de aprobación del esquema de publicación de 2018."/>
                    <pic:cNvPicPr preferRelativeResize="0"/>
                  </pic:nvPicPr>
                  <pic:blipFill>
                    <a:blip r:embed="rId52"/>
                    <a:srcRect t="3621" b="47797"/>
                    <a:stretch>
                      <a:fillRect/>
                    </a:stretch>
                  </pic:blipFill>
                  <pic:spPr>
                    <a:xfrm>
                      <a:off x="0" y="0"/>
                      <a:ext cx="6192000" cy="1686186"/>
                    </a:xfrm>
                    <a:prstGeom prst="rect">
                      <a:avLst/>
                    </a:prstGeom>
                    <a:ln w="9525">
                      <a:solidFill>
                        <a:srgbClr val="000000"/>
                      </a:solidFill>
                      <a:prstDash val="solid"/>
                    </a:ln>
                  </pic:spPr>
                </pic:pic>
              </a:graphicData>
            </a:graphic>
          </wp:inline>
        </w:drawing>
      </w:r>
    </w:p>
    <w:p w14:paraId="6678E16B" w14:textId="77777777" w:rsidR="00CB0BB9" w:rsidRPr="00E86C3C" w:rsidRDefault="00CB0BB9" w:rsidP="00865DB0">
      <w:pPr>
        <w:spacing w:before="120" w:after="120"/>
        <w:ind w:left="-142"/>
        <w:jc w:val="both"/>
        <w:rPr>
          <w:rFonts w:ascii="Arial" w:eastAsia="Arial" w:hAnsi="Arial" w:cs="Arial"/>
          <w:sz w:val="24"/>
          <w:szCs w:val="24"/>
        </w:rPr>
      </w:pPr>
      <w:r>
        <w:rPr>
          <w:rFonts w:ascii="Arial" w:eastAsia="Arial" w:hAnsi="Arial" w:cs="Arial"/>
          <w:sz w:val="24"/>
          <w:szCs w:val="24"/>
        </w:rPr>
        <w:t xml:space="preserve">De igual forma, la resolución no. 0860 del 22 de diciembre de 2017 por la cual se adoptan las tablas de valoración documental y las tablas de retención documental y se dictan otras disposiciones y la resolución no. 0372 del 29 de junio de 2018 por la cual el IDPC establece la </w:t>
      </w:r>
      <w:r w:rsidRPr="00E86C3C">
        <w:rPr>
          <w:rFonts w:ascii="Arial" w:eastAsia="Arial" w:hAnsi="Arial" w:cs="Arial"/>
          <w:sz w:val="24"/>
          <w:szCs w:val="24"/>
        </w:rPr>
        <w:t>modalidad y costo de reprografía de la información solicitada por particulares no permiten la búsqueda en su interior.</w:t>
      </w:r>
    </w:p>
    <w:p w14:paraId="466CB584" w14:textId="77777777" w:rsidR="00CB0BB9" w:rsidRPr="00E86C3C" w:rsidRDefault="00CB0BB9" w:rsidP="00865DB0">
      <w:pPr>
        <w:spacing w:before="120" w:after="120"/>
        <w:ind w:left="-142"/>
        <w:jc w:val="both"/>
        <w:rPr>
          <w:rFonts w:ascii="Arial" w:eastAsia="Arial" w:hAnsi="Arial" w:cs="Arial"/>
          <w:sz w:val="24"/>
          <w:szCs w:val="24"/>
        </w:rPr>
      </w:pPr>
      <w:r w:rsidRPr="00E86C3C">
        <w:rPr>
          <w:rFonts w:ascii="Arial" w:eastAsia="Arial" w:hAnsi="Arial" w:cs="Arial"/>
          <w:sz w:val="24"/>
          <w:szCs w:val="24"/>
        </w:rPr>
        <w:t>Resolución no. 0860 del 2017 (</w:t>
      </w:r>
      <w:hyperlink r:id="rId53">
        <w:r w:rsidRPr="00E86C3C">
          <w:rPr>
            <w:rFonts w:ascii="Arial" w:eastAsia="Arial" w:hAnsi="Arial" w:cs="Arial"/>
            <w:color w:val="000000"/>
            <w:sz w:val="24"/>
            <w:szCs w:val="24"/>
          </w:rPr>
          <w:t>https://idpc.gov.co/Transparencia/Resolucion%20860%20de%202017%20de%20TRD%20y%20TVD.pdf</w:t>
        </w:r>
      </w:hyperlink>
      <w:r w:rsidRPr="00E86C3C">
        <w:rPr>
          <w:rFonts w:ascii="Arial" w:eastAsia="Arial" w:hAnsi="Arial" w:cs="Arial"/>
          <w:sz w:val="24"/>
          <w:szCs w:val="24"/>
        </w:rPr>
        <w:t>)</w:t>
      </w:r>
    </w:p>
    <w:p w14:paraId="537C5528" w14:textId="77777777" w:rsidR="00CB0BB9" w:rsidRDefault="00CB0BB9" w:rsidP="00865DB0">
      <w:pPr>
        <w:spacing w:before="120" w:after="120"/>
        <w:ind w:left="-142"/>
        <w:jc w:val="both"/>
        <w:rPr>
          <w:rFonts w:ascii="Arial" w:eastAsia="Arial" w:hAnsi="Arial" w:cs="Arial"/>
          <w:sz w:val="24"/>
          <w:szCs w:val="24"/>
        </w:rPr>
      </w:pPr>
      <w:r>
        <w:rPr>
          <w:rFonts w:ascii="Arial" w:eastAsia="Arial" w:hAnsi="Arial" w:cs="Arial"/>
          <w:noProof/>
          <w:sz w:val="24"/>
          <w:szCs w:val="24"/>
          <w:lang w:val="es-CO" w:eastAsia="es-CO"/>
        </w:rPr>
        <w:drawing>
          <wp:inline distT="0" distB="0" distL="0" distR="0" wp14:anchorId="747A1729" wp14:editId="2A8547A5">
            <wp:extent cx="6192000" cy="1777913"/>
            <wp:effectExtent l="19050" t="19050" r="18415" b="13335"/>
            <wp:docPr id="65" name="image9.png" descr="Captura de la resolución no. 0860 del 2017."/>
            <wp:cNvGraphicFramePr/>
            <a:graphic xmlns:a="http://schemas.openxmlformats.org/drawingml/2006/main">
              <a:graphicData uri="http://schemas.openxmlformats.org/drawingml/2006/picture">
                <pic:pic xmlns:pic="http://schemas.openxmlformats.org/drawingml/2006/picture">
                  <pic:nvPicPr>
                    <pic:cNvPr id="0" name="image9.png" descr="Captura de la resolución no. 0860 del 2017."/>
                    <pic:cNvPicPr preferRelativeResize="0"/>
                  </pic:nvPicPr>
                  <pic:blipFill>
                    <a:blip r:embed="rId54"/>
                    <a:srcRect t="4224" b="44478"/>
                    <a:stretch>
                      <a:fillRect/>
                    </a:stretch>
                  </pic:blipFill>
                  <pic:spPr>
                    <a:xfrm>
                      <a:off x="0" y="0"/>
                      <a:ext cx="6192000" cy="1777913"/>
                    </a:xfrm>
                    <a:prstGeom prst="rect">
                      <a:avLst/>
                    </a:prstGeom>
                    <a:ln w="9525">
                      <a:solidFill>
                        <a:srgbClr val="000000"/>
                      </a:solidFill>
                      <a:prstDash val="solid"/>
                    </a:ln>
                  </pic:spPr>
                </pic:pic>
              </a:graphicData>
            </a:graphic>
          </wp:inline>
        </w:drawing>
      </w:r>
    </w:p>
    <w:p w14:paraId="63DBAEF4" w14:textId="77777777" w:rsidR="00CB0BB9" w:rsidRPr="00E86C3C" w:rsidRDefault="00CB0BB9" w:rsidP="00865DB0">
      <w:pPr>
        <w:spacing w:before="120" w:after="120"/>
        <w:ind w:left="-142"/>
        <w:jc w:val="both"/>
        <w:rPr>
          <w:rFonts w:ascii="Arial" w:eastAsia="Arial" w:hAnsi="Arial" w:cs="Arial"/>
          <w:sz w:val="24"/>
          <w:szCs w:val="24"/>
        </w:rPr>
      </w:pPr>
      <w:r w:rsidRPr="00E86C3C">
        <w:rPr>
          <w:rFonts w:ascii="Arial" w:eastAsia="Arial" w:hAnsi="Arial" w:cs="Arial"/>
          <w:sz w:val="24"/>
          <w:szCs w:val="24"/>
        </w:rPr>
        <w:t>Resolución no. 0372 del 2018 (</w:t>
      </w:r>
      <w:hyperlink r:id="rId55">
        <w:r w:rsidRPr="00E86C3C">
          <w:rPr>
            <w:rFonts w:ascii="Arial" w:eastAsia="Arial" w:hAnsi="Arial" w:cs="Arial"/>
            <w:color w:val="000000"/>
            <w:sz w:val="24"/>
            <w:szCs w:val="24"/>
          </w:rPr>
          <w:t>https://idpc.gov.co/Transparencia/Resolucion%20372_2018.pdf</w:t>
        </w:r>
      </w:hyperlink>
      <w:r w:rsidRPr="00E86C3C">
        <w:rPr>
          <w:rFonts w:ascii="Arial" w:eastAsia="Arial" w:hAnsi="Arial" w:cs="Arial"/>
          <w:sz w:val="24"/>
          <w:szCs w:val="24"/>
        </w:rPr>
        <w:t xml:space="preserve">) </w:t>
      </w:r>
    </w:p>
    <w:p w14:paraId="7DD3B528" w14:textId="77777777" w:rsidR="00CB0BB9" w:rsidRDefault="00CB0BB9" w:rsidP="00CB0BB9">
      <w:pPr>
        <w:spacing w:before="120" w:after="120"/>
        <w:ind w:left="-142" w:right="-93"/>
        <w:jc w:val="both"/>
        <w:rPr>
          <w:rFonts w:ascii="Arial" w:eastAsia="Arial" w:hAnsi="Arial" w:cs="Arial"/>
          <w:sz w:val="24"/>
          <w:szCs w:val="24"/>
        </w:rPr>
      </w:pPr>
      <w:r>
        <w:rPr>
          <w:rFonts w:ascii="Arial" w:eastAsia="Arial" w:hAnsi="Arial" w:cs="Arial"/>
          <w:noProof/>
          <w:sz w:val="24"/>
          <w:szCs w:val="24"/>
          <w:lang w:val="es-CO" w:eastAsia="es-CO"/>
        </w:rPr>
        <w:drawing>
          <wp:inline distT="0" distB="0" distL="0" distR="0" wp14:anchorId="098AC320" wp14:editId="3AC4A0DA">
            <wp:extent cx="6192000" cy="1538228"/>
            <wp:effectExtent l="19050" t="19050" r="18415" b="24130"/>
            <wp:docPr id="66" name="image10.png" descr="Captura de la resolución no. 0372 del 2018."/>
            <wp:cNvGraphicFramePr/>
            <a:graphic xmlns:a="http://schemas.openxmlformats.org/drawingml/2006/main">
              <a:graphicData uri="http://schemas.openxmlformats.org/drawingml/2006/picture">
                <pic:pic xmlns:pic="http://schemas.openxmlformats.org/drawingml/2006/picture">
                  <pic:nvPicPr>
                    <pic:cNvPr id="0" name="image10.png" descr="Captura de la resolución no. 0372 del 2018."/>
                    <pic:cNvPicPr preferRelativeResize="0"/>
                  </pic:nvPicPr>
                  <pic:blipFill>
                    <a:blip r:embed="rId56"/>
                    <a:srcRect t="4224" b="51418"/>
                    <a:stretch>
                      <a:fillRect/>
                    </a:stretch>
                  </pic:blipFill>
                  <pic:spPr>
                    <a:xfrm>
                      <a:off x="0" y="0"/>
                      <a:ext cx="6192000" cy="1538228"/>
                    </a:xfrm>
                    <a:prstGeom prst="rect">
                      <a:avLst/>
                    </a:prstGeom>
                    <a:ln w="9525">
                      <a:solidFill>
                        <a:srgbClr val="000000"/>
                      </a:solidFill>
                      <a:prstDash val="solid"/>
                    </a:ln>
                  </pic:spPr>
                </pic:pic>
              </a:graphicData>
            </a:graphic>
          </wp:inline>
        </w:drawing>
      </w:r>
    </w:p>
    <w:p w14:paraId="3DD9BCA9" w14:textId="77777777" w:rsidR="00CB0BB9" w:rsidRDefault="00CB0BB9" w:rsidP="00865DB0">
      <w:pPr>
        <w:spacing w:before="120" w:after="120"/>
        <w:ind w:left="-142"/>
        <w:jc w:val="both"/>
        <w:rPr>
          <w:rFonts w:ascii="Arial" w:eastAsia="Arial" w:hAnsi="Arial" w:cs="Arial"/>
          <w:sz w:val="24"/>
          <w:szCs w:val="24"/>
        </w:rPr>
      </w:pPr>
      <w:r>
        <w:rPr>
          <w:rFonts w:ascii="Arial" w:eastAsia="Arial" w:hAnsi="Arial" w:cs="Arial"/>
          <w:sz w:val="24"/>
          <w:szCs w:val="24"/>
        </w:rPr>
        <w:t>Con respecto al cumplimiento de lo dispuesto en el anexo 4 de la Resolución 1519 de 2020, acápite 4.2 Estándares de publicación de datos abiertos, se observa lo siguiente para cada numeral:</w:t>
      </w:r>
    </w:p>
    <w:p w14:paraId="6527866B" w14:textId="77777777" w:rsidR="00CB0BB9" w:rsidRDefault="00CB0BB9" w:rsidP="00865DB0">
      <w:pPr>
        <w:numPr>
          <w:ilvl w:val="0"/>
          <w:numId w:val="8"/>
        </w:numPr>
        <w:pBdr>
          <w:top w:val="nil"/>
          <w:left w:val="nil"/>
          <w:bottom w:val="nil"/>
          <w:right w:val="nil"/>
          <w:between w:val="nil"/>
        </w:pBdr>
        <w:spacing w:before="120" w:after="120"/>
        <w:ind w:left="284" w:hanging="426"/>
        <w:jc w:val="both"/>
        <w:rPr>
          <w:rFonts w:ascii="Arial" w:eastAsia="Arial" w:hAnsi="Arial" w:cs="Arial"/>
          <w:i/>
          <w:sz w:val="24"/>
          <w:szCs w:val="24"/>
        </w:rPr>
      </w:pPr>
      <w:r>
        <w:rPr>
          <w:rFonts w:ascii="Arial" w:eastAsia="Arial" w:hAnsi="Arial" w:cs="Arial"/>
          <w:i/>
          <w:sz w:val="24"/>
          <w:szCs w:val="24"/>
        </w:rPr>
        <w:lastRenderedPageBreak/>
        <w:t>Los sujetos obligados que cuenten con portales propios de datos abiertos, deberán federarlos al Portal de Datos Abiertos www.datos.gov.co o el que haga sus veces, de forma que éste último sea punto de acceso a los datos abiertos.</w:t>
      </w:r>
    </w:p>
    <w:p w14:paraId="385CADB5" w14:textId="77777777" w:rsidR="00CB0BB9" w:rsidRDefault="00CB0BB9" w:rsidP="00865DB0">
      <w:pPr>
        <w:spacing w:before="120" w:after="120"/>
        <w:ind w:left="-142"/>
        <w:jc w:val="both"/>
        <w:rPr>
          <w:rFonts w:ascii="Arial" w:eastAsia="Arial" w:hAnsi="Arial" w:cs="Arial"/>
          <w:sz w:val="24"/>
          <w:szCs w:val="24"/>
          <w:highlight w:val="yellow"/>
        </w:rPr>
      </w:pPr>
      <w:r>
        <w:rPr>
          <w:rFonts w:ascii="Arial" w:eastAsia="Arial" w:hAnsi="Arial" w:cs="Arial"/>
          <w:sz w:val="24"/>
          <w:szCs w:val="24"/>
        </w:rPr>
        <w:t xml:space="preserve">La entidad cuenta con una opción de datos </w:t>
      </w:r>
      <w:r w:rsidRPr="00E86C3C">
        <w:rPr>
          <w:rFonts w:ascii="Arial" w:eastAsia="Arial" w:hAnsi="Arial" w:cs="Arial"/>
          <w:sz w:val="24"/>
          <w:szCs w:val="24"/>
        </w:rPr>
        <w:t xml:space="preserve">abiertos en la cual se relaciona la información publicada en los enlaces del Portal de Datos Abiertos </w:t>
      </w:r>
      <w:hyperlink r:id="rId57">
        <w:r w:rsidRPr="00E86C3C">
          <w:rPr>
            <w:rFonts w:ascii="Arial" w:eastAsia="Arial" w:hAnsi="Arial" w:cs="Arial"/>
            <w:sz w:val="24"/>
            <w:szCs w:val="24"/>
          </w:rPr>
          <w:t>www.datos.gov.co</w:t>
        </w:r>
      </w:hyperlink>
      <w:r w:rsidRPr="00E86C3C">
        <w:rPr>
          <w:rFonts w:ascii="Arial" w:eastAsia="Arial" w:hAnsi="Arial" w:cs="Arial"/>
          <w:sz w:val="24"/>
          <w:szCs w:val="24"/>
        </w:rPr>
        <w:t>.</w:t>
      </w:r>
      <w:r>
        <w:rPr>
          <w:rFonts w:ascii="Arial" w:eastAsia="Arial" w:hAnsi="Arial" w:cs="Arial"/>
          <w:sz w:val="24"/>
          <w:szCs w:val="24"/>
        </w:rPr>
        <w:t xml:space="preserve"> </w:t>
      </w:r>
    </w:p>
    <w:p w14:paraId="5680D5BD" w14:textId="77777777" w:rsidR="00CB0BB9" w:rsidRDefault="00CB0BB9" w:rsidP="00CB0BB9">
      <w:pPr>
        <w:spacing w:before="120" w:after="120"/>
        <w:ind w:left="-142" w:right="-93"/>
        <w:jc w:val="both"/>
        <w:rPr>
          <w:rFonts w:ascii="Arial" w:eastAsia="Arial" w:hAnsi="Arial" w:cs="Arial"/>
          <w:sz w:val="24"/>
          <w:szCs w:val="24"/>
        </w:rPr>
      </w:pPr>
      <w:r>
        <w:rPr>
          <w:rFonts w:ascii="Arial" w:eastAsia="Arial" w:hAnsi="Arial" w:cs="Arial"/>
          <w:noProof/>
          <w:sz w:val="24"/>
          <w:szCs w:val="24"/>
          <w:lang w:val="es-CO" w:eastAsia="es-CO"/>
        </w:rPr>
        <w:drawing>
          <wp:inline distT="0" distB="0" distL="0" distR="0" wp14:anchorId="74F0E378" wp14:editId="23BFA0F3">
            <wp:extent cx="6192000" cy="2519663"/>
            <wp:effectExtent l="19050" t="19050" r="18415" b="14605"/>
            <wp:docPr id="67" name="image1.png" descr="Captura de la sección de publicación de datos abiertos en la página web de la entidad."/>
            <wp:cNvGraphicFramePr/>
            <a:graphic xmlns:a="http://schemas.openxmlformats.org/drawingml/2006/main">
              <a:graphicData uri="http://schemas.openxmlformats.org/drawingml/2006/picture">
                <pic:pic xmlns:pic="http://schemas.openxmlformats.org/drawingml/2006/picture">
                  <pic:nvPicPr>
                    <pic:cNvPr id="0" name="image1.png" descr="Captura de la sección de publicación de datos abiertos en la página web de la entidad."/>
                    <pic:cNvPicPr preferRelativeResize="0"/>
                  </pic:nvPicPr>
                  <pic:blipFill>
                    <a:blip r:embed="rId58"/>
                    <a:srcRect t="13579" b="13697"/>
                    <a:stretch>
                      <a:fillRect/>
                    </a:stretch>
                  </pic:blipFill>
                  <pic:spPr>
                    <a:xfrm>
                      <a:off x="0" y="0"/>
                      <a:ext cx="6192000" cy="2519663"/>
                    </a:xfrm>
                    <a:prstGeom prst="rect">
                      <a:avLst/>
                    </a:prstGeom>
                    <a:ln w="9525">
                      <a:solidFill>
                        <a:srgbClr val="000000"/>
                      </a:solidFill>
                      <a:prstDash val="solid"/>
                    </a:ln>
                  </pic:spPr>
                </pic:pic>
              </a:graphicData>
            </a:graphic>
          </wp:inline>
        </w:drawing>
      </w:r>
    </w:p>
    <w:p w14:paraId="27949D76" w14:textId="77777777" w:rsidR="00CB0BB9" w:rsidRDefault="00CB0BB9" w:rsidP="00865DB0">
      <w:pPr>
        <w:spacing w:before="120" w:after="120"/>
        <w:ind w:left="-142"/>
        <w:jc w:val="both"/>
        <w:rPr>
          <w:rFonts w:ascii="Arial" w:eastAsia="Arial" w:hAnsi="Arial" w:cs="Arial"/>
          <w:sz w:val="24"/>
          <w:szCs w:val="24"/>
        </w:rPr>
      </w:pPr>
      <w:bookmarkStart w:id="6" w:name="_heading=h.2et92p0" w:colFirst="0" w:colLast="0"/>
      <w:bookmarkEnd w:id="6"/>
      <w:r>
        <w:rPr>
          <w:rFonts w:ascii="Arial" w:eastAsia="Arial" w:hAnsi="Arial" w:cs="Arial"/>
          <w:sz w:val="24"/>
          <w:szCs w:val="24"/>
        </w:rPr>
        <w:t>Sin embargo, los enlaces de datos abiertos a nivel nacional no direccionan adecuadamente:</w:t>
      </w:r>
    </w:p>
    <w:p w14:paraId="0B697DA1" w14:textId="29D56C93" w:rsidR="00CB0BB9" w:rsidRDefault="00CB0BB9" w:rsidP="00CB0BB9">
      <w:pPr>
        <w:spacing w:before="120" w:after="120"/>
        <w:ind w:left="-142" w:right="-93"/>
        <w:jc w:val="both"/>
        <w:rPr>
          <w:rFonts w:ascii="Arial" w:eastAsia="Arial" w:hAnsi="Arial" w:cs="Arial"/>
          <w:sz w:val="24"/>
          <w:szCs w:val="24"/>
        </w:rPr>
      </w:pPr>
      <w:r>
        <w:rPr>
          <w:rFonts w:ascii="Arial" w:eastAsia="Arial" w:hAnsi="Arial" w:cs="Arial"/>
          <w:noProof/>
          <w:sz w:val="24"/>
          <w:szCs w:val="24"/>
          <w:lang w:val="es-CO" w:eastAsia="es-CO"/>
        </w:rPr>
        <w:drawing>
          <wp:inline distT="0" distB="0" distL="0" distR="0" wp14:anchorId="13E673C1" wp14:editId="489780E0">
            <wp:extent cx="6192000" cy="2648685"/>
            <wp:effectExtent l="19050" t="19050" r="18415" b="18415"/>
            <wp:docPr id="68" name="image8.png" descr="Captura del error generado en la página de datos abiertos."/>
            <wp:cNvGraphicFramePr/>
            <a:graphic xmlns:a="http://schemas.openxmlformats.org/drawingml/2006/main">
              <a:graphicData uri="http://schemas.openxmlformats.org/drawingml/2006/picture">
                <pic:pic xmlns:pic="http://schemas.openxmlformats.org/drawingml/2006/picture">
                  <pic:nvPicPr>
                    <pic:cNvPr id="0" name="image8.png" descr="Captura del error generado en la página de datos abiertos."/>
                    <pic:cNvPicPr preferRelativeResize="0"/>
                  </pic:nvPicPr>
                  <pic:blipFill>
                    <a:blip r:embed="rId59"/>
                    <a:srcRect t="7846" b="14905"/>
                    <a:stretch>
                      <a:fillRect/>
                    </a:stretch>
                  </pic:blipFill>
                  <pic:spPr>
                    <a:xfrm>
                      <a:off x="0" y="0"/>
                      <a:ext cx="6192000" cy="2648685"/>
                    </a:xfrm>
                    <a:prstGeom prst="rect">
                      <a:avLst/>
                    </a:prstGeom>
                    <a:ln w="9525">
                      <a:solidFill>
                        <a:srgbClr val="000000"/>
                      </a:solidFill>
                      <a:prstDash val="solid"/>
                    </a:ln>
                  </pic:spPr>
                </pic:pic>
              </a:graphicData>
            </a:graphic>
          </wp:inline>
        </w:drawing>
      </w:r>
    </w:p>
    <w:p w14:paraId="5F6E4F94" w14:textId="19EBF1CC" w:rsidR="00087CBD" w:rsidRPr="00087CBD" w:rsidRDefault="00087CBD" w:rsidP="00087CBD">
      <w:pPr>
        <w:spacing w:before="120" w:after="120"/>
        <w:ind w:left="-142" w:right="-93"/>
        <w:jc w:val="both"/>
        <w:rPr>
          <w:rFonts w:ascii="Arial" w:eastAsia="Arial" w:hAnsi="Arial" w:cs="Arial"/>
          <w:color w:val="002060"/>
          <w:sz w:val="24"/>
          <w:szCs w:val="24"/>
        </w:rPr>
      </w:pPr>
      <w:r w:rsidRPr="0044576A">
        <w:rPr>
          <w:rFonts w:ascii="Arial" w:eastAsia="Arial" w:hAnsi="Arial" w:cs="Arial"/>
          <w:b/>
          <w:color w:val="002060"/>
          <w:sz w:val="24"/>
          <w:szCs w:val="24"/>
        </w:rPr>
        <w:t>Respuesta del proceso</w:t>
      </w:r>
      <w:r w:rsidRPr="00087CBD">
        <w:rPr>
          <w:rFonts w:ascii="Arial" w:eastAsia="Arial" w:hAnsi="Arial" w:cs="Arial"/>
          <w:color w:val="002060"/>
          <w:sz w:val="24"/>
          <w:szCs w:val="24"/>
        </w:rPr>
        <w:t xml:space="preserve">: Los enlaces de datos abiertos a nivel nacional generan un </w:t>
      </w:r>
      <w:r w:rsidR="006A2F05" w:rsidRPr="00087CBD">
        <w:rPr>
          <w:rFonts w:ascii="Arial" w:eastAsia="Arial" w:hAnsi="Arial" w:cs="Arial"/>
          <w:color w:val="002060"/>
          <w:sz w:val="24"/>
          <w:szCs w:val="24"/>
        </w:rPr>
        <w:t>error,</w:t>
      </w:r>
      <w:r w:rsidRPr="00087CBD">
        <w:rPr>
          <w:rFonts w:ascii="Arial" w:eastAsia="Arial" w:hAnsi="Arial" w:cs="Arial"/>
          <w:color w:val="002060"/>
          <w:sz w:val="24"/>
          <w:szCs w:val="24"/>
        </w:rPr>
        <w:t xml:space="preserve"> pero el IDPC no tiene la competencia para corregirlos, como ya se había logrado gestionar después del último informe.</w:t>
      </w:r>
    </w:p>
    <w:p w14:paraId="7BB3184B" w14:textId="71409B6A" w:rsidR="00087CBD" w:rsidRPr="00087CBD" w:rsidRDefault="00087CBD" w:rsidP="00087CBD">
      <w:pPr>
        <w:spacing w:before="120" w:after="120"/>
        <w:ind w:left="-142" w:right="-93"/>
        <w:jc w:val="both"/>
        <w:rPr>
          <w:rFonts w:ascii="Arial" w:eastAsia="Arial" w:hAnsi="Arial" w:cs="Arial"/>
          <w:color w:val="7030A0"/>
          <w:sz w:val="24"/>
          <w:szCs w:val="24"/>
        </w:rPr>
      </w:pPr>
      <w:r w:rsidRPr="0044576A">
        <w:rPr>
          <w:rFonts w:ascii="Arial" w:eastAsia="Arial" w:hAnsi="Arial" w:cs="Arial"/>
          <w:b/>
          <w:color w:val="7030A0"/>
          <w:sz w:val="24"/>
          <w:szCs w:val="24"/>
        </w:rPr>
        <w:t>Valoración de la respuesta</w:t>
      </w:r>
      <w:r w:rsidRPr="00087CBD">
        <w:rPr>
          <w:rFonts w:ascii="Arial" w:eastAsia="Arial" w:hAnsi="Arial" w:cs="Arial"/>
          <w:color w:val="7030A0"/>
          <w:sz w:val="24"/>
          <w:szCs w:val="24"/>
        </w:rPr>
        <w:t>: Se mantiene la observación en tanto la información se encuentra disponible.</w:t>
      </w:r>
      <w:r w:rsidR="0044576A" w:rsidRPr="0044576A">
        <w:t xml:space="preserve"> </w:t>
      </w:r>
      <w:r w:rsidR="0044576A" w:rsidRPr="0044576A">
        <w:rPr>
          <w:rFonts w:ascii="Arial" w:eastAsia="Arial" w:hAnsi="Arial" w:cs="Arial"/>
          <w:color w:val="7030A0"/>
          <w:sz w:val="24"/>
          <w:szCs w:val="24"/>
        </w:rPr>
        <w:t>Adicionalmente, ya que al realizar la búsqueda la información se encuentra publicada en un link diferente al que direcciona la página del IDPC.</w:t>
      </w:r>
    </w:p>
    <w:p w14:paraId="69054115" w14:textId="77777777" w:rsidR="00CB0BB9" w:rsidRDefault="00CB0BB9" w:rsidP="00865DB0">
      <w:pPr>
        <w:numPr>
          <w:ilvl w:val="0"/>
          <w:numId w:val="8"/>
        </w:numPr>
        <w:pBdr>
          <w:top w:val="nil"/>
          <w:left w:val="nil"/>
          <w:bottom w:val="nil"/>
          <w:right w:val="nil"/>
          <w:between w:val="nil"/>
        </w:pBdr>
        <w:spacing w:before="120" w:after="120"/>
        <w:ind w:left="284" w:hanging="426"/>
        <w:jc w:val="both"/>
        <w:rPr>
          <w:rFonts w:ascii="Arial" w:eastAsia="Arial" w:hAnsi="Arial" w:cs="Arial"/>
          <w:i/>
          <w:sz w:val="24"/>
          <w:szCs w:val="24"/>
        </w:rPr>
      </w:pPr>
      <w:r>
        <w:rPr>
          <w:rFonts w:ascii="Arial" w:eastAsia="Arial" w:hAnsi="Arial" w:cs="Arial"/>
          <w:i/>
          <w:sz w:val="24"/>
          <w:szCs w:val="24"/>
        </w:rPr>
        <w:lastRenderedPageBreak/>
        <w:t>El registro de activos de información y el análisis de criticidad de la información, debe cargarse a través de la herramienta disponible en el Portal de Datos Abiertos, datos.gov.co, o el que haga sus veces.</w:t>
      </w:r>
    </w:p>
    <w:p w14:paraId="099EBA4B" w14:textId="77777777" w:rsidR="00CB0BB9" w:rsidRDefault="00CB0BB9" w:rsidP="00865DB0">
      <w:pPr>
        <w:spacing w:before="120" w:after="120"/>
        <w:ind w:left="-142"/>
        <w:jc w:val="both"/>
        <w:rPr>
          <w:rFonts w:ascii="Arial" w:eastAsia="Arial" w:hAnsi="Arial" w:cs="Arial"/>
          <w:sz w:val="24"/>
          <w:szCs w:val="24"/>
        </w:rPr>
      </w:pPr>
      <w:bookmarkStart w:id="7" w:name="_heading=h.tyjcwt" w:colFirst="0" w:colLast="0"/>
      <w:bookmarkEnd w:id="7"/>
      <w:r>
        <w:rPr>
          <w:rFonts w:ascii="Arial" w:eastAsia="Arial" w:hAnsi="Arial" w:cs="Arial"/>
          <w:sz w:val="24"/>
          <w:szCs w:val="24"/>
        </w:rPr>
        <w:t>Una vez consultado el Portal de Datos Abiertos, no se identifica la información con respecto al registro de activos de información y el análisis de criticidad de la información del Instituto Distrital de Patrimonio Cultural IDPC.</w:t>
      </w:r>
    </w:p>
    <w:p w14:paraId="295D85CC" w14:textId="77777777" w:rsidR="00CB0BB9" w:rsidRDefault="00CB0BB9" w:rsidP="00865DB0">
      <w:pPr>
        <w:numPr>
          <w:ilvl w:val="0"/>
          <w:numId w:val="8"/>
        </w:numPr>
        <w:pBdr>
          <w:top w:val="nil"/>
          <w:left w:val="nil"/>
          <w:bottom w:val="nil"/>
          <w:right w:val="nil"/>
          <w:between w:val="nil"/>
        </w:pBdr>
        <w:spacing w:before="120" w:after="120"/>
        <w:ind w:left="284" w:hanging="426"/>
        <w:jc w:val="both"/>
        <w:rPr>
          <w:rFonts w:ascii="Arial" w:eastAsia="Arial" w:hAnsi="Arial" w:cs="Arial"/>
          <w:i/>
          <w:sz w:val="24"/>
          <w:szCs w:val="24"/>
        </w:rPr>
      </w:pPr>
      <w:r>
        <w:rPr>
          <w:rFonts w:ascii="Arial" w:eastAsia="Arial" w:hAnsi="Arial" w:cs="Arial"/>
          <w:i/>
          <w:sz w:val="24"/>
          <w:szCs w:val="24"/>
        </w:rPr>
        <w:t>Aprobar y publicar la licencia de datos abiertos, mediante la cual se determina el alcance, uso y aprovechamiento que los particulares o terceros interesados puedan efectuar sobre los mismos. En todo caso, se sugiere que la licencia reconozca la producción o generación de los datos por parte de la entidad pública, señalando que ésta no será responsable por la utilización, tratamiento, transformación de los datos, ni tampoco, sobre cualquier tipo de responsabilidad legal o económica sobre el uso directo o indirecto que se realice.</w:t>
      </w:r>
    </w:p>
    <w:p w14:paraId="03E29F95" w14:textId="77777777" w:rsidR="00CB0BB9" w:rsidRDefault="00CB0BB9" w:rsidP="00865DB0">
      <w:pPr>
        <w:spacing w:before="120" w:after="120"/>
        <w:ind w:left="-142"/>
        <w:jc w:val="both"/>
        <w:rPr>
          <w:rFonts w:ascii="Arial" w:eastAsia="Arial" w:hAnsi="Arial" w:cs="Arial"/>
          <w:sz w:val="24"/>
          <w:szCs w:val="24"/>
        </w:rPr>
      </w:pPr>
      <w:bookmarkStart w:id="8" w:name="_heading=h.3dy6vkm" w:colFirst="0" w:colLast="0"/>
      <w:bookmarkEnd w:id="8"/>
      <w:r>
        <w:rPr>
          <w:rFonts w:ascii="Arial" w:eastAsia="Arial" w:hAnsi="Arial" w:cs="Arial"/>
          <w:sz w:val="24"/>
          <w:szCs w:val="24"/>
        </w:rPr>
        <w:t xml:space="preserve">No se observó publicación la licencia de datos abiertos, mediante el cual se determina el alcance, uso y aprovechamiento que los particulares o terceros interesados puedan efectuar sobre los datos abiertos publicados por el Instituto.  </w:t>
      </w:r>
    </w:p>
    <w:p w14:paraId="2810BAA6" w14:textId="77777777" w:rsidR="00CB0BB9" w:rsidRDefault="00CB0BB9" w:rsidP="00865DB0">
      <w:pPr>
        <w:numPr>
          <w:ilvl w:val="0"/>
          <w:numId w:val="8"/>
        </w:numPr>
        <w:pBdr>
          <w:top w:val="nil"/>
          <w:left w:val="nil"/>
          <w:bottom w:val="nil"/>
          <w:right w:val="nil"/>
          <w:between w:val="nil"/>
        </w:pBdr>
        <w:spacing w:before="120" w:after="120"/>
        <w:ind w:left="284" w:hanging="426"/>
        <w:jc w:val="both"/>
        <w:rPr>
          <w:rFonts w:ascii="Arial" w:eastAsia="Arial" w:hAnsi="Arial" w:cs="Arial"/>
          <w:i/>
          <w:sz w:val="24"/>
          <w:szCs w:val="24"/>
        </w:rPr>
      </w:pPr>
      <w:r>
        <w:rPr>
          <w:rFonts w:ascii="Arial" w:eastAsia="Arial" w:hAnsi="Arial" w:cs="Arial"/>
          <w:i/>
          <w:sz w:val="24"/>
          <w:szCs w:val="24"/>
        </w:rPr>
        <w:t>Los sujetos obligados deben observar la Guía Nacional de Datos Abiertos en Colombia, la Guía de Estándares de Calidad e Interoperabilidad, el Marco de Arquitectura Empresarial, el Marco de Interoperabilidad y los Lineamientos técnicos para la producción y gestión de información geográfica, como insumos necesarios para la planeación, publicación y promoción del uso y aprovechamiento de los datos abiertos.</w:t>
      </w:r>
    </w:p>
    <w:p w14:paraId="24D52987" w14:textId="194CC01A" w:rsidR="00CB0BB9" w:rsidRDefault="00CB0BB9" w:rsidP="00865DB0">
      <w:pPr>
        <w:spacing w:before="120" w:after="120"/>
        <w:ind w:left="-142"/>
        <w:jc w:val="both"/>
        <w:rPr>
          <w:rFonts w:ascii="Arial" w:eastAsia="Arial" w:hAnsi="Arial" w:cs="Arial"/>
          <w:sz w:val="24"/>
          <w:szCs w:val="24"/>
        </w:rPr>
      </w:pPr>
      <w:r>
        <w:rPr>
          <w:rFonts w:ascii="Arial" w:eastAsia="Arial" w:hAnsi="Arial" w:cs="Arial"/>
          <w:sz w:val="24"/>
          <w:szCs w:val="24"/>
        </w:rPr>
        <w:t xml:space="preserve">Al verificar la plataforma Mapas de Bogotá, en </w:t>
      </w:r>
      <w:r w:rsidRPr="00E86C3C">
        <w:rPr>
          <w:rFonts w:ascii="Arial" w:eastAsia="Arial" w:hAnsi="Arial" w:cs="Arial"/>
          <w:sz w:val="24"/>
          <w:szCs w:val="24"/>
        </w:rPr>
        <w:t xml:space="preserve">el </w:t>
      </w:r>
      <w:r w:rsidR="00E86C3C">
        <w:rPr>
          <w:rFonts w:ascii="Arial" w:eastAsia="Arial" w:hAnsi="Arial" w:cs="Arial"/>
          <w:sz w:val="24"/>
          <w:szCs w:val="24"/>
        </w:rPr>
        <w:t>enlace</w:t>
      </w:r>
      <w:r w:rsidRPr="00E86C3C">
        <w:rPr>
          <w:rFonts w:ascii="Arial" w:eastAsia="Arial" w:hAnsi="Arial" w:cs="Arial"/>
          <w:sz w:val="24"/>
          <w:szCs w:val="24"/>
        </w:rPr>
        <w:t xml:space="preserve"> </w:t>
      </w:r>
      <w:hyperlink r:id="rId60">
        <w:r w:rsidRPr="00E86C3C">
          <w:rPr>
            <w:rFonts w:ascii="Arial" w:eastAsia="Arial" w:hAnsi="Arial" w:cs="Arial"/>
            <w:sz w:val="24"/>
            <w:szCs w:val="24"/>
          </w:rPr>
          <w:t>http://mapas.bogota.gov.co/</w:t>
        </w:r>
      </w:hyperlink>
      <w:r w:rsidRPr="00E86C3C">
        <w:rPr>
          <w:rFonts w:ascii="Arial" w:eastAsia="Arial" w:hAnsi="Arial" w:cs="Arial"/>
          <w:sz w:val="24"/>
          <w:szCs w:val="24"/>
        </w:rPr>
        <w:t>, se evidencia la información relacionada con el Inventario de patrimonio del año 2021.</w:t>
      </w:r>
    </w:p>
    <w:p w14:paraId="20A6F4DD" w14:textId="77777777" w:rsidR="00CB0BB9" w:rsidRDefault="00CB0BB9" w:rsidP="00865DB0">
      <w:pPr>
        <w:numPr>
          <w:ilvl w:val="0"/>
          <w:numId w:val="8"/>
        </w:numPr>
        <w:pBdr>
          <w:top w:val="nil"/>
          <w:left w:val="nil"/>
          <w:bottom w:val="nil"/>
          <w:right w:val="nil"/>
          <w:between w:val="nil"/>
        </w:pBdr>
        <w:spacing w:before="120" w:after="120"/>
        <w:ind w:left="284" w:hanging="426"/>
        <w:jc w:val="both"/>
        <w:rPr>
          <w:rFonts w:ascii="Arial" w:eastAsia="Arial" w:hAnsi="Arial" w:cs="Arial"/>
          <w:i/>
          <w:sz w:val="24"/>
          <w:szCs w:val="24"/>
        </w:rPr>
      </w:pPr>
      <w:r>
        <w:rPr>
          <w:rFonts w:ascii="Arial" w:eastAsia="Arial" w:hAnsi="Arial" w:cs="Arial"/>
          <w:i/>
          <w:sz w:val="24"/>
          <w:szCs w:val="24"/>
        </w:rPr>
        <w:t>Los sujetos obligados deben establecer un plan de apertura y uso de datos abiertos para una adecuada gobernanza de los datos de acuerdo con lo establecido en la Guía Nacional de Datos Abiertos en Colombia.</w:t>
      </w:r>
    </w:p>
    <w:p w14:paraId="58FE5FC4" w14:textId="170E7019" w:rsidR="001358F1" w:rsidRPr="00CB0BB9" w:rsidRDefault="00CB0BB9" w:rsidP="00865DB0">
      <w:pPr>
        <w:spacing w:before="120" w:after="120"/>
        <w:ind w:left="-142"/>
        <w:jc w:val="both"/>
        <w:rPr>
          <w:rFonts w:ascii="Arial" w:eastAsia="Arial" w:hAnsi="Arial" w:cs="Arial"/>
          <w:sz w:val="24"/>
          <w:szCs w:val="24"/>
        </w:rPr>
      </w:pPr>
      <w:bookmarkStart w:id="9" w:name="_heading=h.1t3h5sf" w:colFirst="0" w:colLast="0"/>
      <w:bookmarkEnd w:id="9"/>
      <w:r>
        <w:rPr>
          <w:rFonts w:ascii="Arial" w:eastAsia="Arial" w:hAnsi="Arial" w:cs="Arial"/>
          <w:sz w:val="24"/>
          <w:szCs w:val="24"/>
        </w:rPr>
        <w:t>No se observó la publicación del plan de apertura y uso de datos abiertos para una adecuada gobernanza de los datos de acuerdo con lo establecido en la Guía Nacional de Datos Abiertos en Colombia.</w:t>
      </w:r>
    </w:p>
    <w:p w14:paraId="09ED169E" w14:textId="1F6F439F" w:rsidR="00FA4153" w:rsidRPr="00865DB0" w:rsidRDefault="00743167" w:rsidP="00865DB0">
      <w:pPr>
        <w:pStyle w:val="Ttulo1"/>
        <w:spacing w:before="240" w:line="240" w:lineRule="auto"/>
        <w:ind w:left="-142"/>
        <w:jc w:val="both"/>
        <w:rPr>
          <w:color w:val="002060"/>
        </w:rPr>
      </w:pPr>
      <w:r>
        <w:rPr>
          <w:color w:val="002060"/>
        </w:rPr>
        <w:t>CONCLUSI</w:t>
      </w:r>
      <w:r w:rsidR="00FA4153">
        <w:rPr>
          <w:color w:val="002060"/>
        </w:rPr>
        <w:t>ONES</w:t>
      </w:r>
    </w:p>
    <w:p w14:paraId="3A865EBA" w14:textId="77777777" w:rsidR="00CF1747" w:rsidRDefault="00CF1747" w:rsidP="00865DB0">
      <w:pPr>
        <w:spacing w:before="120" w:after="120"/>
        <w:ind w:left="-142"/>
        <w:jc w:val="both"/>
        <w:rPr>
          <w:rFonts w:ascii="Arial" w:eastAsia="Arial" w:hAnsi="Arial" w:cs="Arial"/>
          <w:sz w:val="24"/>
          <w:szCs w:val="24"/>
        </w:rPr>
      </w:pPr>
      <w:r>
        <w:rPr>
          <w:rFonts w:ascii="Arial" w:eastAsia="Arial" w:hAnsi="Arial" w:cs="Arial"/>
          <w:sz w:val="24"/>
          <w:szCs w:val="24"/>
        </w:rPr>
        <w:t>Se evidenciaron avances con respecto a la estructura de la página web institucional cumpliendo parcialmente con los criterios normativos aplicables en cuanto a diseño, contenido, accesibilidad y consulta de la información pública. De igual forma, se observó el establecimiento de controles a nivel de condiciones técnicas y de seguridad digital, cumpliendo parcialmente el anexo 3 de la Resolución 1519 de 2020.</w:t>
      </w:r>
    </w:p>
    <w:p w14:paraId="4B379088" w14:textId="0A81F146" w:rsidR="009823FE" w:rsidRPr="00865DB0" w:rsidRDefault="009823FE" w:rsidP="00865DB0">
      <w:pPr>
        <w:pStyle w:val="Ttulo1"/>
        <w:spacing w:before="240" w:line="240" w:lineRule="auto"/>
        <w:ind w:left="-142"/>
        <w:jc w:val="both"/>
        <w:rPr>
          <w:color w:val="002060"/>
        </w:rPr>
      </w:pPr>
      <w:r w:rsidRPr="009823FE">
        <w:rPr>
          <w:color w:val="002060"/>
        </w:rPr>
        <w:t>RECOMENDACIONES</w:t>
      </w:r>
    </w:p>
    <w:p w14:paraId="6F146708" w14:textId="77777777" w:rsidR="00CF1747" w:rsidRDefault="00CF1747" w:rsidP="00FA584D">
      <w:pPr>
        <w:numPr>
          <w:ilvl w:val="0"/>
          <w:numId w:val="5"/>
        </w:numPr>
        <w:pBdr>
          <w:top w:val="nil"/>
          <w:left w:val="nil"/>
          <w:bottom w:val="nil"/>
          <w:right w:val="nil"/>
          <w:between w:val="nil"/>
        </w:pBdr>
        <w:spacing w:before="120"/>
        <w:ind w:left="284" w:hanging="357"/>
        <w:jc w:val="both"/>
        <w:rPr>
          <w:rFonts w:ascii="Arial" w:eastAsia="Arial" w:hAnsi="Arial" w:cs="Arial"/>
          <w:color w:val="000000"/>
          <w:sz w:val="24"/>
          <w:szCs w:val="24"/>
        </w:rPr>
      </w:pPr>
      <w:r>
        <w:rPr>
          <w:rFonts w:ascii="Arial" w:eastAsia="Arial" w:hAnsi="Arial" w:cs="Arial"/>
          <w:color w:val="000000"/>
          <w:sz w:val="24"/>
          <w:szCs w:val="24"/>
        </w:rPr>
        <w:t>Generar estrategias que permitan el cumplimiento total de la Ley de Transparencia y sus normas reglamentarias, particularmente de las debilidades detectadas con el presente informe en relación con los anexos de la Resolución 1519 de 2020.</w:t>
      </w:r>
    </w:p>
    <w:p w14:paraId="7CC1883A" w14:textId="77777777" w:rsidR="00CF1747" w:rsidRDefault="00CF1747" w:rsidP="00FA584D">
      <w:pPr>
        <w:numPr>
          <w:ilvl w:val="0"/>
          <w:numId w:val="5"/>
        </w:numPr>
        <w:pBdr>
          <w:top w:val="nil"/>
          <w:left w:val="nil"/>
          <w:bottom w:val="nil"/>
          <w:right w:val="nil"/>
          <w:between w:val="nil"/>
        </w:pBdr>
        <w:ind w:left="284"/>
        <w:jc w:val="both"/>
        <w:rPr>
          <w:rFonts w:ascii="Arial" w:eastAsia="Arial" w:hAnsi="Arial" w:cs="Arial"/>
          <w:color w:val="000000"/>
          <w:sz w:val="24"/>
          <w:szCs w:val="24"/>
        </w:rPr>
      </w:pPr>
      <w:r>
        <w:rPr>
          <w:rFonts w:ascii="Arial" w:eastAsia="Arial" w:hAnsi="Arial" w:cs="Arial"/>
          <w:color w:val="000000"/>
          <w:sz w:val="24"/>
          <w:szCs w:val="24"/>
        </w:rPr>
        <w:lastRenderedPageBreak/>
        <w:t>Garantizar la actualización y la disponibilidad permanente de la información a publicar del Instituto, mediante una evaluación periódica, y con exigencias en las diferentes áreas responsables, por el cumplimiento normativo aplicable; caso contrario, la Entidad se expone a sanciones de tipo administrativo.</w:t>
      </w:r>
    </w:p>
    <w:p w14:paraId="27940FAF" w14:textId="77777777" w:rsidR="00CF1747" w:rsidRDefault="00CF1747" w:rsidP="00FA584D">
      <w:pPr>
        <w:numPr>
          <w:ilvl w:val="0"/>
          <w:numId w:val="5"/>
        </w:numPr>
        <w:pBdr>
          <w:top w:val="nil"/>
          <w:left w:val="nil"/>
          <w:bottom w:val="nil"/>
          <w:right w:val="nil"/>
          <w:between w:val="nil"/>
        </w:pBdr>
        <w:ind w:left="284"/>
        <w:jc w:val="both"/>
        <w:rPr>
          <w:rFonts w:ascii="Arial" w:eastAsia="Arial" w:hAnsi="Arial" w:cs="Arial"/>
          <w:color w:val="000000"/>
          <w:sz w:val="24"/>
          <w:szCs w:val="24"/>
        </w:rPr>
      </w:pPr>
      <w:r>
        <w:rPr>
          <w:rFonts w:ascii="Arial" w:eastAsia="Arial" w:hAnsi="Arial" w:cs="Arial"/>
          <w:color w:val="000000"/>
          <w:sz w:val="24"/>
          <w:szCs w:val="24"/>
        </w:rPr>
        <w:t xml:space="preserve">Generar y publicar la licencia de datos abiertos, mediante la cual se determina el alcance, uso y aprovechamiento que los particulares o terceros interesados puedan efectuar sobre los datos abiertos publicados por el Instituto. </w:t>
      </w:r>
    </w:p>
    <w:p w14:paraId="67E32932" w14:textId="01C4537D" w:rsidR="001358F1" w:rsidRPr="00363A35" w:rsidRDefault="00CF1747" w:rsidP="00FA584D">
      <w:pPr>
        <w:numPr>
          <w:ilvl w:val="0"/>
          <w:numId w:val="5"/>
        </w:numPr>
        <w:pBdr>
          <w:top w:val="nil"/>
          <w:left w:val="nil"/>
          <w:bottom w:val="nil"/>
          <w:right w:val="nil"/>
          <w:between w:val="nil"/>
        </w:pBdr>
        <w:ind w:left="284"/>
        <w:jc w:val="both"/>
        <w:rPr>
          <w:rFonts w:ascii="Arial" w:eastAsia="Arial" w:hAnsi="Arial" w:cs="Arial"/>
          <w:color w:val="000000"/>
          <w:sz w:val="22"/>
          <w:szCs w:val="22"/>
        </w:rPr>
      </w:pPr>
      <w:r>
        <w:rPr>
          <w:rFonts w:ascii="Arial" w:eastAsia="Arial" w:hAnsi="Arial" w:cs="Arial"/>
          <w:color w:val="000000"/>
          <w:sz w:val="24"/>
          <w:szCs w:val="24"/>
        </w:rPr>
        <w:t>Unificar el tamaño de la fuente de la página web.</w:t>
      </w:r>
    </w:p>
    <w:p w14:paraId="787C7476" w14:textId="602475FB" w:rsidR="00363A35" w:rsidRPr="006802C5" w:rsidRDefault="00363A35" w:rsidP="00FA584D">
      <w:pPr>
        <w:numPr>
          <w:ilvl w:val="0"/>
          <w:numId w:val="5"/>
        </w:numPr>
        <w:pBdr>
          <w:top w:val="nil"/>
          <w:left w:val="nil"/>
          <w:bottom w:val="nil"/>
          <w:right w:val="nil"/>
          <w:between w:val="nil"/>
        </w:pBdr>
        <w:ind w:left="284"/>
        <w:jc w:val="both"/>
        <w:rPr>
          <w:rFonts w:ascii="Arial" w:eastAsia="Arial" w:hAnsi="Arial" w:cs="Arial"/>
          <w:color w:val="000000"/>
          <w:sz w:val="24"/>
          <w:szCs w:val="24"/>
        </w:rPr>
      </w:pPr>
      <w:r w:rsidRPr="006802C5">
        <w:rPr>
          <w:rFonts w:ascii="Arial" w:eastAsia="Arial" w:hAnsi="Arial" w:cs="Arial"/>
          <w:color w:val="000000"/>
          <w:sz w:val="24"/>
          <w:szCs w:val="24"/>
        </w:rPr>
        <w:t>Incluir el enlace de los informes de gestión institucional en el numeral 9.5 Metas, objetivos e indicadores, teniendo en cuenta el comentario remitido por los responsables en el cual se indica que el informe de logros institucionales corresponde al informe de gestión institucional.</w:t>
      </w:r>
    </w:p>
    <w:p w14:paraId="63C39416" w14:textId="5C41DEEC" w:rsidR="00363A35" w:rsidRPr="00CF1747" w:rsidRDefault="00363A35" w:rsidP="006802C5">
      <w:pPr>
        <w:pBdr>
          <w:top w:val="nil"/>
          <w:left w:val="nil"/>
          <w:bottom w:val="nil"/>
          <w:right w:val="nil"/>
          <w:between w:val="nil"/>
        </w:pBdr>
        <w:ind w:left="284"/>
        <w:jc w:val="both"/>
        <w:rPr>
          <w:rFonts w:ascii="Arial" w:eastAsia="Arial" w:hAnsi="Arial" w:cs="Arial"/>
          <w:color w:val="000000"/>
          <w:sz w:val="22"/>
          <w:szCs w:val="22"/>
        </w:rPr>
      </w:pPr>
    </w:p>
    <w:sectPr w:rsidR="00363A35" w:rsidRPr="00CF1747" w:rsidSect="00C73C23">
      <w:headerReference w:type="default" r:id="rId61"/>
      <w:footerReference w:type="default" r:id="rId62"/>
      <w:pgSz w:w="12240" w:h="15840"/>
      <w:pgMar w:top="851" w:right="900" w:bottom="851" w:left="1701" w:header="567" w:footer="62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229BD7" w14:textId="77777777" w:rsidR="006D0B5F" w:rsidRDefault="006D0B5F">
      <w:r>
        <w:separator/>
      </w:r>
    </w:p>
  </w:endnote>
  <w:endnote w:type="continuationSeparator" w:id="0">
    <w:p w14:paraId="37DA38D6" w14:textId="77777777" w:rsidR="006D0B5F" w:rsidRDefault="006D0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Merriweather">
    <w:altName w:val="Times New Roman"/>
    <w:charset w:val="00"/>
    <w:family w:val="auto"/>
    <w:pitch w:val="variable"/>
    <w:sig w:usb0="00000001" w:usb1="00000002" w:usb2="00000000" w:usb3="00000000" w:csb0="00000197"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de3of9">
    <w:altName w:val="Calibri"/>
    <w:panose1 w:val="00000000000000000000"/>
    <w:charset w:val="00"/>
    <w:family w:val="auto"/>
    <w:pitch w:val="variable"/>
    <w:sig w:usb0="00000003" w:usb1="00000000" w:usb2="00000000" w:usb3="00000000" w:csb0="00000001" w:csb1="00000000"/>
  </w:font>
  <w:font w:name="Andale Sans UI">
    <w:panose1 w:val="00000000000000000000"/>
    <w:charset w:val="00"/>
    <w:family w:val="roman"/>
    <w:notTrueType/>
    <w:pitch w:val="default"/>
  </w:font>
  <w:font w:name="Lucidasans, '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53655" w14:textId="27E8755E" w:rsidR="00906580" w:rsidRPr="000F3FD9" w:rsidRDefault="000F3FD9" w:rsidP="000F3FD9">
    <w:pPr>
      <w:rPr>
        <w:rFonts w:ascii="Arial" w:eastAsia="Arial" w:hAnsi="Arial" w:cs="Arial"/>
        <w:sz w:val="18"/>
        <w:szCs w:val="18"/>
      </w:rPr>
    </w:pPr>
    <w:r w:rsidRPr="000F3FD9">
      <w:rPr>
        <w:rFonts w:ascii="Arial" w:eastAsia="Arial" w:hAnsi="Arial" w:cs="Arial"/>
        <w:sz w:val="18"/>
        <w:szCs w:val="18"/>
      </w:rPr>
      <w:t>Versión 4  15-09-2022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277C44" w14:textId="77777777" w:rsidR="006D0B5F" w:rsidRDefault="006D0B5F">
      <w:r>
        <w:separator/>
      </w:r>
    </w:p>
  </w:footnote>
  <w:footnote w:type="continuationSeparator" w:id="0">
    <w:p w14:paraId="1AD6152B" w14:textId="77777777" w:rsidR="006D0B5F" w:rsidRDefault="006D0B5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0A0A2" w14:textId="77777777" w:rsidR="00906580" w:rsidRDefault="00906580">
    <w:pPr>
      <w:pBdr>
        <w:top w:val="nil"/>
        <w:left w:val="nil"/>
        <w:bottom w:val="nil"/>
        <w:right w:val="nil"/>
        <w:between w:val="nil"/>
      </w:pBdr>
      <w:tabs>
        <w:tab w:val="center" w:pos="4252"/>
        <w:tab w:val="right" w:pos="8504"/>
      </w:tabs>
      <w:jc w:val="both"/>
      <w:rPr>
        <w:rFonts w:ascii="Arial" w:eastAsia="Arial" w:hAnsi="Arial" w:cs="Arial"/>
        <w:b/>
        <w:color w:val="000000"/>
        <w:sz w:val="16"/>
        <w:szCs w:val="16"/>
      </w:rPr>
    </w:pPr>
  </w:p>
  <w:tbl>
    <w:tblPr>
      <w:tblStyle w:val="Tablaconcuadrcula1"/>
      <w:tblW w:w="5079" w:type="pct"/>
      <w:tblInd w:w="-147" w:type="dxa"/>
      <w:tblLayout w:type="fixed"/>
      <w:tblLook w:val="04A0" w:firstRow="1" w:lastRow="0" w:firstColumn="1" w:lastColumn="0" w:noHBand="0" w:noVBand="1"/>
    </w:tblPr>
    <w:tblGrid>
      <w:gridCol w:w="1452"/>
      <w:gridCol w:w="4941"/>
      <w:gridCol w:w="3388"/>
    </w:tblGrid>
    <w:tr w:rsidR="006B6CFD" w:rsidRPr="00D3529C" w14:paraId="4B89EF4F" w14:textId="77777777" w:rsidTr="002F698F">
      <w:trPr>
        <w:trHeight w:val="280"/>
      </w:trPr>
      <w:tc>
        <w:tcPr>
          <w:tcW w:w="742" w:type="pct"/>
          <w:vMerge w:val="restart"/>
          <w:vAlign w:val="center"/>
        </w:tcPr>
        <w:p w14:paraId="6E3BD76D" w14:textId="77777777" w:rsidR="006B6CFD" w:rsidRPr="00D3529C" w:rsidRDefault="006B6CFD" w:rsidP="006B6CFD">
          <w:pPr>
            <w:tabs>
              <w:tab w:val="center" w:pos="4252"/>
              <w:tab w:val="right" w:pos="8504"/>
            </w:tabs>
            <w:jc w:val="center"/>
          </w:pPr>
          <w:r w:rsidRPr="00D3529C">
            <w:rPr>
              <w:noProof/>
              <w:lang w:val="es-CO" w:eastAsia="es-CO"/>
            </w:rPr>
            <w:drawing>
              <wp:inline distT="0" distB="0" distL="0" distR="0" wp14:anchorId="7FA6FC72" wp14:editId="442F8BF6">
                <wp:extent cx="775970" cy="672465"/>
                <wp:effectExtent l="0" t="0" r="0" b="635"/>
                <wp:docPr id="2" name="image1.jpg" descr="Descripción: IDPCBYN"/>
                <wp:cNvGraphicFramePr/>
                <a:graphic xmlns:a="http://schemas.openxmlformats.org/drawingml/2006/main">
                  <a:graphicData uri="http://schemas.openxmlformats.org/drawingml/2006/picture">
                    <pic:pic xmlns:pic="http://schemas.openxmlformats.org/drawingml/2006/picture">
                      <pic:nvPicPr>
                        <pic:cNvPr id="0" name="image1.jpg" descr="Descripción: IDPCBYN"/>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75970" cy="672465"/>
                        </a:xfrm>
                        <a:prstGeom prst="rect">
                          <a:avLst/>
                        </a:prstGeom>
                        <a:ln/>
                      </pic:spPr>
                    </pic:pic>
                  </a:graphicData>
                </a:graphic>
              </wp:inline>
            </w:drawing>
          </w:r>
        </w:p>
      </w:tc>
      <w:tc>
        <w:tcPr>
          <w:tcW w:w="2526" w:type="pct"/>
          <w:vAlign w:val="center"/>
        </w:tcPr>
        <w:p w14:paraId="08C455E8" w14:textId="77777777" w:rsidR="006B6CFD" w:rsidRPr="00D3529C" w:rsidRDefault="006B6CFD" w:rsidP="006B6CFD">
          <w:pPr>
            <w:tabs>
              <w:tab w:val="center" w:pos="4252"/>
              <w:tab w:val="right" w:pos="8504"/>
            </w:tabs>
            <w:jc w:val="center"/>
            <w:rPr>
              <w:rFonts w:ascii="Arial" w:hAnsi="Arial" w:cs="Arial"/>
              <w:b/>
              <w:bCs/>
              <w:sz w:val="18"/>
              <w:szCs w:val="18"/>
            </w:rPr>
          </w:pPr>
          <w:r w:rsidRPr="00D3529C">
            <w:rPr>
              <w:rFonts w:ascii="Arial" w:hAnsi="Arial" w:cs="Arial"/>
              <w:b/>
              <w:bCs/>
              <w:sz w:val="18"/>
              <w:szCs w:val="18"/>
            </w:rPr>
            <w:t>INSTITUTO DISTRITAL DE PATRIMONIO CULTURAL</w:t>
          </w:r>
        </w:p>
      </w:tc>
      <w:tc>
        <w:tcPr>
          <w:tcW w:w="1732" w:type="pct"/>
          <w:vMerge w:val="restart"/>
          <w:vAlign w:val="center"/>
        </w:tcPr>
        <w:p w14:paraId="6F204892" w14:textId="77777777" w:rsidR="006B6CFD" w:rsidRPr="00D3529C" w:rsidRDefault="006B6CFD" w:rsidP="006B6CFD">
          <w:pPr>
            <w:widowControl w:val="0"/>
            <w:tabs>
              <w:tab w:val="center" w:pos="4252"/>
              <w:tab w:val="right" w:pos="8504"/>
            </w:tabs>
            <w:suppressAutoHyphens/>
            <w:spacing w:line="100" w:lineRule="atLeast"/>
            <w:jc w:val="right"/>
            <w:rPr>
              <w:rFonts w:ascii="Code3of9" w:eastAsia="Andale Sans UI" w:hAnsi="Code3of9" w:cs="Lucidasans, 'Times New Roman'"/>
              <w:color w:val="00000A"/>
              <w:sz w:val="28"/>
              <w:szCs w:val="28"/>
              <w:lang w:val="en-US" w:eastAsia="es-CO"/>
            </w:rPr>
          </w:pPr>
          <w:r w:rsidRPr="00D3529C">
            <w:rPr>
              <w:rFonts w:ascii="Code3of9" w:eastAsia="Andale Sans UI" w:hAnsi="Code3of9" w:cs="Lucidasans, 'Times New Roman'"/>
              <w:color w:val="00000A"/>
              <w:sz w:val="28"/>
              <w:szCs w:val="28"/>
              <w:lang w:val="en-US" w:eastAsia="es-CO"/>
            </w:rPr>
            <w:t>*20221200132063*</w:t>
          </w:r>
        </w:p>
        <w:p w14:paraId="448CF815" w14:textId="77777777" w:rsidR="006B6CFD" w:rsidRPr="00D3529C" w:rsidRDefault="006B6CFD" w:rsidP="006B6CFD">
          <w:pPr>
            <w:jc w:val="right"/>
            <w:rPr>
              <w:sz w:val="16"/>
              <w:szCs w:val="16"/>
              <w:lang w:val="en-US"/>
            </w:rPr>
          </w:pPr>
          <w:r w:rsidRPr="00D3529C">
            <w:rPr>
              <w:rFonts w:ascii="Arial" w:hAnsi="Arial"/>
              <w:sz w:val="16"/>
              <w:szCs w:val="16"/>
              <w:lang w:val="en-US"/>
            </w:rPr>
            <w:t>Radicado:</w:t>
          </w:r>
          <w:r w:rsidRPr="00D3529C">
            <w:rPr>
              <w:sz w:val="16"/>
              <w:szCs w:val="16"/>
              <w:lang w:val="en-US"/>
            </w:rPr>
            <w:t xml:space="preserve"> </w:t>
          </w:r>
          <w:r w:rsidRPr="00D3529C">
            <w:rPr>
              <w:rFonts w:ascii="Arial" w:hAnsi="Arial"/>
              <w:b/>
              <w:bCs/>
              <w:lang w:val="en-US"/>
            </w:rPr>
            <w:t>20221200132063</w:t>
          </w:r>
        </w:p>
        <w:p w14:paraId="6F161EF5" w14:textId="77777777" w:rsidR="006B6CFD" w:rsidRPr="00D3529C" w:rsidRDefault="006B6CFD" w:rsidP="006B6CFD">
          <w:pPr>
            <w:jc w:val="right"/>
            <w:rPr>
              <w:rFonts w:ascii="Arial" w:hAnsi="Arial"/>
              <w:lang w:val="en-US"/>
            </w:rPr>
          </w:pPr>
          <w:r w:rsidRPr="00D3529C">
            <w:rPr>
              <w:rFonts w:ascii="Arial" w:hAnsi="Arial"/>
              <w:sz w:val="16"/>
              <w:szCs w:val="16"/>
              <w:lang w:val="en-US"/>
            </w:rPr>
            <w:t xml:space="preserve">Fecha: </w:t>
          </w:r>
          <w:r w:rsidRPr="00D3529C">
            <w:rPr>
              <w:rFonts w:ascii="Arial" w:hAnsi="Arial"/>
              <w:lang w:val="en-US"/>
            </w:rPr>
            <w:t>30-09-2022</w:t>
          </w:r>
        </w:p>
        <w:p w14:paraId="3EAE9B55" w14:textId="54430430" w:rsidR="006B6CFD" w:rsidRPr="00D3529C" w:rsidRDefault="006B6CFD" w:rsidP="006B6CFD">
          <w:pPr>
            <w:tabs>
              <w:tab w:val="center" w:pos="4252"/>
              <w:tab w:val="right" w:pos="8504"/>
            </w:tabs>
            <w:jc w:val="right"/>
          </w:pPr>
          <w:r w:rsidRPr="00D3529C">
            <w:rPr>
              <w:sz w:val="18"/>
              <w:szCs w:val="18"/>
              <w:lang w:val="en-US"/>
            </w:rPr>
            <w:t xml:space="preserve">Pág. </w:t>
          </w:r>
          <w:r w:rsidRPr="00D3529C">
            <w:rPr>
              <w:sz w:val="18"/>
              <w:szCs w:val="18"/>
              <w:lang w:val="en-US"/>
            </w:rPr>
            <w:fldChar w:fldCharType="begin"/>
          </w:r>
          <w:r w:rsidRPr="00D3529C">
            <w:rPr>
              <w:sz w:val="18"/>
              <w:szCs w:val="18"/>
            </w:rPr>
            <w:instrText>PAGE</w:instrText>
          </w:r>
          <w:r w:rsidRPr="00D3529C">
            <w:rPr>
              <w:sz w:val="18"/>
              <w:szCs w:val="18"/>
            </w:rPr>
            <w:fldChar w:fldCharType="separate"/>
          </w:r>
          <w:r w:rsidR="00842D9A">
            <w:rPr>
              <w:noProof/>
              <w:sz w:val="18"/>
              <w:szCs w:val="18"/>
            </w:rPr>
            <w:t>2</w:t>
          </w:r>
          <w:r w:rsidRPr="00D3529C">
            <w:rPr>
              <w:sz w:val="18"/>
              <w:szCs w:val="18"/>
            </w:rPr>
            <w:fldChar w:fldCharType="end"/>
          </w:r>
          <w:r w:rsidRPr="00D3529C">
            <w:rPr>
              <w:sz w:val="18"/>
              <w:szCs w:val="18"/>
              <w:lang w:val="en-US"/>
            </w:rPr>
            <w:t xml:space="preserve"> de </w:t>
          </w:r>
          <w:r w:rsidRPr="00D3529C">
            <w:rPr>
              <w:sz w:val="18"/>
              <w:szCs w:val="18"/>
              <w:lang w:val="en-US"/>
            </w:rPr>
            <w:fldChar w:fldCharType="begin"/>
          </w:r>
          <w:r w:rsidRPr="00D3529C">
            <w:rPr>
              <w:sz w:val="18"/>
              <w:szCs w:val="18"/>
            </w:rPr>
            <w:instrText>NUMPAGES</w:instrText>
          </w:r>
          <w:r w:rsidRPr="00D3529C">
            <w:rPr>
              <w:sz w:val="18"/>
              <w:szCs w:val="18"/>
            </w:rPr>
            <w:fldChar w:fldCharType="separate"/>
          </w:r>
          <w:r w:rsidR="00842D9A">
            <w:rPr>
              <w:noProof/>
              <w:sz w:val="18"/>
              <w:szCs w:val="18"/>
            </w:rPr>
            <w:t>23</w:t>
          </w:r>
          <w:r w:rsidRPr="00D3529C">
            <w:rPr>
              <w:sz w:val="18"/>
              <w:szCs w:val="18"/>
            </w:rPr>
            <w:fldChar w:fldCharType="end"/>
          </w:r>
        </w:p>
      </w:tc>
    </w:tr>
    <w:tr w:rsidR="006B6CFD" w:rsidRPr="00D3529C" w14:paraId="6AC19125" w14:textId="77777777" w:rsidTr="002F698F">
      <w:trPr>
        <w:trHeight w:val="412"/>
      </w:trPr>
      <w:tc>
        <w:tcPr>
          <w:tcW w:w="742" w:type="pct"/>
          <w:vMerge/>
          <w:vAlign w:val="center"/>
        </w:tcPr>
        <w:p w14:paraId="05AE84F7" w14:textId="77777777" w:rsidR="006B6CFD" w:rsidRPr="00D3529C" w:rsidRDefault="006B6CFD" w:rsidP="006B6CFD">
          <w:pPr>
            <w:tabs>
              <w:tab w:val="center" w:pos="4252"/>
              <w:tab w:val="right" w:pos="8504"/>
            </w:tabs>
            <w:jc w:val="center"/>
          </w:pPr>
        </w:p>
      </w:tc>
      <w:tc>
        <w:tcPr>
          <w:tcW w:w="2526" w:type="pct"/>
          <w:vAlign w:val="center"/>
        </w:tcPr>
        <w:p w14:paraId="132FB45A" w14:textId="77777777" w:rsidR="006B6CFD" w:rsidRPr="00D3529C" w:rsidRDefault="006B6CFD" w:rsidP="006B6CFD">
          <w:pPr>
            <w:tabs>
              <w:tab w:val="center" w:pos="4252"/>
              <w:tab w:val="right" w:pos="8504"/>
            </w:tabs>
            <w:jc w:val="center"/>
            <w:rPr>
              <w:rFonts w:ascii="Arial" w:hAnsi="Arial" w:cs="Arial"/>
              <w:b/>
              <w:bCs/>
              <w:sz w:val="18"/>
              <w:szCs w:val="18"/>
            </w:rPr>
          </w:pPr>
          <w:r w:rsidRPr="00D3529C">
            <w:rPr>
              <w:rFonts w:ascii="Arial" w:hAnsi="Arial" w:cs="Arial"/>
              <w:b/>
              <w:bCs/>
              <w:sz w:val="18"/>
              <w:szCs w:val="18"/>
            </w:rPr>
            <w:t>SEGUIMIENTO Y EVALUACIÓN</w:t>
          </w:r>
        </w:p>
      </w:tc>
      <w:tc>
        <w:tcPr>
          <w:tcW w:w="1732" w:type="pct"/>
          <w:vMerge/>
          <w:vAlign w:val="center"/>
        </w:tcPr>
        <w:p w14:paraId="28269226" w14:textId="77777777" w:rsidR="006B6CFD" w:rsidRPr="00D3529C" w:rsidRDefault="006B6CFD" w:rsidP="006B6CFD">
          <w:pPr>
            <w:tabs>
              <w:tab w:val="center" w:pos="4252"/>
              <w:tab w:val="right" w:pos="8504"/>
            </w:tabs>
            <w:jc w:val="center"/>
          </w:pPr>
        </w:p>
      </w:tc>
    </w:tr>
    <w:tr w:rsidR="006B6CFD" w:rsidRPr="00D3529C" w14:paraId="1D026344" w14:textId="77777777" w:rsidTr="002F698F">
      <w:trPr>
        <w:trHeight w:val="561"/>
      </w:trPr>
      <w:tc>
        <w:tcPr>
          <w:tcW w:w="742" w:type="pct"/>
          <w:vMerge/>
          <w:vAlign w:val="center"/>
        </w:tcPr>
        <w:p w14:paraId="1EEA3460" w14:textId="77777777" w:rsidR="006B6CFD" w:rsidRPr="00D3529C" w:rsidRDefault="006B6CFD" w:rsidP="006B6CFD">
          <w:pPr>
            <w:tabs>
              <w:tab w:val="center" w:pos="4252"/>
              <w:tab w:val="right" w:pos="8504"/>
            </w:tabs>
            <w:jc w:val="center"/>
          </w:pPr>
        </w:p>
      </w:tc>
      <w:tc>
        <w:tcPr>
          <w:tcW w:w="2526" w:type="pct"/>
          <w:vAlign w:val="center"/>
        </w:tcPr>
        <w:p w14:paraId="19E80AFD" w14:textId="49F1DC36" w:rsidR="006B6CFD" w:rsidRPr="00D3529C" w:rsidRDefault="006B6CFD" w:rsidP="006B6CFD">
          <w:pPr>
            <w:tabs>
              <w:tab w:val="center" w:pos="4252"/>
              <w:tab w:val="right" w:pos="8504"/>
            </w:tabs>
            <w:jc w:val="center"/>
            <w:rPr>
              <w:rFonts w:ascii="Arial" w:hAnsi="Arial" w:cs="Arial"/>
              <w:b/>
              <w:bCs/>
              <w:sz w:val="18"/>
              <w:szCs w:val="18"/>
            </w:rPr>
          </w:pPr>
          <w:r w:rsidRPr="006B6CFD">
            <w:rPr>
              <w:rFonts w:ascii="Arial" w:hAnsi="Arial" w:cs="Arial"/>
              <w:b/>
              <w:bCs/>
              <w:sz w:val="18"/>
              <w:szCs w:val="18"/>
            </w:rPr>
            <w:t>INFORME DE SEGUIMIENTO Y/O EVALUACIÓN</w:t>
          </w:r>
        </w:p>
      </w:tc>
      <w:tc>
        <w:tcPr>
          <w:tcW w:w="1732" w:type="pct"/>
          <w:vMerge/>
          <w:vAlign w:val="center"/>
        </w:tcPr>
        <w:p w14:paraId="75FA43A7" w14:textId="77777777" w:rsidR="006B6CFD" w:rsidRPr="00D3529C" w:rsidRDefault="006B6CFD" w:rsidP="006B6CFD">
          <w:pPr>
            <w:tabs>
              <w:tab w:val="center" w:pos="4252"/>
              <w:tab w:val="right" w:pos="8504"/>
            </w:tabs>
            <w:jc w:val="center"/>
          </w:pPr>
        </w:p>
      </w:tc>
    </w:tr>
  </w:tbl>
  <w:p w14:paraId="65EDBF01" w14:textId="77777777" w:rsidR="00906580" w:rsidRDefault="00906580">
    <w:pPr>
      <w:pBdr>
        <w:top w:val="nil"/>
        <w:left w:val="nil"/>
        <w:bottom w:val="nil"/>
        <w:right w:val="nil"/>
        <w:between w:val="nil"/>
      </w:pBdr>
      <w:tabs>
        <w:tab w:val="center" w:pos="4252"/>
        <w:tab w:val="right" w:pos="8504"/>
      </w:tabs>
      <w:jc w:val="both"/>
      <w:rPr>
        <w:rFonts w:ascii="Arial" w:eastAsia="Arial" w:hAnsi="Arial" w:cs="Arial"/>
        <w:b/>
        <w:color w:val="000000"/>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95373"/>
    <w:multiLevelType w:val="multilevel"/>
    <w:tmpl w:val="3A00A2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5D3A90"/>
    <w:multiLevelType w:val="multilevel"/>
    <w:tmpl w:val="C4F2F8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A12990"/>
    <w:multiLevelType w:val="multilevel"/>
    <w:tmpl w:val="866C7434"/>
    <w:lvl w:ilvl="0">
      <w:start w:val="1"/>
      <w:numFmt w:val="bullet"/>
      <w:lvlText w:val="-"/>
      <w:lvlJc w:val="left"/>
      <w:pPr>
        <w:ind w:left="720" w:hanging="360"/>
      </w:pPr>
      <w:rPr>
        <w:rFonts w:ascii="Merriweather" w:eastAsia="Merriweather" w:hAnsi="Merriweather" w:cs="Merriweather"/>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AF5D64"/>
    <w:multiLevelType w:val="multilevel"/>
    <w:tmpl w:val="3B8491E8"/>
    <w:lvl w:ilvl="0">
      <w:start w:val="1"/>
      <w:numFmt w:val="bullet"/>
      <w:lvlText w:val="-"/>
      <w:lvlJc w:val="left"/>
      <w:pPr>
        <w:ind w:left="720" w:hanging="360"/>
      </w:pPr>
      <w:rPr>
        <w:rFonts w:ascii="Merriweather" w:eastAsia="Merriweather" w:hAnsi="Merriweather" w:cs="Merriweathe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308468D"/>
    <w:multiLevelType w:val="multilevel"/>
    <w:tmpl w:val="7F0C4D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5D428CD"/>
    <w:multiLevelType w:val="multilevel"/>
    <w:tmpl w:val="0B8C5748"/>
    <w:lvl w:ilvl="0">
      <w:start w:val="1"/>
      <w:numFmt w:val="bullet"/>
      <w:lvlText w:val="-"/>
      <w:lvlJc w:val="left"/>
      <w:pPr>
        <w:ind w:left="720" w:hanging="360"/>
      </w:pPr>
      <w:rPr>
        <w:rFonts w:ascii="Merriweather" w:eastAsia="Merriweather" w:hAnsi="Merriweather" w:cs="Merriweathe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AF7258A"/>
    <w:multiLevelType w:val="multilevel"/>
    <w:tmpl w:val="925EC93A"/>
    <w:lvl w:ilvl="0">
      <w:start w:val="1"/>
      <w:numFmt w:val="bullet"/>
      <w:lvlText w:val="-"/>
      <w:lvlJc w:val="left"/>
      <w:pPr>
        <w:ind w:left="720" w:hanging="360"/>
      </w:pPr>
      <w:rPr>
        <w:rFonts w:ascii="Merriweather" w:eastAsia="Merriweather" w:hAnsi="Merriweather" w:cs="Merriweather"/>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F802349"/>
    <w:multiLevelType w:val="multilevel"/>
    <w:tmpl w:val="A26232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0593ADA"/>
    <w:multiLevelType w:val="multilevel"/>
    <w:tmpl w:val="F176BD88"/>
    <w:lvl w:ilvl="0">
      <w:start w:val="1"/>
      <w:numFmt w:val="bullet"/>
      <w:lvlText w:val="-"/>
      <w:lvlJc w:val="left"/>
      <w:pPr>
        <w:ind w:left="720" w:hanging="360"/>
      </w:pPr>
      <w:rPr>
        <w:rFonts w:ascii="Merriweather" w:eastAsia="Merriweather" w:hAnsi="Merriweather" w:cs="Merriweather"/>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8811349"/>
    <w:multiLevelType w:val="multilevel"/>
    <w:tmpl w:val="2900577C"/>
    <w:lvl w:ilvl="0">
      <w:start w:val="1"/>
      <w:numFmt w:val="bullet"/>
      <w:lvlText w:val="-"/>
      <w:lvlJc w:val="left"/>
      <w:pPr>
        <w:ind w:left="720" w:hanging="360"/>
      </w:pPr>
      <w:rPr>
        <w:rFonts w:ascii="Merriweather" w:eastAsia="Merriweather" w:hAnsi="Merriweather" w:cs="Merriweathe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C57376A"/>
    <w:multiLevelType w:val="multilevel"/>
    <w:tmpl w:val="2D625C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F60057"/>
    <w:multiLevelType w:val="multilevel"/>
    <w:tmpl w:val="5294705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BC92327"/>
    <w:multiLevelType w:val="multilevel"/>
    <w:tmpl w:val="8A208432"/>
    <w:lvl w:ilvl="0">
      <w:start w:val="1"/>
      <w:numFmt w:val="bullet"/>
      <w:lvlText w:val="-"/>
      <w:lvlJc w:val="left"/>
      <w:pPr>
        <w:ind w:left="720" w:hanging="360"/>
      </w:pPr>
      <w:rPr>
        <w:rFonts w:ascii="Merriweather" w:eastAsia="Merriweather" w:hAnsi="Merriweather" w:cs="Merriweather"/>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BDA3FC5"/>
    <w:multiLevelType w:val="multilevel"/>
    <w:tmpl w:val="5260A1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DE106D2"/>
    <w:multiLevelType w:val="multilevel"/>
    <w:tmpl w:val="8F46039C"/>
    <w:lvl w:ilvl="0">
      <w:start w:val="1"/>
      <w:numFmt w:val="bullet"/>
      <w:lvlText w:val="-"/>
      <w:lvlJc w:val="left"/>
      <w:pPr>
        <w:ind w:left="720" w:hanging="360"/>
      </w:pPr>
      <w:rPr>
        <w:rFonts w:ascii="Merriweather" w:eastAsia="Merriweather" w:hAnsi="Merriweather" w:cs="Merriweather"/>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58A549C"/>
    <w:multiLevelType w:val="multilevel"/>
    <w:tmpl w:val="51208A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7176438"/>
    <w:multiLevelType w:val="multilevel"/>
    <w:tmpl w:val="E6EC6D00"/>
    <w:lvl w:ilvl="0">
      <w:start w:val="1"/>
      <w:numFmt w:val="bullet"/>
      <w:lvlText w:val="-"/>
      <w:lvlJc w:val="left"/>
      <w:pPr>
        <w:ind w:left="720" w:hanging="360"/>
      </w:pPr>
      <w:rPr>
        <w:rFonts w:ascii="Merriweather" w:eastAsia="Merriweather" w:hAnsi="Merriweather" w:cs="Merriweather"/>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C8B08E3"/>
    <w:multiLevelType w:val="multilevel"/>
    <w:tmpl w:val="145C6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553711C"/>
    <w:multiLevelType w:val="multilevel"/>
    <w:tmpl w:val="28440BB6"/>
    <w:lvl w:ilvl="0">
      <w:start w:val="1"/>
      <w:numFmt w:val="bullet"/>
      <w:lvlText w:val="-"/>
      <w:lvlJc w:val="left"/>
      <w:pPr>
        <w:ind w:left="720" w:hanging="360"/>
      </w:pPr>
      <w:rPr>
        <w:rFonts w:ascii="Merriweather" w:eastAsia="Merriweather" w:hAnsi="Merriweather" w:cs="Merriweathe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D3D0076"/>
    <w:multiLevelType w:val="multilevel"/>
    <w:tmpl w:val="9C82D156"/>
    <w:lvl w:ilvl="0">
      <w:start w:val="1"/>
      <w:numFmt w:val="bullet"/>
      <w:lvlText w:val="-"/>
      <w:lvlJc w:val="left"/>
      <w:pPr>
        <w:ind w:left="720" w:hanging="360"/>
      </w:pPr>
      <w:rPr>
        <w:rFonts w:ascii="Merriweather" w:eastAsia="Merriweather" w:hAnsi="Merriweather" w:cs="Merriweathe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FAC79C0"/>
    <w:multiLevelType w:val="multilevel"/>
    <w:tmpl w:val="A8AC4674"/>
    <w:lvl w:ilvl="0">
      <w:start w:val="1"/>
      <w:numFmt w:val="decimal"/>
      <w:lvlText w:val="%1."/>
      <w:lvlJc w:val="left"/>
      <w:pPr>
        <w:ind w:left="578" w:hanging="360"/>
      </w:p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num w:numId="1">
    <w:abstractNumId w:val="18"/>
  </w:num>
  <w:num w:numId="2">
    <w:abstractNumId w:val="5"/>
  </w:num>
  <w:num w:numId="3">
    <w:abstractNumId w:val="0"/>
  </w:num>
  <w:num w:numId="4">
    <w:abstractNumId w:val="10"/>
  </w:num>
  <w:num w:numId="5">
    <w:abstractNumId w:val="20"/>
  </w:num>
  <w:num w:numId="6">
    <w:abstractNumId w:val="1"/>
  </w:num>
  <w:num w:numId="7">
    <w:abstractNumId w:val="16"/>
  </w:num>
  <w:num w:numId="8">
    <w:abstractNumId w:val="13"/>
  </w:num>
  <w:num w:numId="9">
    <w:abstractNumId w:val="12"/>
  </w:num>
  <w:num w:numId="10">
    <w:abstractNumId w:val="17"/>
  </w:num>
  <w:num w:numId="11">
    <w:abstractNumId w:val="11"/>
  </w:num>
  <w:num w:numId="12">
    <w:abstractNumId w:val="15"/>
  </w:num>
  <w:num w:numId="13">
    <w:abstractNumId w:val="3"/>
  </w:num>
  <w:num w:numId="14">
    <w:abstractNumId w:val="4"/>
  </w:num>
  <w:num w:numId="15">
    <w:abstractNumId w:val="6"/>
  </w:num>
  <w:num w:numId="16">
    <w:abstractNumId w:val="7"/>
  </w:num>
  <w:num w:numId="17">
    <w:abstractNumId w:val="14"/>
  </w:num>
  <w:num w:numId="18">
    <w:abstractNumId w:val="2"/>
  </w:num>
  <w:num w:numId="19">
    <w:abstractNumId w:val="19"/>
  </w:num>
  <w:num w:numId="20">
    <w:abstractNumId w:val="9"/>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580"/>
    <w:rsid w:val="000120AF"/>
    <w:rsid w:val="00016566"/>
    <w:rsid w:val="0002391A"/>
    <w:rsid w:val="0003130A"/>
    <w:rsid w:val="00053126"/>
    <w:rsid w:val="00065E40"/>
    <w:rsid w:val="00087CBD"/>
    <w:rsid w:val="000E24A7"/>
    <w:rsid w:val="000F3FD9"/>
    <w:rsid w:val="000F4BA6"/>
    <w:rsid w:val="00106D4D"/>
    <w:rsid w:val="001358F1"/>
    <w:rsid w:val="001519CE"/>
    <w:rsid w:val="00155CA3"/>
    <w:rsid w:val="001A09E8"/>
    <w:rsid w:val="001C3E01"/>
    <w:rsid w:val="001D38CC"/>
    <w:rsid w:val="00204B48"/>
    <w:rsid w:val="00211D28"/>
    <w:rsid w:val="00232C5F"/>
    <w:rsid w:val="00242756"/>
    <w:rsid w:val="00243539"/>
    <w:rsid w:val="002761A4"/>
    <w:rsid w:val="002933DD"/>
    <w:rsid w:val="002A1527"/>
    <w:rsid w:val="002B0D08"/>
    <w:rsid w:val="002B7220"/>
    <w:rsid w:val="002C734F"/>
    <w:rsid w:val="002D0BC6"/>
    <w:rsid w:val="002F698F"/>
    <w:rsid w:val="003320B0"/>
    <w:rsid w:val="00343957"/>
    <w:rsid w:val="00353DD8"/>
    <w:rsid w:val="00363A35"/>
    <w:rsid w:val="00364F22"/>
    <w:rsid w:val="003B0D54"/>
    <w:rsid w:val="003B506A"/>
    <w:rsid w:val="00417A5B"/>
    <w:rsid w:val="00430CA5"/>
    <w:rsid w:val="0044576A"/>
    <w:rsid w:val="00461374"/>
    <w:rsid w:val="004625B1"/>
    <w:rsid w:val="00473927"/>
    <w:rsid w:val="00477184"/>
    <w:rsid w:val="004A2ABB"/>
    <w:rsid w:val="004C58AA"/>
    <w:rsid w:val="004F4DF6"/>
    <w:rsid w:val="005025A4"/>
    <w:rsid w:val="0052442B"/>
    <w:rsid w:val="005351ED"/>
    <w:rsid w:val="00537FE8"/>
    <w:rsid w:val="00545120"/>
    <w:rsid w:val="005626D0"/>
    <w:rsid w:val="00602FAC"/>
    <w:rsid w:val="00607674"/>
    <w:rsid w:val="00634C71"/>
    <w:rsid w:val="0063712B"/>
    <w:rsid w:val="00655455"/>
    <w:rsid w:val="0067432B"/>
    <w:rsid w:val="00677432"/>
    <w:rsid w:val="006802C5"/>
    <w:rsid w:val="006822EC"/>
    <w:rsid w:val="00683756"/>
    <w:rsid w:val="006A2F05"/>
    <w:rsid w:val="006B6CFD"/>
    <w:rsid w:val="006D0B5F"/>
    <w:rsid w:val="006F17CB"/>
    <w:rsid w:val="006F3422"/>
    <w:rsid w:val="00700045"/>
    <w:rsid w:val="00723E7E"/>
    <w:rsid w:val="00734896"/>
    <w:rsid w:val="00740C59"/>
    <w:rsid w:val="00741A08"/>
    <w:rsid w:val="00742970"/>
    <w:rsid w:val="00743167"/>
    <w:rsid w:val="00763A2C"/>
    <w:rsid w:val="007A2D50"/>
    <w:rsid w:val="007B6A4D"/>
    <w:rsid w:val="007E1C27"/>
    <w:rsid w:val="007E5AD6"/>
    <w:rsid w:val="007E625B"/>
    <w:rsid w:val="00812B6B"/>
    <w:rsid w:val="00817D19"/>
    <w:rsid w:val="00831AF7"/>
    <w:rsid w:val="00842D9A"/>
    <w:rsid w:val="0084677D"/>
    <w:rsid w:val="00855653"/>
    <w:rsid w:val="008648B3"/>
    <w:rsid w:val="00865DB0"/>
    <w:rsid w:val="00881804"/>
    <w:rsid w:val="00882D28"/>
    <w:rsid w:val="00895A82"/>
    <w:rsid w:val="008A605E"/>
    <w:rsid w:val="008B3C64"/>
    <w:rsid w:val="008C125D"/>
    <w:rsid w:val="008E513C"/>
    <w:rsid w:val="00906580"/>
    <w:rsid w:val="009823FE"/>
    <w:rsid w:val="009B5D74"/>
    <w:rsid w:val="009C5895"/>
    <w:rsid w:val="00A13DEE"/>
    <w:rsid w:val="00A224F7"/>
    <w:rsid w:val="00A272E8"/>
    <w:rsid w:val="00A64C6B"/>
    <w:rsid w:val="00A73867"/>
    <w:rsid w:val="00A7707D"/>
    <w:rsid w:val="00A81618"/>
    <w:rsid w:val="00A91747"/>
    <w:rsid w:val="00A92BF2"/>
    <w:rsid w:val="00A97C5A"/>
    <w:rsid w:val="00AC4161"/>
    <w:rsid w:val="00AD21D2"/>
    <w:rsid w:val="00AF3225"/>
    <w:rsid w:val="00B10D42"/>
    <w:rsid w:val="00B363BC"/>
    <w:rsid w:val="00B6216C"/>
    <w:rsid w:val="00B75972"/>
    <w:rsid w:val="00B87456"/>
    <w:rsid w:val="00BA04D3"/>
    <w:rsid w:val="00BA4E46"/>
    <w:rsid w:val="00BB7589"/>
    <w:rsid w:val="00BC4479"/>
    <w:rsid w:val="00BE6EA7"/>
    <w:rsid w:val="00C35BAB"/>
    <w:rsid w:val="00C41F40"/>
    <w:rsid w:val="00C47AE3"/>
    <w:rsid w:val="00C503DE"/>
    <w:rsid w:val="00C54081"/>
    <w:rsid w:val="00C61D3D"/>
    <w:rsid w:val="00C72FEB"/>
    <w:rsid w:val="00C73C23"/>
    <w:rsid w:val="00CB0BB9"/>
    <w:rsid w:val="00CB6F03"/>
    <w:rsid w:val="00CF1747"/>
    <w:rsid w:val="00CF2E3F"/>
    <w:rsid w:val="00CF358C"/>
    <w:rsid w:val="00CF3A03"/>
    <w:rsid w:val="00D02FC6"/>
    <w:rsid w:val="00D04F4B"/>
    <w:rsid w:val="00D3264D"/>
    <w:rsid w:val="00D43C60"/>
    <w:rsid w:val="00D4624B"/>
    <w:rsid w:val="00D471F7"/>
    <w:rsid w:val="00D47779"/>
    <w:rsid w:val="00D71DE5"/>
    <w:rsid w:val="00D733A5"/>
    <w:rsid w:val="00DE63D0"/>
    <w:rsid w:val="00E01639"/>
    <w:rsid w:val="00E04CAC"/>
    <w:rsid w:val="00E43078"/>
    <w:rsid w:val="00E61694"/>
    <w:rsid w:val="00E63FA4"/>
    <w:rsid w:val="00E86C3C"/>
    <w:rsid w:val="00EB0E74"/>
    <w:rsid w:val="00EB5CEA"/>
    <w:rsid w:val="00EC2ACE"/>
    <w:rsid w:val="00F14769"/>
    <w:rsid w:val="00F17A48"/>
    <w:rsid w:val="00F72FF8"/>
    <w:rsid w:val="00F87AF6"/>
    <w:rsid w:val="00FA4153"/>
    <w:rsid w:val="00FA584D"/>
    <w:rsid w:val="00FD1153"/>
    <w:rsid w:val="00FE064E"/>
    <w:rsid w:val="00FF533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35DCA9"/>
  <w15:docId w15:val="{9BEBF297-8EFE-4954-BDAA-EF9EE299E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50EB"/>
    <w:pPr>
      <w:overflowPunct w:val="0"/>
      <w:autoSpaceDE w:val="0"/>
      <w:autoSpaceDN w:val="0"/>
      <w:adjustRightInd w:val="0"/>
      <w:textAlignment w:val="baseline"/>
    </w:pPr>
    <w:rPr>
      <w:lang w:val="es-ES_tradnl" w:eastAsia="es-ES"/>
    </w:rPr>
  </w:style>
  <w:style w:type="paragraph" w:styleId="Ttulo1">
    <w:name w:val="heading 1"/>
    <w:basedOn w:val="Normal"/>
    <w:next w:val="Normal"/>
    <w:link w:val="Ttulo1Car"/>
    <w:uiPriority w:val="9"/>
    <w:qFormat/>
    <w:rsid w:val="00AD0B0A"/>
    <w:pPr>
      <w:keepNext/>
      <w:suppressAutoHyphens/>
      <w:autoSpaceDN/>
      <w:adjustRightInd/>
      <w:spacing w:line="480" w:lineRule="auto"/>
      <w:jc w:val="center"/>
      <w:outlineLvl w:val="0"/>
    </w:pPr>
    <w:rPr>
      <w:rFonts w:ascii="Arial" w:hAnsi="Arial"/>
      <w:b/>
      <w:sz w:val="24"/>
      <w:lang w:eastAsia="ar-SA"/>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rsid w:val="00E07CCB"/>
    <w:pPr>
      <w:tabs>
        <w:tab w:val="center" w:pos="4252"/>
        <w:tab w:val="right" w:pos="8504"/>
      </w:tabs>
    </w:pPr>
  </w:style>
  <w:style w:type="paragraph" w:styleId="Piedepgina">
    <w:name w:val="footer"/>
    <w:basedOn w:val="Normal"/>
    <w:link w:val="PiedepginaCar"/>
    <w:uiPriority w:val="99"/>
    <w:rsid w:val="00E07CCB"/>
    <w:pPr>
      <w:tabs>
        <w:tab w:val="center" w:pos="4252"/>
        <w:tab w:val="right" w:pos="8504"/>
      </w:tabs>
    </w:pPr>
  </w:style>
  <w:style w:type="character" w:styleId="Nmerodepgina">
    <w:name w:val="page number"/>
    <w:basedOn w:val="Fuentedeprrafopredeter"/>
    <w:rsid w:val="00E07CCB"/>
  </w:style>
  <w:style w:type="paragraph" w:customStyle="1" w:styleId="CarCarCarCarCarCarCarCarCarCarCar">
    <w:name w:val="Car Car Car Car Car Car Car Car Car Car Car"/>
    <w:basedOn w:val="Normal"/>
    <w:rsid w:val="00E07CCB"/>
    <w:pPr>
      <w:overflowPunct/>
      <w:autoSpaceDE/>
      <w:autoSpaceDN/>
      <w:adjustRightInd/>
      <w:spacing w:after="160" w:line="240" w:lineRule="exact"/>
      <w:textAlignment w:val="auto"/>
    </w:pPr>
    <w:rPr>
      <w:rFonts w:ascii="Verdana" w:hAnsi="Verdana"/>
      <w:lang w:val="en-US" w:eastAsia="en-US"/>
    </w:rPr>
  </w:style>
  <w:style w:type="paragraph" w:styleId="Textodeglobo">
    <w:name w:val="Balloon Text"/>
    <w:basedOn w:val="Normal"/>
    <w:semiHidden/>
    <w:rsid w:val="00650944"/>
    <w:rPr>
      <w:rFonts w:ascii="Tahoma" w:hAnsi="Tahoma" w:cs="Tahoma"/>
      <w:sz w:val="16"/>
      <w:szCs w:val="16"/>
    </w:rPr>
  </w:style>
  <w:style w:type="paragraph" w:customStyle="1" w:styleId="CarCarCarCarCar">
    <w:name w:val="Car Car Car Car Car"/>
    <w:basedOn w:val="Normal"/>
    <w:rsid w:val="005E635A"/>
    <w:pPr>
      <w:suppressAutoHyphens/>
      <w:overflowPunct/>
      <w:autoSpaceDE/>
      <w:adjustRightInd/>
      <w:spacing w:after="160" w:line="240" w:lineRule="exact"/>
      <w:textAlignment w:val="auto"/>
    </w:pPr>
    <w:rPr>
      <w:rFonts w:ascii="Verdana" w:hAnsi="Verdana" w:cs="Verdana"/>
      <w:lang w:val="en-US" w:eastAsia="en-US"/>
    </w:rPr>
  </w:style>
  <w:style w:type="character" w:customStyle="1" w:styleId="EncabezadoCar">
    <w:name w:val="Encabezado Car"/>
    <w:link w:val="Encabezado"/>
    <w:uiPriority w:val="99"/>
    <w:rsid w:val="00AE4069"/>
    <w:rPr>
      <w:lang w:val="es-ES_tradnl" w:eastAsia="es-ES"/>
    </w:rPr>
  </w:style>
  <w:style w:type="character" w:styleId="Hipervnculo">
    <w:name w:val="Hyperlink"/>
    <w:rsid w:val="007B7CDD"/>
    <w:rPr>
      <w:color w:val="000080"/>
      <w:u w:val="single"/>
    </w:rPr>
  </w:style>
  <w:style w:type="paragraph" w:styleId="NormalWeb">
    <w:name w:val="Normal (Web)"/>
    <w:basedOn w:val="Normal"/>
    <w:uiPriority w:val="99"/>
    <w:unhideWhenUsed/>
    <w:rsid w:val="0078305E"/>
    <w:pPr>
      <w:overflowPunct/>
      <w:autoSpaceDE/>
      <w:autoSpaceDN/>
      <w:adjustRightInd/>
      <w:spacing w:before="100" w:beforeAutospacing="1" w:after="100" w:afterAutospacing="1"/>
      <w:textAlignment w:val="auto"/>
    </w:pPr>
    <w:rPr>
      <w:sz w:val="24"/>
      <w:szCs w:val="24"/>
      <w:lang w:val="es-CO" w:eastAsia="es-CO"/>
    </w:rPr>
  </w:style>
  <w:style w:type="character" w:styleId="Nmerodelnea">
    <w:name w:val="line number"/>
    <w:basedOn w:val="Fuentedeprrafopredeter"/>
    <w:rsid w:val="00D30899"/>
  </w:style>
  <w:style w:type="character" w:customStyle="1" w:styleId="PiedepginaCar">
    <w:name w:val="Pie de página Car"/>
    <w:link w:val="Piedepgina"/>
    <w:uiPriority w:val="99"/>
    <w:rsid w:val="006B0ADF"/>
    <w:rPr>
      <w:lang w:val="es-ES_tradnl" w:eastAsia="es-ES"/>
    </w:rPr>
  </w:style>
  <w:style w:type="character" w:customStyle="1" w:styleId="apple-style-span">
    <w:name w:val="apple-style-span"/>
    <w:basedOn w:val="Fuentedeprrafopredeter"/>
    <w:rsid w:val="00B60B62"/>
  </w:style>
  <w:style w:type="paragraph" w:styleId="Textonotapie">
    <w:name w:val="footnote text"/>
    <w:basedOn w:val="Normal"/>
    <w:link w:val="TextonotapieCar"/>
    <w:rsid w:val="00546664"/>
    <w:pPr>
      <w:overflowPunct/>
      <w:autoSpaceDE/>
      <w:autoSpaceDN/>
      <w:adjustRightInd/>
      <w:jc w:val="both"/>
      <w:textAlignment w:val="auto"/>
    </w:pPr>
    <w:rPr>
      <w:rFonts w:ascii="Arial" w:hAnsi="Arial"/>
      <w:lang w:val="x-none"/>
    </w:rPr>
  </w:style>
  <w:style w:type="character" w:customStyle="1" w:styleId="TextonotapieCar">
    <w:name w:val="Texto nota pie Car"/>
    <w:link w:val="Textonotapie"/>
    <w:rsid w:val="00546664"/>
    <w:rPr>
      <w:rFonts w:ascii="Arial" w:hAnsi="Arial"/>
      <w:lang w:val="x-none" w:eastAsia="es-ES"/>
    </w:rPr>
  </w:style>
  <w:style w:type="character" w:styleId="Refdenotaalpie">
    <w:name w:val="footnote reference"/>
    <w:rsid w:val="00546664"/>
    <w:rPr>
      <w:vertAlign w:val="superscript"/>
    </w:rPr>
  </w:style>
  <w:style w:type="paragraph" w:styleId="Prrafodelista">
    <w:name w:val="List Paragraph"/>
    <w:basedOn w:val="Normal"/>
    <w:uiPriority w:val="34"/>
    <w:qFormat/>
    <w:rsid w:val="00546664"/>
    <w:pPr>
      <w:overflowPunct/>
      <w:autoSpaceDE/>
      <w:autoSpaceDN/>
      <w:adjustRightInd/>
      <w:ind w:left="720"/>
      <w:contextualSpacing/>
      <w:jc w:val="both"/>
      <w:textAlignment w:val="auto"/>
    </w:pPr>
    <w:rPr>
      <w:rFonts w:ascii="Arial" w:hAnsi="Arial"/>
      <w:sz w:val="22"/>
      <w:lang w:val="es-ES"/>
    </w:rPr>
  </w:style>
  <w:style w:type="paragraph" w:styleId="Sinespaciado">
    <w:name w:val="No Spacing"/>
    <w:uiPriority w:val="1"/>
    <w:qFormat/>
    <w:rsid w:val="00546664"/>
    <w:pPr>
      <w:jc w:val="both"/>
    </w:pPr>
    <w:rPr>
      <w:rFonts w:ascii="Arial" w:hAnsi="Arial"/>
      <w:sz w:val="22"/>
      <w:lang w:val="es-ES" w:eastAsia="es-ES"/>
    </w:rPr>
  </w:style>
  <w:style w:type="paragraph" w:styleId="Subttulo">
    <w:name w:val="Subtitle"/>
    <w:basedOn w:val="Normal"/>
    <w:next w:val="Normal"/>
    <w:link w:val="SubttuloCar"/>
    <w:uiPriority w:val="11"/>
    <w:qFormat/>
    <w:pPr>
      <w:spacing w:after="60"/>
      <w:jc w:val="center"/>
    </w:pPr>
    <w:rPr>
      <w:rFonts w:ascii="Cambria" w:eastAsia="Cambria" w:hAnsi="Cambria" w:cs="Cambria"/>
      <w:sz w:val="24"/>
      <w:szCs w:val="24"/>
    </w:rPr>
  </w:style>
  <w:style w:type="character" w:customStyle="1" w:styleId="SubttuloCar">
    <w:name w:val="Subtítulo Car"/>
    <w:link w:val="Subttulo"/>
    <w:uiPriority w:val="11"/>
    <w:rsid w:val="007A7139"/>
    <w:rPr>
      <w:rFonts w:ascii="Cambria" w:eastAsia="Times New Roman" w:hAnsi="Cambria" w:cs="Times New Roman"/>
      <w:sz w:val="24"/>
      <w:szCs w:val="24"/>
      <w:lang w:val="es-ES_tradnl" w:eastAsia="es-ES"/>
    </w:rPr>
  </w:style>
  <w:style w:type="character" w:styleId="Textoennegrita">
    <w:name w:val="Strong"/>
    <w:qFormat/>
    <w:rsid w:val="007A7139"/>
    <w:rPr>
      <w:b/>
      <w:bCs/>
    </w:rPr>
  </w:style>
  <w:style w:type="character" w:styleId="nfasis">
    <w:name w:val="Emphasis"/>
    <w:qFormat/>
    <w:rsid w:val="007A7139"/>
    <w:rPr>
      <w:i/>
      <w:iCs/>
    </w:rPr>
  </w:style>
  <w:style w:type="table" w:styleId="Tablaconcuadrcula">
    <w:name w:val="Table Grid"/>
    <w:basedOn w:val="Tablanormal"/>
    <w:rsid w:val="008E2C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4672A4"/>
    <w:rPr>
      <w:rFonts w:ascii="Arial" w:hAnsi="Arial"/>
      <w:b/>
      <w:sz w:val="24"/>
      <w:lang w:val="es-ES_tradnl" w:eastAsia="ar-SA"/>
    </w:rPr>
  </w:style>
  <w:style w:type="table" w:customStyle="1" w:styleId="a">
    <w:basedOn w:val="TableNormal"/>
    <w:tblPr>
      <w:tblStyleRowBandSize w:val="1"/>
      <w:tblStyleColBandSize w:val="1"/>
      <w:tblCellMar>
        <w:left w:w="108" w:type="dxa"/>
        <w:right w:w="108" w:type="dxa"/>
      </w:tblCellMar>
    </w:tblPr>
  </w:style>
  <w:style w:type="table" w:customStyle="1" w:styleId="Tablaconcuadrcula1">
    <w:name w:val="Tabla con cuadrícula1"/>
    <w:basedOn w:val="Tablanormal"/>
    <w:next w:val="Tablaconcuadrcula"/>
    <w:uiPriority w:val="39"/>
    <w:rsid w:val="006B6CFD"/>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E43078"/>
    <w:rPr>
      <w:color w:val="605E5C"/>
      <w:shd w:val="clear" w:color="auto" w:fill="E1DFDD"/>
    </w:rPr>
  </w:style>
  <w:style w:type="character" w:customStyle="1" w:styleId="UnresolvedMention">
    <w:name w:val="Unresolved Mention"/>
    <w:basedOn w:val="Fuentedeprrafopredeter"/>
    <w:uiPriority w:val="99"/>
    <w:semiHidden/>
    <w:unhideWhenUsed/>
    <w:rsid w:val="00364F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090047">
      <w:bodyDiv w:val="1"/>
      <w:marLeft w:val="0"/>
      <w:marRight w:val="0"/>
      <w:marTop w:val="0"/>
      <w:marBottom w:val="0"/>
      <w:divBdr>
        <w:top w:val="none" w:sz="0" w:space="0" w:color="auto"/>
        <w:left w:val="none" w:sz="0" w:space="0" w:color="auto"/>
        <w:bottom w:val="none" w:sz="0" w:space="0" w:color="auto"/>
        <w:right w:val="none" w:sz="0" w:space="0" w:color="auto"/>
      </w:divBdr>
      <w:divsChild>
        <w:div w:id="1049455909">
          <w:marLeft w:val="0"/>
          <w:marRight w:val="0"/>
          <w:marTop w:val="0"/>
          <w:marBottom w:val="0"/>
          <w:divBdr>
            <w:top w:val="none" w:sz="0" w:space="0" w:color="auto"/>
            <w:left w:val="none" w:sz="0" w:space="0" w:color="auto"/>
            <w:bottom w:val="none" w:sz="0" w:space="0" w:color="auto"/>
            <w:right w:val="none" w:sz="0" w:space="0" w:color="auto"/>
          </w:divBdr>
        </w:div>
        <w:div w:id="1025211597">
          <w:marLeft w:val="0"/>
          <w:marRight w:val="0"/>
          <w:marTop w:val="0"/>
          <w:marBottom w:val="0"/>
          <w:divBdr>
            <w:top w:val="none" w:sz="0" w:space="0" w:color="auto"/>
            <w:left w:val="none" w:sz="0" w:space="0" w:color="auto"/>
            <w:bottom w:val="none" w:sz="0" w:space="0" w:color="auto"/>
            <w:right w:val="none" w:sz="0" w:space="0" w:color="auto"/>
          </w:divBdr>
        </w:div>
        <w:div w:id="1634167806">
          <w:marLeft w:val="0"/>
          <w:marRight w:val="0"/>
          <w:marTop w:val="0"/>
          <w:marBottom w:val="0"/>
          <w:divBdr>
            <w:top w:val="none" w:sz="0" w:space="0" w:color="auto"/>
            <w:left w:val="none" w:sz="0" w:space="0" w:color="auto"/>
            <w:bottom w:val="none" w:sz="0" w:space="0" w:color="auto"/>
            <w:right w:val="none" w:sz="0" w:space="0" w:color="auto"/>
          </w:divBdr>
        </w:div>
        <w:div w:id="425150534">
          <w:marLeft w:val="0"/>
          <w:marRight w:val="0"/>
          <w:marTop w:val="0"/>
          <w:marBottom w:val="0"/>
          <w:divBdr>
            <w:top w:val="none" w:sz="0" w:space="0" w:color="auto"/>
            <w:left w:val="none" w:sz="0" w:space="0" w:color="auto"/>
            <w:bottom w:val="none" w:sz="0" w:space="0" w:color="auto"/>
            <w:right w:val="none" w:sz="0" w:space="0" w:color="auto"/>
          </w:divBdr>
        </w:div>
        <w:div w:id="1310093290">
          <w:marLeft w:val="0"/>
          <w:marRight w:val="0"/>
          <w:marTop w:val="0"/>
          <w:marBottom w:val="0"/>
          <w:divBdr>
            <w:top w:val="none" w:sz="0" w:space="0" w:color="auto"/>
            <w:left w:val="none" w:sz="0" w:space="0" w:color="auto"/>
            <w:bottom w:val="none" w:sz="0" w:space="0" w:color="auto"/>
            <w:right w:val="none" w:sz="0" w:space="0" w:color="auto"/>
          </w:divBdr>
        </w:div>
        <w:div w:id="182087612">
          <w:marLeft w:val="0"/>
          <w:marRight w:val="0"/>
          <w:marTop w:val="0"/>
          <w:marBottom w:val="0"/>
          <w:divBdr>
            <w:top w:val="none" w:sz="0" w:space="0" w:color="auto"/>
            <w:left w:val="none" w:sz="0" w:space="0" w:color="auto"/>
            <w:bottom w:val="none" w:sz="0" w:space="0" w:color="auto"/>
            <w:right w:val="none" w:sz="0" w:space="0" w:color="auto"/>
          </w:divBdr>
        </w:div>
        <w:div w:id="100258564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idpc.gov.co/old/que-es-la-mesa-de-consejeros-locales-de-patrimonio-cultural/" TargetMode="External"/><Relationship Id="rId26" Type="http://schemas.openxmlformats.org/officeDocument/2006/relationships/hyperlink" Target="https://idpc.gov.co/old/archivos-pdf/Acta%20No.%2007%20del%203%20de%20diciembre%20de%202015%20%28sesi%C3%B3n%20extraordinaria%29.pdf" TargetMode="External"/><Relationship Id="rId39" Type="http://schemas.openxmlformats.org/officeDocument/2006/relationships/hyperlink" Target="https://idpc.gov.co/10-4-esquema-de-publicacion-de-informacion/" TargetMode="External"/><Relationship Id="rId21" Type="http://schemas.openxmlformats.org/officeDocument/2006/relationships/hyperlink" Target="https://idpc.gov.co/old/archivos-pdf/Acta%20No.%2002%20del%209%20de%20julio%20de%202015.pdf" TargetMode="External"/><Relationship Id="rId34" Type="http://schemas.openxmlformats.org/officeDocument/2006/relationships/image" Target="media/image10.png"/><Relationship Id="rId42" Type="http://schemas.openxmlformats.org/officeDocument/2006/relationships/hyperlink" Target="https://idpc.gov.co/Transparencia/Resolucion%20372_2018.pdf" TargetMode="External"/><Relationship Id="rId47" Type="http://schemas.openxmlformats.org/officeDocument/2006/relationships/image" Target="media/image16.png"/><Relationship Id="rId50" Type="http://schemas.openxmlformats.org/officeDocument/2006/relationships/image" Target="media/image18.png"/><Relationship Id="rId55" Type="http://schemas.openxmlformats.org/officeDocument/2006/relationships/hyperlink" Target="https://idpc.gov.co/Transparencia/Resolucion%20372_2018.pdf"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idpc.gov.co/Transparencia/toma%20de%20decisiones/Acuerdo%20N.005%20de%20Nov%2011-2021.pdf" TargetMode="External"/><Relationship Id="rId11" Type="http://schemas.openxmlformats.org/officeDocument/2006/relationships/image" Target="media/image2.png"/><Relationship Id="rId24" Type="http://schemas.openxmlformats.org/officeDocument/2006/relationships/hyperlink" Target="https://idpc.gov.co/old/archivos-pdf/Acta%20No.%2005%20del%2019%20de%20noviembre%20de%202015%20%28sesi%C3%B3n%20extraordinaria%29.pdf" TargetMode="External"/><Relationship Id="rId32" Type="http://schemas.openxmlformats.org/officeDocument/2006/relationships/image" Target="media/image8.png"/><Relationship Id="rId37" Type="http://schemas.openxmlformats.org/officeDocument/2006/relationships/hyperlink" Target="https://idpc.gov.co/10-2-registro-de-activos-de-informacion/" TargetMode="External"/><Relationship Id="rId40" Type="http://schemas.openxmlformats.org/officeDocument/2006/relationships/hyperlink" Target="https://idpc.gov.co/10-5-programa-de-gestion-documental/" TargetMode="External"/><Relationship Id="rId45" Type="http://schemas.openxmlformats.org/officeDocument/2006/relationships/image" Target="media/image15.png"/><Relationship Id="rId53" Type="http://schemas.openxmlformats.org/officeDocument/2006/relationships/hyperlink" Target="https://idpc.gov.co/Transparencia/Resolucion%20860%20de%202017%20de%20TRD%20y%20TVD.pdf" TargetMode="External"/><Relationship Id="rId58" Type="http://schemas.openxmlformats.org/officeDocument/2006/relationships/image" Target="media/image22.png"/><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hyperlink" Target="https://idpc.gov.co/old/archivos-pdf/Acta%20No.%2001%20del%207%20de%20mayo%20de%202015.pdf" TargetMode="External"/><Relationship Id="rId14" Type="http://schemas.openxmlformats.org/officeDocument/2006/relationships/image" Target="media/image5.png"/><Relationship Id="rId22" Type="http://schemas.openxmlformats.org/officeDocument/2006/relationships/hyperlink" Target="https://idpc.gov.co/old/archivos-pdf/Acta%20No.%2003%20del%2015%20de%20octubre%20de%202015.pdf" TargetMode="External"/><Relationship Id="rId27" Type="http://schemas.openxmlformats.org/officeDocument/2006/relationships/hyperlink" Target="https://idpc.gov.co/old/archivos-pdf/Acta%20No.%2008%20del%2015%20de%20diciembre%20de%202015.pdf" TargetMode="External"/><Relationship Id="rId30" Type="http://schemas.openxmlformats.org/officeDocument/2006/relationships/hyperlink" Target="https://www.idpc.gov.co/Transparencia/toma%20de%20decisiones/Acuerdo%20N.%20004%20de%20Nov%2011-2021.pdf" TargetMode="External"/><Relationship Id="rId35" Type="http://schemas.openxmlformats.org/officeDocument/2006/relationships/image" Target="media/image11.png"/><Relationship Id="rId43" Type="http://schemas.openxmlformats.org/officeDocument/2006/relationships/image" Target="media/image13.png"/><Relationship Id="rId48" Type="http://schemas.openxmlformats.org/officeDocument/2006/relationships/image" Target="media/image17.png"/><Relationship Id="rId56" Type="http://schemas.openxmlformats.org/officeDocument/2006/relationships/image" Target="media/image21.png"/><Relationship Id="rId64" Type="http://schemas.openxmlformats.org/officeDocument/2006/relationships/theme" Target="theme/theme1.xml"/><Relationship Id="rId8" Type="http://schemas.openxmlformats.org/officeDocument/2006/relationships/hyperlink" Target="https://www.gov.co" TargetMode="External"/><Relationship Id="rId51" Type="http://schemas.openxmlformats.org/officeDocument/2006/relationships/hyperlink" Target="https://idpc.gov.co/10-5-programa-de-gestion-documental"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idpc.gov.co/old/Transparencia/PLAN%20DE%20ACCI%C3%93N%20DE%20ATENCI%C3%93N%20A%20LA%20CIUDADAN%C3%8DA%202018_AVANCE%20A%20DIC2018_PUBLICACI%C3%93N.xlsx" TargetMode="External"/><Relationship Id="rId25" Type="http://schemas.openxmlformats.org/officeDocument/2006/relationships/hyperlink" Target="https://idpc.gov.co/old/archivos-pdf/Acta%20No.%2006%20del%2029%20de%20noviembre%20de%202015%20%28sesi%C3%B3n%20extraordinaria%29.pdf" TargetMode="External"/><Relationship Id="rId33" Type="http://schemas.openxmlformats.org/officeDocument/2006/relationships/image" Target="media/image9.png"/><Relationship Id="rId38" Type="http://schemas.openxmlformats.org/officeDocument/2006/relationships/hyperlink" Target="https://idpc.gov.co/indice-de-informacion-clasificada-y-reservada/" TargetMode="External"/><Relationship Id="rId46" Type="http://schemas.openxmlformats.org/officeDocument/2006/relationships/hyperlink" Target="https://idpc.gov.co/Transparencia/03%20Resoluci%C3%B3n%20805%20de%202018%20Indice%20Informacion%20Clasificada%20Reservada%20V2.pdf" TargetMode="External"/><Relationship Id="rId59" Type="http://schemas.openxmlformats.org/officeDocument/2006/relationships/image" Target="media/image23.png"/><Relationship Id="rId20" Type="http://schemas.openxmlformats.org/officeDocument/2006/relationships/hyperlink" Target="https://idpc.gov.co/old/archivos-pdf/Acta%20del%2018%20de%20junio%20de%202015%20%28sesi%C3%B3n%20extraordinaria%29.pdf" TargetMode="External"/><Relationship Id="rId41" Type="http://schemas.openxmlformats.org/officeDocument/2006/relationships/hyperlink" Target="https://idpc.gov.co/10-6-tablas-de-retencion-documental-y-tabla-de-valoracion-documental/" TargetMode="External"/><Relationship Id="rId54" Type="http://schemas.openxmlformats.org/officeDocument/2006/relationships/image" Target="media/image20.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dpc.gov.co/planes-y-lineamientos-de-participacion-ciudadana" TargetMode="External"/><Relationship Id="rId23" Type="http://schemas.openxmlformats.org/officeDocument/2006/relationships/hyperlink" Target="https://idpc.gov.co/old/archivos-pdf/Acta%20No.%2004%20del%2029%20de%20octubre%20de%202015.pdf" TargetMode="External"/><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hyperlink" Target="https://idpc.gov.co/Transparencia/01%20Resoluci%C3%B3n%20804%20de%202018%20Esquema%20de%20Publicacion%20V2.pdf" TargetMode="External"/><Relationship Id="rId57" Type="http://schemas.openxmlformats.org/officeDocument/2006/relationships/hyperlink" Target="http://www.datos.gov.co" TargetMode="External"/><Relationship Id="rId10" Type="http://schemas.openxmlformats.org/officeDocument/2006/relationships/hyperlink" Target="https://www.gov.co/" TargetMode="External"/><Relationship Id="rId31" Type="http://schemas.openxmlformats.org/officeDocument/2006/relationships/hyperlink" Target="https://idpc.gov.co/Transparencia/Jur%C3%ADdica/2022/mayo/Manual%20de%20Contratacion%20%28version%20busqueda%29.pdf" TargetMode="External"/><Relationship Id="rId44" Type="http://schemas.openxmlformats.org/officeDocument/2006/relationships/image" Target="media/image14.png"/><Relationship Id="rId52" Type="http://schemas.openxmlformats.org/officeDocument/2006/relationships/image" Target="media/image19.png"/><Relationship Id="rId60" Type="http://schemas.openxmlformats.org/officeDocument/2006/relationships/hyperlink" Target="http://mapas.bogota.gov.co/" TargetMode="External"/><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M6RMvk/Eg5FfhYwSzVzxwrgjA==">AMUW2mUPJxXylyMXEqqXIERyt0c5RNQUZrn0KPxqa9wrUq/C+5Qn3qPrDT1+PancuM4R/E/7yGNeqJycv5gC0HDdezKICfTuhHYe9vgE9kCwDKdk8IeqjpE=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6825</Words>
  <Characters>37539</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juridica4</dc:creator>
  <cp:lastModifiedBy>Eleana Marcela Paez Urrego</cp:lastModifiedBy>
  <cp:revision>2</cp:revision>
  <dcterms:created xsi:type="dcterms:W3CDTF">2022-09-30T17:28:00Z</dcterms:created>
  <dcterms:modified xsi:type="dcterms:W3CDTF">2022-09-30T17:28:00Z</dcterms:modified>
</cp:coreProperties>
</file>