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A3343" w14:textId="77777777" w:rsidR="00906580" w:rsidRDefault="00743167" w:rsidP="00634C71">
      <w:pPr>
        <w:pStyle w:val="Ttulo1"/>
        <w:spacing w:before="240" w:line="240" w:lineRule="auto"/>
        <w:ind w:left="-142" w:right="-234"/>
        <w:jc w:val="both"/>
        <w:rPr>
          <w:color w:val="002060"/>
        </w:rPr>
      </w:pPr>
      <w:bookmarkStart w:id="0" w:name="_GoBack"/>
      <w:bookmarkEnd w:id="0"/>
      <w:r>
        <w:rPr>
          <w:color w:val="002060"/>
        </w:rPr>
        <w:t>INFORMACIÓN GENERAL</w:t>
      </w:r>
    </w:p>
    <w:p w14:paraId="4C625E7E" w14:textId="492D3ECB" w:rsidR="00906580" w:rsidRPr="00937FC3" w:rsidRDefault="00743167" w:rsidP="004B66BC">
      <w:pPr>
        <w:pStyle w:val="Subttulo"/>
        <w:numPr>
          <w:ilvl w:val="0"/>
          <w:numId w:val="1"/>
        </w:numPr>
        <w:tabs>
          <w:tab w:val="left" w:pos="284"/>
        </w:tabs>
        <w:spacing w:before="120" w:after="120"/>
        <w:ind w:left="284" w:right="-234" w:hanging="284"/>
        <w:jc w:val="both"/>
        <w:rPr>
          <w:rFonts w:ascii="Arial" w:eastAsia="Arial" w:hAnsi="Arial" w:cs="Arial"/>
        </w:rPr>
      </w:pPr>
      <w:r w:rsidRPr="002D0BC6">
        <w:rPr>
          <w:rFonts w:ascii="Arial" w:eastAsia="Arial" w:hAnsi="Arial" w:cs="Arial"/>
          <w:b/>
        </w:rPr>
        <w:t>Proceso, procedimiento o actividad evaluada:</w:t>
      </w:r>
      <w:r w:rsidR="00937FC3">
        <w:rPr>
          <w:rFonts w:ascii="Arial" w:eastAsia="Arial" w:hAnsi="Arial" w:cs="Arial"/>
          <w:b/>
        </w:rPr>
        <w:t xml:space="preserve"> </w:t>
      </w:r>
      <w:r w:rsidR="00937FC3" w:rsidRPr="00937FC3">
        <w:rPr>
          <w:rFonts w:ascii="Arial" w:eastAsia="Arial" w:hAnsi="Arial" w:cs="Arial"/>
        </w:rPr>
        <w:t xml:space="preserve">Seguimiento al Plan Anticorrupción y de Atención al Ciudadano </w:t>
      </w:r>
      <w:r w:rsidR="00E14844">
        <w:rPr>
          <w:rFonts w:ascii="Arial" w:eastAsia="Arial" w:hAnsi="Arial" w:cs="Arial"/>
        </w:rPr>
        <w:t xml:space="preserve">Segundo </w:t>
      </w:r>
      <w:r w:rsidR="00937FC3" w:rsidRPr="00937FC3">
        <w:rPr>
          <w:rFonts w:ascii="Arial" w:eastAsia="Arial" w:hAnsi="Arial" w:cs="Arial"/>
        </w:rPr>
        <w:t>Cuatrimestre 2022</w:t>
      </w:r>
    </w:p>
    <w:p w14:paraId="74CFE0B6" w14:textId="06753540" w:rsidR="00906580" w:rsidRPr="002D0BC6" w:rsidRDefault="00743167" w:rsidP="004B66BC">
      <w:pPr>
        <w:pStyle w:val="Subttulo"/>
        <w:numPr>
          <w:ilvl w:val="0"/>
          <w:numId w:val="1"/>
        </w:numPr>
        <w:tabs>
          <w:tab w:val="left" w:pos="284"/>
        </w:tabs>
        <w:spacing w:before="120" w:after="120"/>
        <w:ind w:left="284" w:right="-234" w:hanging="284"/>
        <w:jc w:val="both"/>
        <w:rPr>
          <w:rFonts w:ascii="Arial" w:eastAsia="Arial" w:hAnsi="Arial" w:cs="Arial"/>
          <w:b/>
        </w:rPr>
      </w:pPr>
      <w:r w:rsidRPr="002D0BC6">
        <w:rPr>
          <w:rFonts w:ascii="Arial" w:eastAsia="Arial" w:hAnsi="Arial" w:cs="Arial"/>
          <w:b/>
        </w:rPr>
        <w:t>Responsable del proceso, procedimiento o actividad evaluada:</w:t>
      </w:r>
      <w:r w:rsidR="00937FC3">
        <w:rPr>
          <w:rFonts w:ascii="Arial" w:eastAsia="Arial" w:hAnsi="Arial" w:cs="Arial"/>
          <w:b/>
        </w:rPr>
        <w:t xml:space="preserve"> </w:t>
      </w:r>
      <w:r w:rsidR="00A84216">
        <w:rPr>
          <w:rFonts w:ascii="Arial" w:eastAsia="Arial" w:hAnsi="Arial" w:cs="Arial"/>
        </w:rPr>
        <w:t>Los líderes de proceso que figuran como responsables en el PAAC</w:t>
      </w:r>
    </w:p>
    <w:p w14:paraId="65EC9742" w14:textId="62981491" w:rsidR="00906580" w:rsidRPr="00937FC3" w:rsidRDefault="00743167" w:rsidP="004B66BC">
      <w:pPr>
        <w:pStyle w:val="Subttulo"/>
        <w:numPr>
          <w:ilvl w:val="0"/>
          <w:numId w:val="1"/>
        </w:numPr>
        <w:tabs>
          <w:tab w:val="left" w:pos="284"/>
        </w:tabs>
        <w:spacing w:before="120" w:after="120"/>
        <w:ind w:left="284" w:right="-234" w:hanging="284"/>
        <w:jc w:val="both"/>
        <w:rPr>
          <w:rFonts w:ascii="Arial" w:eastAsia="Arial" w:hAnsi="Arial" w:cs="Arial"/>
        </w:rPr>
      </w:pPr>
      <w:r w:rsidRPr="002D0BC6">
        <w:rPr>
          <w:rFonts w:ascii="Arial" w:eastAsia="Arial" w:hAnsi="Arial" w:cs="Arial"/>
          <w:b/>
        </w:rPr>
        <w:t>Objetivo:</w:t>
      </w:r>
      <w:r w:rsidR="00937FC3">
        <w:rPr>
          <w:rFonts w:ascii="Arial" w:eastAsia="Arial" w:hAnsi="Arial" w:cs="Arial"/>
          <w:b/>
        </w:rPr>
        <w:t xml:space="preserve"> </w:t>
      </w:r>
      <w:r w:rsidR="00937FC3" w:rsidRPr="00937FC3">
        <w:rPr>
          <w:rFonts w:ascii="Arial" w:eastAsia="Arial" w:hAnsi="Arial" w:cs="Arial"/>
        </w:rPr>
        <w:t>Verificar el cumplimiento de las acciones incluidas en el Plan Anticorrupción y de Atención al Ciudadano formulado y aprobado para la vigencia 2022</w:t>
      </w:r>
    </w:p>
    <w:p w14:paraId="4073A39B" w14:textId="4C630DAC" w:rsidR="00906580" w:rsidRPr="00937FC3" w:rsidRDefault="00743167" w:rsidP="004B66BC">
      <w:pPr>
        <w:pStyle w:val="Subttulo"/>
        <w:numPr>
          <w:ilvl w:val="0"/>
          <w:numId w:val="1"/>
        </w:numPr>
        <w:tabs>
          <w:tab w:val="left" w:pos="284"/>
        </w:tabs>
        <w:spacing w:before="120" w:after="120"/>
        <w:ind w:left="284" w:right="-234" w:hanging="284"/>
        <w:jc w:val="both"/>
        <w:rPr>
          <w:rFonts w:ascii="Arial" w:eastAsia="Arial" w:hAnsi="Arial" w:cs="Arial"/>
        </w:rPr>
      </w:pPr>
      <w:r w:rsidRPr="002D0BC6">
        <w:rPr>
          <w:rFonts w:ascii="Arial" w:eastAsia="Arial" w:hAnsi="Arial" w:cs="Arial"/>
          <w:b/>
        </w:rPr>
        <w:t>Alcance:</w:t>
      </w:r>
      <w:r w:rsidR="00937FC3">
        <w:rPr>
          <w:rFonts w:ascii="Arial" w:eastAsia="Arial" w:hAnsi="Arial" w:cs="Arial"/>
          <w:b/>
        </w:rPr>
        <w:t xml:space="preserve"> </w:t>
      </w:r>
      <w:r w:rsidR="00937FC3" w:rsidRPr="00937FC3">
        <w:rPr>
          <w:rFonts w:ascii="Arial" w:eastAsia="Arial" w:hAnsi="Arial" w:cs="Arial"/>
        </w:rPr>
        <w:t>Segundo cuatrimestre de 2022</w:t>
      </w:r>
    </w:p>
    <w:p w14:paraId="2F5848FA" w14:textId="5BBAB892" w:rsidR="00906580" w:rsidRDefault="00743167" w:rsidP="00634C71">
      <w:pPr>
        <w:pStyle w:val="Subttulo"/>
        <w:numPr>
          <w:ilvl w:val="0"/>
          <w:numId w:val="1"/>
        </w:numPr>
        <w:tabs>
          <w:tab w:val="left" w:pos="284"/>
        </w:tabs>
        <w:spacing w:before="120" w:after="120"/>
        <w:ind w:left="284" w:right="-234" w:hanging="284"/>
        <w:jc w:val="left"/>
        <w:rPr>
          <w:rFonts w:ascii="Arial" w:eastAsia="Arial" w:hAnsi="Arial" w:cs="Arial"/>
          <w:b/>
        </w:rPr>
      </w:pPr>
      <w:r w:rsidRPr="002D0BC6">
        <w:rPr>
          <w:rFonts w:ascii="Arial" w:eastAsia="Arial" w:hAnsi="Arial" w:cs="Arial"/>
          <w:b/>
        </w:rPr>
        <w:t>Criterios:</w:t>
      </w:r>
      <w:r w:rsidR="00937FC3">
        <w:rPr>
          <w:rFonts w:ascii="Arial" w:eastAsia="Arial" w:hAnsi="Arial" w:cs="Arial"/>
          <w:b/>
        </w:rPr>
        <w:t xml:space="preserve"> </w:t>
      </w:r>
    </w:p>
    <w:p w14:paraId="2C59EA20" w14:textId="77777777" w:rsidR="00937FC3" w:rsidRPr="004B66BC" w:rsidRDefault="00937FC3" w:rsidP="00937FC3">
      <w:pPr>
        <w:pStyle w:val="NormalWeb"/>
        <w:numPr>
          <w:ilvl w:val="0"/>
          <w:numId w:val="3"/>
        </w:numPr>
        <w:spacing w:before="0" w:beforeAutospacing="0" w:after="36" w:afterAutospacing="0"/>
        <w:jc w:val="both"/>
        <w:textAlignment w:val="baseline"/>
        <w:rPr>
          <w:rFonts w:ascii="Arial" w:eastAsia="Arial" w:hAnsi="Arial" w:cs="Arial"/>
          <w:lang w:val="es-ES_tradnl" w:eastAsia="es-ES"/>
        </w:rPr>
      </w:pPr>
      <w:r w:rsidRPr="004B66BC">
        <w:rPr>
          <w:rFonts w:ascii="Arial" w:eastAsia="Arial" w:hAnsi="Arial" w:cs="Arial"/>
          <w:lang w:val="es-ES_tradnl" w:eastAsia="es-ES"/>
        </w:rPr>
        <w:t>Ley 190 de 1995 “Por la cual se dictan normas tendientes a preservar la moralidad en la Administración Pública y se fijan disposiciones con el fin de erradicar la corrupción administrativa” </w:t>
      </w:r>
    </w:p>
    <w:p w14:paraId="107799E8" w14:textId="77777777" w:rsidR="00937FC3" w:rsidRPr="004B66BC" w:rsidRDefault="00937FC3" w:rsidP="00937FC3">
      <w:pPr>
        <w:pStyle w:val="NormalWeb"/>
        <w:numPr>
          <w:ilvl w:val="0"/>
          <w:numId w:val="3"/>
        </w:numPr>
        <w:spacing w:before="0" w:beforeAutospacing="0" w:after="36" w:afterAutospacing="0"/>
        <w:jc w:val="both"/>
        <w:textAlignment w:val="baseline"/>
        <w:rPr>
          <w:rFonts w:ascii="Arial" w:eastAsia="Arial" w:hAnsi="Arial" w:cs="Arial"/>
          <w:lang w:val="es-ES_tradnl" w:eastAsia="es-ES"/>
        </w:rPr>
      </w:pPr>
      <w:r w:rsidRPr="004B66BC">
        <w:rPr>
          <w:rFonts w:ascii="Arial" w:eastAsia="Arial" w:hAnsi="Arial" w:cs="Arial"/>
          <w:lang w:val="es-ES_tradnl" w:eastAsia="es-ES"/>
        </w:rPr>
        <w:t>Ley 962 de 2005 “Por la cual se dictan disposiciones sobre racionalización de trámites y procedimientos administrativos de los organismos y entidades del Estado y de los particulares que ejercen funciones públicas o prestan servicios públicos” </w:t>
      </w:r>
    </w:p>
    <w:p w14:paraId="5758094F" w14:textId="77777777" w:rsidR="00937FC3" w:rsidRPr="004B66BC" w:rsidRDefault="00937FC3" w:rsidP="00937FC3">
      <w:pPr>
        <w:pStyle w:val="NormalWeb"/>
        <w:numPr>
          <w:ilvl w:val="0"/>
          <w:numId w:val="3"/>
        </w:numPr>
        <w:spacing w:before="0" w:beforeAutospacing="0" w:after="36" w:afterAutospacing="0"/>
        <w:jc w:val="both"/>
        <w:textAlignment w:val="baseline"/>
        <w:rPr>
          <w:rFonts w:ascii="Arial" w:eastAsia="Arial" w:hAnsi="Arial" w:cs="Arial"/>
          <w:lang w:val="es-ES_tradnl" w:eastAsia="es-ES"/>
        </w:rPr>
      </w:pPr>
      <w:r w:rsidRPr="004B66BC">
        <w:rPr>
          <w:rFonts w:ascii="Arial" w:eastAsia="Arial" w:hAnsi="Arial" w:cs="Arial"/>
          <w:lang w:val="es-ES_tradnl" w:eastAsia="es-ES"/>
        </w:rPr>
        <w:t>Ley 1474 de 2011 “Por la cual se dictan normas orientadas a fortalecer los mecanismos de prevención, investigación y sanción de actos de corrupción y la efectividad del control de la gestión pública” </w:t>
      </w:r>
    </w:p>
    <w:p w14:paraId="676A0618" w14:textId="77777777" w:rsidR="00937FC3" w:rsidRPr="004B66BC" w:rsidRDefault="00937FC3" w:rsidP="00937FC3">
      <w:pPr>
        <w:pStyle w:val="NormalWeb"/>
        <w:numPr>
          <w:ilvl w:val="0"/>
          <w:numId w:val="3"/>
        </w:numPr>
        <w:spacing w:before="0" w:beforeAutospacing="0" w:after="36" w:afterAutospacing="0"/>
        <w:jc w:val="both"/>
        <w:textAlignment w:val="baseline"/>
        <w:rPr>
          <w:rFonts w:ascii="Arial" w:eastAsia="Arial" w:hAnsi="Arial" w:cs="Arial"/>
          <w:lang w:val="es-ES_tradnl" w:eastAsia="es-ES"/>
        </w:rPr>
      </w:pPr>
      <w:r w:rsidRPr="004B66BC">
        <w:rPr>
          <w:rFonts w:ascii="Arial" w:eastAsia="Arial" w:hAnsi="Arial" w:cs="Arial"/>
          <w:lang w:val="es-ES_tradnl" w:eastAsia="es-ES"/>
        </w:rPr>
        <w:t>Ley 1712 de 2014 “Por medio de la cual se crea la Ley de Transparencia y del Derecho de Acceso a la Información Pública Nacional y se dictan otras disposiciones” </w:t>
      </w:r>
    </w:p>
    <w:p w14:paraId="6978C439" w14:textId="77777777" w:rsidR="00937FC3" w:rsidRPr="004B66BC" w:rsidRDefault="00937FC3" w:rsidP="00937FC3">
      <w:pPr>
        <w:pStyle w:val="NormalWeb"/>
        <w:numPr>
          <w:ilvl w:val="0"/>
          <w:numId w:val="3"/>
        </w:numPr>
        <w:spacing w:before="0" w:beforeAutospacing="0" w:after="36" w:afterAutospacing="0"/>
        <w:jc w:val="both"/>
        <w:textAlignment w:val="baseline"/>
        <w:rPr>
          <w:rFonts w:ascii="Arial" w:eastAsia="Arial" w:hAnsi="Arial" w:cs="Arial"/>
          <w:lang w:val="es-ES_tradnl" w:eastAsia="es-ES"/>
        </w:rPr>
      </w:pPr>
      <w:r w:rsidRPr="004B66BC">
        <w:rPr>
          <w:rFonts w:ascii="Arial" w:eastAsia="Arial" w:hAnsi="Arial" w:cs="Arial"/>
          <w:lang w:val="es-ES_tradnl" w:eastAsia="es-ES"/>
        </w:rPr>
        <w:t>Ley 1755 de 2015 “Por medio de la cual se regula el Derecho Fundamental de Petición y se sustituye un título del Código de Procedimiento Administrativo y de lo Contencioso Administrativo” </w:t>
      </w:r>
    </w:p>
    <w:p w14:paraId="590CA210" w14:textId="77777777" w:rsidR="00937FC3" w:rsidRPr="004B66BC" w:rsidRDefault="00937FC3" w:rsidP="00937FC3">
      <w:pPr>
        <w:pStyle w:val="NormalWeb"/>
        <w:numPr>
          <w:ilvl w:val="0"/>
          <w:numId w:val="3"/>
        </w:numPr>
        <w:spacing w:before="0" w:beforeAutospacing="0" w:after="36" w:afterAutospacing="0"/>
        <w:jc w:val="both"/>
        <w:textAlignment w:val="baseline"/>
        <w:rPr>
          <w:rFonts w:ascii="Arial" w:eastAsia="Arial" w:hAnsi="Arial" w:cs="Arial"/>
          <w:lang w:val="es-ES_tradnl" w:eastAsia="es-ES"/>
        </w:rPr>
      </w:pPr>
      <w:r w:rsidRPr="004B66BC">
        <w:rPr>
          <w:rFonts w:ascii="Arial" w:eastAsia="Arial" w:hAnsi="Arial" w:cs="Arial"/>
          <w:lang w:val="es-ES_tradnl" w:eastAsia="es-ES"/>
        </w:rPr>
        <w:t>Ley 1757 de 2015 “Por la cual se dictan disposiciones en materia de promoción y protección del derecho a la participación democrática” </w:t>
      </w:r>
    </w:p>
    <w:p w14:paraId="54B2141B" w14:textId="77777777" w:rsidR="00937FC3" w:rsidRPr="004B66BC" w:rsidRDefault="00937FC3" w:rsidP="00937FC3">
      <w:pPr>
        <w:pStyle w:val="NormalWeb"/>
        <w:numPr>
          <w:ilvl w:val="0"/>
          <w:numId w:val="3"/>
        </w:numPr>
        <w:spacing w:before="0" w:beforeAutospacing="0" w:after="0" w:afterAutospacing="0"/>
        <w:jc w:val="both"/>
        <w:textAlignment w:val="baseline"/>
        <w:rPr>
          <w:rFonts w:ascii="Arial" w:eastAsia="Arial" w:hAnsi="Arial" w:cs="Arial"/>
          <w:lang w:val="es-ES_tradnl" w:eastAsia="es-ES"/>
        </w:rPr>
      </w:pPr>
      <w:r w:rsidRPr="004B66BC">
        <w:rPr>
          <w:rFonts w:ascii="Arial" w:eastAsia="Arial" w:hAnsi="Arial" w:cs="Arial"/>
          <w:lang w:val="es-ES_tradnl" w:eastAsia="es-ES"/>
        </w:rPr>
        <w:t>Decreto Ley 019 de 2012 “Por el cual se dictan normas para suprimir o reformar regulaciones, procedimientos y trámites innecesarios existentes en la Administración Pública”</w:t>
      </w:r>
    </w:p>
    <w:p w14:paraId="4EBA36E9" w14:textId="77777777" w:rsidR="00937FC3" w:rsidRPr="004B66BC" w:rsidRDefault="00937FC3" w:rsidP="00937FC3">
      <w:pPr>
        <w:pStyle w:val="NormalWeb"/>
        <w:numPr>
          <w:ilvl w:val="0"/>
          <w:numId w:val="3"/>
        </w:numPr>
        <w:spacing w:before="0" w:beforeAutospacing="0" w:after="0" w:afterAutospacing="0"/>
        <w:jc w:val="both"/>
        <w:textAlignment w:val="baseline"/>
        <w:rPr>
          <w:rFonts w:ascii="Arial" w:eastAsia="Arial" w:hAnsi="Arial" w:cs="Arial"/>
          <w:lang w:val="es-ES_tradnl" w:eastAsia="es-ES"/>
        </w:rPr>
      </w:pPr>
      <w:r w:rsidRPr="004B66BC">
        <w:rPr>
          <w:rFonts w:ascii="Arial" w:eastAsia="Arial" w:hAnsi="Arial" w:cs="Arial"/>
          <w:lang w:val="es-ES_tradnl" w:eastAsia="es-ES"/>
        </w:rPr>
        <w:t>Decreto 103 de 2015 “Por el cual se reglamenta parcialmente la Ley 1712 de 2014 y se dictan otras disposiciones” </w:t>
      </w:r>
    </w:p>
    <w:p w14:paraId="58D96016" w14:textId="77777777" w:rsidR="00937FC3" w:rsidRPr="004B66BC" w:rsidRDefault="00937FC3" w:rsidP="00937FC3">
      <w:pPr>
        <w:pStyle w:val="NormalWeb"/>
        <w:numPr>
          <w:ilvl w:val="0"/>
          <w:numId w:val="3"/>
        </w:numPr>
        <w:spacing w:before="0" w:beforeAutospacing="0" w:after="38" w:afterAutospacing="0"/>
        <w:jc w:val="both"/>
        <w:textAlignment w:val="baseline"/>
        <w:rPr>
          <w:rFonts w:ascii="Arial" w:eastAsia="Arial" w:hAnsi="Arial" w:cs="Arial"/>
          <w:lang w:val="es-ES_tradnl" w:eastAsia="es-ES"/>
        </w:rPr>
      </w:pPr>
      <w:r w:rsidRPr="004B66BC">
        <w:rPr>
          <w:rFonts w:ascii="Arial" w:eastAsia="Arial" w:hAnsi="Arial" w:cs="Arial"/>
          <w:lang w:val="es-ES_tradnl" w:eastAsia="es-ES"/>
        </w:rPr>
        <w:t>Decreto 1081 de 2015 “Por medio del cual se expide el Decreto Reglamentario Único del Sector Presidencia de la República” </w:t>
      </w:r>
    </w:p>
    <w:p w14:paraId="264804DC" w14:textId="77777777" w:rsidR="00937FC3" w:rsidRPr="004B66BC" w:rsidRDefault="00937FC3" w:rsidP="00937FC3">
      <w:pPr>
        <w:pStyle w:val="NormalWeb"/>
        <w:numPr>
          <w:ilvl w:val="0"/>
          <w:numId w:val="3"/>
        </w:numPr>
        <w:spacing w:before="0" w:beforeAutospacing="0" w:after="38" w:afterAutospacing="0"/>
        <w:jc w:val="both"/>
        <w:textAlignment w:val="baseline"/>
        <w:rPr>
          <w:rFonts w:ascii="Arial" w:eastAsia="Arial" w:hAnsi="Arial" w:cs="Arial"/>
          <w:lang w:val="es-ES_tradnl" w:eastAsia="es-ES"/>
        </w:rPr>
      </w:pPr>
      <w:r w:rsidRPr="004B66BC">
        <w:rPr>
          <w:rFonts w:ascii="Arial" w:eastAsia="Arial" w:hAnsi="Arial" w:cs="Arial"/>
          <w:lang w:val="es-ES_tradnl" w:eastAsia="es-ES"/>
        </w:rPr>
        <w:t>Decreto 1083 de 2015 “Por medio del cual se expide el Decreto Único Reglamentario del Sector de Función Pública” </w:t>
      </w:r>
    </w:p>
    <w:p w14:paraId="33EF2FBC" w14:textId="77777777" w:rsidR="00937FC3" w:rsidRPr="004B66BC" w:rsidRDefault="00937FC3" w:rsidP="00937FC3">
      <w:pPr>
        <w:pStyle w:val="NormalWeb"/>
        <w:numPr>
          <w:ilvl w:val="0"/>
          <w:numId w:val="3"/>
        </w:numPr>
        <w:spacing w:before="0" w:beforeAutospacing="0" w:after="38" w:afterAutospacing="0"/>
        <w:jc w:val="both"/>
        <w:textAlignment w:val="baseline"/>
        <w:rPr>
          <w:rFonts w:ascii="Arial" w:eastAsia="Arial" w:hAnsi="Arial" w:cs="Arial"/>
          <w:lang w:val="es-ES_tradnl" w:eastAsia="es-ES"/>
        </w:rPr>
      </w:pPr>
      <w:r w:rsidRPr="004B66BC">
        <w:rPr>
          <w:rFonts w:ascii="Arial" w:eastAsia="Arial" w:hAnsi="Arial" w:cs="Arial"/>
          <w:lang w:val="es-ES_tradnl" w:eastAsia="es-ES"/>
        </w:rPr>
        <w:t>Decreto 124 de 2016 “Por el cual se sustituye el Título IV de la Parte 1 del Libro 2 del Decreto 1081 de 2015, relativo al “Plan Anticorrupción y de Atención al Ciudadano”” </w:t>
      </w:r>
    </w:p>
    <w:p w14:paraId="7A070188" w14:textId="77777777" w:rsidR="00937FC3" w:rsidRPr="004B66BC" w:rsidRDefault="00937FC3" w:rsidP="00937FC3">
      <w:pPr>
        <w:pStyle w:val="NormalWeb"/>
        <w:numPr>
          <w:ilvl w:val="0"/>
          <w:numId w:val="3"/>
        </w:numPr>
        <w:spacing w:before="0" w:beforeAutospacing="0" w:after="38" w:afterAutospacing="0"/>
        <w:jc w:val="both"/>
        <w:textAlignment w:val="baseline"/>
        <w:rPr>
          <w:rFonts w:ascii="Arial" w:eastAsia="Arial" w:hAnsi="Arial" w:cs="Arial"/>
          <w:lang w:val="es-ES_tradnl" w:eastAsia="es-ES"/>
        </w:rPr>
      </w:pPr>
      <w:r w:rsidRPr="004B66BC">
        <w:rPr>
          <w:rFonts w:ascii="Arial" w:eastAsia="Arial" w:hAnsi="Arial" w:cs="Arial"/>
          <w:lang w:val="es-ES_tradnl" w:eastAsia="es-ES"/>
        </w:rPr>
        <w:lastRenderedPageBreak/>
        <w:t>Decreto 648 de 2017 “Por el cual se modifica y adiciona el Decreto 1083 de 2015, Reglamentario Único del Sector de la Función Pública” </w:t>
      </w:r>
    </w:p>
    <w:p w14:paraId="79D2AE1F" w14:textId="77777777" w:rsidR="00937FC3" w:rsidRPr="004B66BC" w:rsidRDefault="00937FC3" w:rsidP="00937FC3">
      <w:pPr>
        <w:pStyle w:val="NormalWeb"/>
        <w:numPr>
          <w:ilvl w:val="0"/>
          <w:numId w:val="3"/>
        </w:numPr>
        <w:spacing w:before="0" w:beforeAutospacing="0" w:after="38" w:afterAutospacing="0"/>
        <w:jc w:val="both"/>
        <w:textAlignment w:val="baseline"/>
        <w:rPr>
          <w:rFonts w:ascii="Arial" w:eastAsia="Arial" w:hAnsi="Arial" w:cs="Arial"/>
          <w:lang w:val="es-ES_tradnl" w:eastAsia="es-ES"/>
        </w:rPr>
      </w:pPr>
      <w:r w:rsidRPr="004B66BC">
        <w:rPr>
          <w:rFonts w:ascii="Arial" w:eastAsia="Arial" w:hAnsi="Arial" w:cs="Arial"/>
          <w:lang w:val="es-ES_tradnl" w:eastAsia="es-ES"/>
        </w:rPr>
        <w:t>Decreto 612 del 4 de abril de 2018 “Por el cual se fijan directrices para la integración de los planes institucionales y estratégicos al Plan de Acción por parte de las entidades del Estado.”</w:t>
      </w:r>
    </w:p>
    <w:p w14:paraId="226ED4DF" w14:textId="77777777" w:rsidR="00937FC3" w:rsidRPr="004B66BC" w:rsidRDefault="00937FC3" w:rsidP="00937FC3">
      <w:pPr>
        <w:pStyle w:val="NormalWeb"/>
        <w:numPr>
          <w:ilvl w:val="0"/>
          <w:numId w:val="3"/>
        </w:numPr>
        <w:spacing w:before="0" w:beforeAutospacing="0" w:after="38" w:afterAutospacing="0"/>
        <w:jc w:val="both"/>
        <w:textAlignment w:val="baseline"/>
        <w:rPr>
          <w:rFonts w:ascii="Arial" w:eastAsia="Arial" w:hAnsi="Arial" w:cs="Arial"/>
          <w:lang w:val="es-ES_tradnl" w:eastAsia="es-ES"/>
        </w:rPr>
      </w:pPr>
      <w:r w:rsidRPr="004B66BC">
        <w:rPr>
          <w:rFonts w:ascii="Arial" w:eastAsia="Arial" w:hAnsi="Arial" w:cs="Arial"/>
          <w:lang w:val="es-ES_tradnl" w:eastAsia="es-ES"/>
        </w:rPr>
        <w:t>Decreto 338 de 2019 “Por el cual se modifica el Decreto 1083 de 2015, Único Reglamentario del Sector de Función Pública, en lo relacionado con el Sistema de Control Interno y se crea la Red Anticorrupción”</w:t>
      </w:r>
    </w:p>
    <w:p w14:paraId="10E9415C" w14:textId="77777777" w:rsidR="00937FC3" w:rsidRPr="004B66BC" w:rsidRDefault="00937FC3" w:rsidP="00937FC3">
      <w:pPr>
        <w:pStyle w:val="NormalWeb"/>
        <w:numPr>
          <w:ilvl w:val="0"/>
          <w:numId w:val="3"/>
        </w:numPr>
        <w:spacing w:before="0" w:beforeAutospacing="0" w:after="38" w:afterAutospacing="0"/>
        <w:jc w:val="both"/>
        <w:textAlignment w:val="baseline"/>
        <w:rPr>
          <w:rFonts w:ascii="Arial" w:eastAsia="Arial" w:hAnsi="Arial" w:cs="Arial"/>
          <w:lang w:val="es-ES_tradnl" w:eastAsia="es-ES"/>
        </w:rPr>
      </w:pPr>
      <w:r w:rsidRPr="004B66BC">
        <w:rPr>
          <w:rFonts w:ascii="Arial" w:eastAsia="Arial" w:hAnsi="Arial" w:cs="Arial"/>
          <w:lang w:val="es-ES_tradnl" w:eastAsia="es-ES"/>
        </w:rPr>
        <w:t>Resolución 159 del 24 de agosto de 2020 “Por la cual se definen los estándares y directrices para publicar la información señalada en la Ley </w:t>
      </w:r>
      <w:hyperlink r:id="rId8" w:history="1">
        <w:r w:rsidRPr="004B66BC">
          <w:rPr>
            <w:rFonts w:eastAsia="Arial"/>
            <w:lang w:val="es-ES_tradnl" w:eastAsia="es-ES"/>
          </w:rPr>
          <w:t>1712 </w:t>
        </w:r>
      </w:hyperlink>
      <w:r w:rsidRPr="004B66BC">
        <w:rPr>
          <w:rFonts w:ascii="Arial" w:eastAsia="Arial" w:hAnsi="Arial" w:cs="Arial"/>
          <w:lang w:val="es-ES_tradnl" w:eastAsia="es-ES"/>
        </w:rPr>
        <w:t>del 2014 y se definen los requisitos materia de acceso a la información pública, accesibilidad web, seguridad digital, y datos abiertos”</w:t>
      </w:r>
    </w:p>
    <w:p w14:paraId="5F7D31CC" w14:textId="77777777" w:rsidR="00937FC3" w:rsidRPr="004B66BC" w:rsidRDefault="00937FC3" w:rsidP="00937FC3">
      <w:pPr>
        <w:pStyle w:val="Prrafodelista"/>
        <w:numPr>
          <w:ilvl w:val="0"/>
          <w:numId w:val="3"/>
        </w:numPr>
        <w:rPr>
          <w:rFonts w:eastAsia="Arial" w:cs="Arial"/>
          <w:sz w:val="24"/>
          <w:szCs w:val="24"/>
          <w:lang w:val="es-ES_tradnl"/>
        </w:rPr>
      </w:pPr>
      <w:r w:rsidRPr="004B66BC">
        <w:rPr>
          <w:rFonts w:eastAsia="Arial" w:cs="Arial"/>
          <w:sz w:val="24"/>
          <w:szCs w:val="24"/>
          <w:lang w:val="es-ES_tradnl"/>
        </w:rPr>
        <w:t>Cartilla DAFP “Estrategias para la Construcción del Plan Anticorrupción y de Atención al Ciudadano Versión 2”</w:t>
      </w:r>
    </w:p>
    <w:p w14:paraId="2547A3D0" w14:textId="1DD668E4" w:rsidR="00937FC3" w:rsidRPr="004B66BC" w:rsidRDefault="00937FC3" w:rsidP="00937FC3">
      <w:pPr>
        <w:pStyle w:val="Prrafodelista"/>
        <w:numPr>
          <w:ilvl w:val="0"/>
          <w:numId w:val="3"/>
        </w:numPr>
        <w:rPr>
          <w:rFonts w:eastAsia="Arial" w:cs="Arial"/>
          <w:sz w:val="24"/>
          <w:szCs w:val="24"/>
          <w:lang w:val="es-ES_tradnl"/>
        </w:rPr>
      </w:pPr>
      <w:r w:rsidRPr="004B66BC">
        <w:rPr>
          <w:rFonts w:eastAsia="Arial" w:cs="Arial"/>
          <w:sz w:val="24"/>
          <w:szCs w:val="24"/>
          <w:lang w:val="es-ES_tradnl"/>
        </w:rPr>
        <w:t>Manual Operativo Sistema de Gestión -MIPG- V.4</w:t>
      </w:r>
    </w:p>
    <w:p w14:paraId="68F4663A" w14:textId="09B8FF03" w:rsidR="00906580" w:rsidRPr="004B66BC" w:rsidRDefault="00743167" w:rsidP="004B66BC">
      <w:pPr>
        <w:pStyle w:val="Subttulo"/>
        <w:numPr>
          <w:ilvl w:val="0"/>
          <w:numId w:val="1"/>
        </w:numPr>
        <w:tabs>
          <w:tab w:val="left" w:pos="284"/>
        </w:tabs>
        <w:spacing w:before="120" w:after="120"/>
        <w:ind w:left="284" w:right="-234" w:hanging="284"/>
        <w:jc w:val="both"/>
        <w:rPr>
          <w:rFonts w:ascii="Arial" w:eastAsia="Arial" w:hAnsi="Arial" w:cs="Arial"/>
          <w:b/>
          <w:sz w:val="28"/>
        </w:rPr>
      </w:pPr>
      <w:r w:rsidRPr="002D0BC6">
        <w:rPr>
          <w:rFonts w:ascii="Arial" w:eastAsia="Arial" w:hAnsi="Arial" w:cs="Arial"/>
          <w:b/>
        </w:rPr>
        <w:t>Pruebas de auditoría:</w:t>
      </w:r>
      <w:r w:rsidR="004B66BC">
        <w:rPr>
          <w:rFonts w:ascii="Arial" w:eastAsia="Arial" w:hAnsi="Arial" w:cs="Arial"/>
          <w:b/>
        </w:rPr>
        <w:t xml:space="preserve"> </w:t>
      </w:r>
      <w:r w:rsidR="004B66BC" w:rsidRPr="004B66BC">
        <w:rPr>
          <w:rFonts w:ascii="Arial" w:eastAsia="Arial" w:hAnsi="Arial" w:cs="Arial"/>
        </w:rPr>
        <w:t>Verificación documental alojados en la carpeta compartida por la OAP, registros sistemas de Información de la entidad y documentos e información registrada en la página Web de la entidad micrositio de transparencia y acceso a la información link</w:t>
      </w:r>
      <w:r w:rsidR="004B66BC" w:rsidRPr="004173D9">
        <w:rPr>
          <w:rFonts w:cs="Arial"/>
          <w:sz w:val="20"/>
          <w:szCs w:val="20"/>
        </w:rPr>
        <w:t xml:space="preserve">: </w:t>
      </w:r>
      <w:r w:rsidR="004B66BC" w:rsidRPr="004B66BC">
        <w:rPr>
          <w:rFonts w:cs="Arial"/>
          <w:i/>
          <w:color w:val="0070C0"/>
          <w:sz w:val="22"/>
          <w:szCs w:val="20"/>
          <w:u w:val="single"/>
        </w:rPr>
        <w:t>https://idpc.gov.co/transparencia-y-acceso-a-la-informacion-publica-ley-1712-del-6-de-marzo-de-2014</w:t>
      </w:r>
    </w:p>
    <w:p w14:paraId="03029CE2" w14:textId="53EC2E69" w:rsidR="00906580" w:rsidRPr="004B66BC" w:rsidRDefault="00743167" w:rsidP="00634C71">
      <w:pPr>
        <w:pStyle w:val="Subttulo"/>
        <w:numPr>
          <w:ilvl w:val="0"/>
          <w:numId w:val="1"/>
        </w:numPr>
        <w:tabs>
          <w:tab w:val="left" w:pos="284"/>
        </w:tabs>
        <w:spacing w:before="120" w:after="120"/>
        <w:ind w:left="284" w:right="-234" w:hanging="284"/>
        <w:jc w:val="left"/>
        <w:rPr>
          <w:rFonts w:ascii="Arial" w:eastAsia="Arial" w:hAnsi="Arial" w:cs="Arial"/>
        </w:rPr>
      </w:pPr>
      <w:r w:rsidRPr="002D0BC6">
        <w:rPr>
          <w:rFonts w:ascii="Arial" w:eastAsia="Arial" w:hAnsi="Arial" w:cs="Arial"/>
          <w:b/>
        </w:rPr>
        <w:t xml:space="preserve">Equipo </w:t>
      </w:r>
      <w:r w:rsidR="009823FE">
        <w:rPr>
          <w:rFonts w:ascii="Arial" w:eastAsia="Arial" w:hAnsi="Arial" w:cs="Arial"/>
          <w:b/>
        </w:rPr>
        <w:t>evaluador</w:t>
      </w:r>
      <w:r w:rsidRPr="002D0BC6">
        <w:rPr>
          <w:rFonts w:ascii="Arial" w:eastAsia="Arial" w:hAnsi="Arial" w:cs="Arial"/>
          <w:b/>
        </w:rPr>
        <w:t>:</w:t>
      </w:r>
      <w:r w:rsidR="004B66BC">
        <w:rPr>
          <w:rFonts w:ascii="Arial" w:eastAsia="Arial" w:hAnsi="Arial" w:cs="Arial"/>
          <w:b/>
        </w:rPr>
        <w:t xml:space="preserve"> </w:t>
      </w:r>
      <w:r w:rsidR="004B66BC" w:rsidRPr="004B66BC">
        <w:rPr>
          <w:rFonts w:ascii="Arial" w:eastAsia="Arial" w:hAnsi="Arial" w:cs="Arial"/>
        </w:rPr>
        <w:t>Edith Janneth Abella Sánchez</w:t>
      </w:r>
    </w:p>
    <w:p w14:paraId="16494D77" w14:textId="66F23D6C" w:rsidR="00906580" w:rsidRPr="004B66BC" w:rsidRDefault="00743167" w:rsidP="004B66BC">
      <w:pPr>
        <w:pStyle w:val="Subttulo"/>
        <w:numPr>
          <w:ilvl w:val="0"/>
          <w:numId w:val="1"/>
        </w:numPr>
        <w:tabs>
          <w:tab w:val="left" w:pos="284"/>
        </w:tabs>
        <w:spacing w:before="120" w:after="120"/>
        <w:ind w:left="284" w:right="-234" w:hanging="284"/>
        <w:jc w:val="both"/>
        <w:rPr>
          <w:rFonts w:ascii="Arial" w:eastAsia="Arial" w:hAnsi="Arial" w:cs="Arial"/>
        </w:rPr>
      </w:pPr>
      <w:r w:rsidRPr="002D0BC6">
        <w:rPr>
          <w:rFonts w:ascii="Arial" w:eastAsia="Arial" w:hAnsi="Arial" w:cs="Arial"/>
          <w:b/>
        </w:rPr>
        <w:t>Fecha de ejecución de</w:t>
      </w:r>
      <w:r w:rsidR="00BA04D3" w:rsidRPr="002D0BC6">
        <w:rPr>
          <w:rFonts w:ascii="Arial" w:eastAsia="Arial" w:hAnsi="Arial" w:cs="Arial"/>
          <w:b/>
        </w:rPr>
        <w:t>l seguimiento o la evaluación</w:t>
      </w:r>
      <w:r w:rsidRPr="002D0BC6">
        <w:rPr>
          <w:rFonts w:ascii="Arial" w:eastAsia="Arial" w:hAnsi="Arial" w:cs="Arial"/>
          <w:b/>
        </w:rPr>
        <w:t>:</w:t>
      </w:r>
      <w:r w:rsidR="004B66BC">
        <w:rPr>
          <w:rFonts w:ascii="Arial" w:eastAsia="Arial" w:hAnsi="Arial" w:cs="Arial"/>
          <w:b/>
        </w:rPr>
        <w:t xml:space="preserve"> </w:t>
      </w:r>
      <w:r w:rsidR="004B66BC" w:rsidRPr="004B66BC">
        <w:rPr>
          <w:rFonts w:ascii="Arial" w:eastAsia="Arial" w:hAnsi="Arial" w:cs="Arial"/>
        </w:rPr>
        <w:t>Del 1 al 09 de septiembre 2022</w:t>
      </w:r>
    </w:p>
    <w:p w14:paraId="152D8D07" w14:textId="597DCF9C" w:rsidR="00906580" w:rsidRPr="004B66BC" w:rsidRDefault="00743167" w:rsidP="004B66BC">
      <w:pPr>
        <w:pStyle w:val="Subttulo"/>
        <w:numPr>
          <w:ilvl w:val="0"/>
          <w:numId w:val="1"/>
        </w:numPr>
        <w:tabs>
          <w:tab w:val="left" w:pos="284"/>
        </w:tabs>
        <w:spacing w:before="120" w:after="120"/>
        <w:ind w:left="284" w:right="-234" w:hanging="284"/>
        <w:jc w:val="both"/>
        <w:rPr>
          <w:rFonts w:ascii="Arial" w:eastAsia="Arial" w:hAnsi="Arial" w:cs="Arial"/>
        </w:rPr>
      </w:pPr>
      <w:r w:rsidRPr="002D0BC6">
        <w:rPr>
          <w:rFonts w:ascii="Arial" w:eastAsia="Arial" w:hAnsi="Arial" w:cs="Arial"/>
          <w:b/>
        </w:rPr>
        <w:t>Insumos:</w:t>
      </w:r>
      <w:r w:rsidR="004B66BC">
        <w:rPr>
          <w:rFonts w:ascii="Arial" w:eastAsia="Arial" w:hAnsi="Arial" w:cs="Arial"/>
          <w:b/>
        </w:rPr>
        <w:t xml:space="preserve"> </w:t>
      </w:r>
      <w:r w:rsidR="004B66BC" w:rsidRPr="004B66BC">
        <w:rPr>
          <w:rFonts w:ascii="Arial" w:eastAsia="Arial" w:hAnsi="Arial" w:cs="Arial"/>
        </w:rPr>
        <w:t xml:space="preserve">Los resultados, se fundamentan en la información solicitada a la Oficina Asesora de Planeación, a través de memorando con radicado No. </w:t>
      </w:r>
      <w:r w:rsidR="00C94F30" w:rsidRPr="00C94F30">
        <w:rPr>
          <w:rFonts w:ascii="Arial" w:eastAsia="Arial" w:hAnsi="Arial" w:cs="Arial"/>
        </w:rPr>
        <w:t>20221200123233</w:t>
      </w:r>
      <w:r w:rsidR="004B66BC" w:rsidRPr="004B66BC">
        <w:rPr>
          <w:rFonts w:ascii="Arial" w:eastAsia="Arial" w:hAnsi="Arial" w:cs="Arial"/>
        </w:rPr>
        <w:t xml:space="preserve"> del 0</w:t>
      </w:r>
      <w:r w:rsidR="00C94F30">
        <w:rPr>
          <w:rFonts w:ascii="Arial" w:eastAsia="Arial" w:hAnsi="Arial" w:cs="Arial"/>
        </w:rPr>
        <w:t>5</w:t>
      </w:r>
      <w:r w:rsidR="004B66BC" w:rsidRPr="004B66BC">
        <w:rPr>
          <w:rFonts w:ascii="Arial" w:eastAsia="Arial" w:hAnsi="Arial" w:cs="Arial"/>
        </w:rPr>
        <w:t>/0</w:t>
      </w:r>
      <w:r w:rsidR="00C94F30">
        <w:rPr>
          <w:rFonts w:ascii="Arial" w:eastAsia="Arial" w:hAnsi="Arial" w:cs="Arial"/>
        </w:rPr>
        <w:t>9</w:t>
      </w:r>
      <w:r w:rsidR="004B66BC" w:rsidRPr="004B66BC">
        <w:rPr>
          <w:rFonts w:ascii="Arial" w:eastAsia="Arial" w:hAnsi="Arial" w:cs="Arial"/>
        </w:rPr>
        <w:t xml:space="preserve">/2022 y respondida con radicado </w:t>
      </w:r>
      <w:r w:rsidR="00617092" w:rsidRPr="00617092">
        <w:rPr>
          <w:rFonts w:ascii="Arial" w:eastAsia="Arial" w:hAnsi="Arial" w:cs="Arial"/>
        </w:rPr>
        <w:t>20222200124403</w:t>
      </w:r>
      <w:r w:rsidR="004B66BC" w:rsidRPr="004B66BC">
        <w:rPr>
          <w:rFonts w:ascii="Arial" w:eastAsia="Arial" w:hAnsi="Arial" w:cs="Arial"/>
        </w:rPr>
        <w:t xml:space="preserve"> del 0</w:t>
      </w:r>
      <w:r w:rsidR="00617092">
        <w:rPr>
          <w:rFonts w:ascii="Arial" w:eastAsia="Arial" w:hAnsi="Arial" w:cs="Arial"/>
        </w:rPr>
        <w:t>7</w:t>
      </w:r>
      <w:r w:rsidR="004B66BC" w:rsidRPr="004B66BC">
        <w:rPr>
          <w:rFonts w:ascii="Arial" w:eastAsia="Arial" w:hAnsi="Arial" w:cs="Arial"/>
        </w:rPr>
        <w:t>/0</w:t>
      </w:r>
      <w:r w:rsidR="00617092">
        <w:rPr>
          <w:rFonts w:ascii="Arial" w:eastAsia="Arial" w:hAnsi="Arial" w:cs="Arial"/>
        </w:rPr>
        <w:t>9</w:t>
      </w:r>
      <w:r w:rsidR="004B66BC" w:rsidRPr="004B66BC">
        <w:rPr>
          <w:rFonts w:ascii="Arial" w:eastAsia="Arial" w:hAnsi="Arial" w:cs="Arial"/>
        </w:rPr>
        <w:t>/2022, para lo cual fueron verificados los documentos registrados en la carpeta compartida de la OAP y en lo publicado oficialmente en la página Web de la entidad micrositio de transparencia.</w:t>
      </w:r>
    </w:p>
    <w:p w14:paraId="0F87F1E7" w14:textId="0EA7C7A9" w:rsidR="00906580" w:rsidRDefault="00743167" w:rsidP="00634C71">
      <w:pPr>
        <w:pStyle w:val="Subttulo"/>
        <w:numPr>
          <w:ilvl w:val="0"/>
          <w:numId w:val="1"/>
        </w:numPr>
        <w:tabs>
          <w:tab w:val="left" w:pos="284"/>
        </w:tabs>
        <w:spacing w:before="120" w:after="120"/>
        <w:ind w:left="284" w:right="-234" w:hanging="284"/>
        <w:jc w:val="left"/>
        <w:rPr>
          <w:rFonts w:ascii="Arial" w:eastAsia="Arial" w:hAnsi="Arial" w:cs="Arial"/>
        </w:rPr>
      </w:pPr>
      <w:r w:rsidRPr="002D0BC6">
        <w:rPr>
          <w:rFonts w:ascii="Arial" w:eastAsia="Arial" w:hAnsi="Arial" w:cs="Arial"/>
          <w:b/>
        </w:rPr>
        <w:t xml:space="preserve">Limitaciones </w:t>
      </w:r>
      <w:r w:rsidR="00FA4153" w:rsidRPr="002D0BC6">
        <w:rPr>
          <w:rFonts w:ascii="Arial" w:eastAsia="Arial" w:hAnsi="Arial" w:cs="Arial"/>
          <w:b/>
        </w:rPr>
        <w:t>al seguimiento o evaluación</w:t>
      </w:r>
      <w:r w:rsidRPr="002D0BC6">
        <w:rPr>
          <w:rFonts w:ascii="Arial" w:eastAsia="Arial" w:hAnsi="Arial" w:cs="Arial"/>
          <w:b/>
        </w:rPr>
        <w:t>:</w:t>
      </w:r>
      <w:r w:rsidR="003F7048">
        <w:rPr>
          <w:rFonts w:ascii="Arial" w:eastAsia="Arial" w:hAnsi="Arial" w:cs="Arial"/>
          <w:b/>
        </w:rPr>
        <w:t xml:space="preserve"> </w:t>
      </w:r>
      <w:r w:rsidR="003F7048" w:rsidRPr="003F7048">
        <w:rPr>
          <w:rFonts w:ascii="Arial" w:eastAsia="Arial" w:hAnsi="Arial" w:cs="Arial"/>
        </w:rPr>
        <w:t>Ninguna</w:t>
      </w:r>
    </w:p>
    <w:p w14:paraId="017538A1" w14:textId="77777777" w:rsidR="003038A6" w:rsidRPr="00FA4153" w:rsidRDefault="003038A6" w:rsidP="003038A6">
      <w:pPr>
        <w:pStyle w:val="Ttulo1"/>
        <w:spacing w:before="240" w:line="240" w:lineRule="auto"/>
        <w:ind w:left="-142" w:right="-234"/>
        <w:jc w:val="both"/>
        <w:rPr>
          <w:color w:val="002060"/>
        </w:rPr>
      </w:pPr>
      <w:bookmarkStart w:id="1" w:name="_Hlk113641393"/>
      <w:bookmarkStart w:id="2" w:name="_Hlk113641341"/>
      <w:r>
        <w:rPr>
          <w:color w:val="002060"/>
        </w:rPr>
        <w:t>RESULTADOS DE LA EVALUACIÓN Y/O SEGUIMIENTO</w:t>
      </w:r>
    </w:p>
    <w:bookmarkEnd w:id="1"/>
    <w:bookmarkEnd w:id="2"/>
    <w:p w14:paraId="6C670DC6" w14:textId="48884BBB" w:rsidR="003E6CBF" w:rsidRDefault="003E6CBF" w:rsidP="003E6CBF"/>
    <w:p w14:paraId="5A61ABE0" w14:textId="321046E9" w:rsidR="00E36C98" w:rsidRPr="0084548C" w:rsidRDefault="003038A6" w:rsidP="0084548C">
      <w:pPr>
        <w:pStyle w:val="Subttulo"/>
        <w:spacing w:before="120" w:after="120"/>
        <w:ind w:left="-142" w:right="-234"/>
        <w:jc w:val="both"/>
        <w:rPr>
          <w:rFonts w:ascii="Arial" w:hAnsi="Arial" w:cs="Arial"/>
          <w:b/>
          <w:bCs/>
        </w:rPr>
      </w:pPr>
      <w:r w:rsidRPr="00361A35">
        <w:rPr>
          <w:rFonts w:ascii="Arial" w:hAnsi="Arial" w:cs="Arial"/>
          <w:b/>
          <w:bCs/>
        </w:rPr>
        <w:t>H</w:t>
      </w:r>
      <w:r>
        <w:rPr>
          <w:rFonts w:ascii="Arial" w:hAnsi="Arial" w:cs="Arial"/>
          <w:b/>
          <w:bCs/>
        </w:rPr>
        <w:t>allazgos</w:t>
      </w:r>
    </w:p>
    <w:p w14:paraId="2C2A86E2" w14:textId="77777777" w:rsidR="003038A6" w:rsidRDefault="003038A6" w:rsidP="003038A6">
      <w:pPr>
        <w:pStyle w:val="Subttulo"/>
        <w:numPr>
          <w:ilvl w:val="0"/>
          <w:numId w:val="1"/>
        </w:numPr>
        <w:tabs>
          <w:tab w:val="left" w:pos="284"/>
        </w:tabs>
        <w:spacing w:before="120" w:after="120"/>
        <w:ind w:left="-142" w:right="-234" w:firstLine="0"/>
        <w:jc w:val="left"/>
        <w:rPr>
          <w:rFonts w:ascii="Arial" w:eastAsia="Arial" w:hAnsi="Arial" w:cs="Arial"/>
          <w:b/>
        </w:rPr>
      </w:pPr>
      <w:r w:rsidRPr="002D0BC6">
        <w:rPr>
          <w:rFonts w:ascii="Arial" w:eastAsia="Arial" w:hAnsi="Arial" w:cs="Arial"/>
          <w:b/>
        </w:rPr>
        <w:t>Fortalezas evidenciadas:</w:t>
      </w:r>
    </w:p>
    <w:tbl>
      <w:tblPr>
        <w:tblW w:w="9356" w:type="dxa"/>
        <w:tblInd w:w="137" w:type="dxa"/>
        <w:tblBorders>
          <w:top w:val="dotted" w:sz="4" w:space="0" w:color="000000"/>
          <w:left w:val="dotted" w:sz="4" w:space="0" w:color="000000"/>
          <w:bottom w:val="dotted" w:sz="4" w:space="0" w:color="000000"/>
          <w:right w:val="dotted" w:sz="4" w:space="0" w:color="000000"/>
          <w:insideH w:val="dotted" w:sz="4" w:space="0" w:color="000000"/>
          <w:insideV w:val="single" w:sz="4" w:space="0" w:color="000000"/>
        </w:tblBorders>
        <w:tblLayout w:type="fixed"/>
        <w:tblLook w:val="0400" w:firstRow="0" w:lastRow="0" w:firstColumn="0" w:lastColumn="0" w:noHBand="0" w:noVBand="1"/>
      </w:tblPr>
      <w:tblGrid>
        <w:gridCol w:w="851"/>
        <w:gridCol w:w="8505"/>
      </w:tblGrid>
      <w:tr w:rsidR="000E24A7" w14:paraId="04F009FC" w14:textId="77777777" w:rsidTr="00A31A99">
        <w:trPr>
          <w:trHeight w:val="404"/>
          <w:tblHeader/>
        </w:trPr>
        <w:tc>
          <w:tcPr>
            <w:tcW w:w="851" w:type="dxa"/>
            <w:tcBorders>
              <w:right w:val="dotted" w:sz="4" w:space="0" w:color="000000"/>
            </w:tcBorders>
            <w:shd w:val="clear" w:color="auto" w:fill="F2F2F2"/>
            <w:vAlign w:val="center"/>
          </w:tcPr>
          <w:p w14:paraId="537477D9" w14:textId="77777777" w:rsidR="000E24A7" w:rsidRPr="004F6ABD" w:rsidRDefault="000E24A7" w:rsidP="00A31A99">
            <w:pPr>
              <w:spacing w:before="120" w:after="120"/>
              <w:jc w:val="center"/>
              <w:rPr>
                <w:rFonts w:ascii="Arial" w:hAnsi="Arial" w:cs="Arial"/>
                <w:b/>
                <w:color w:val="000000"/>
                <w:sz w:val="24"/>
                <w:szCs w:val="24"/>
              </w:rPr>
            </w:pPr>
            <w:r w:rsidRPr="004F6ABD">
              <w:rPr>
                <w:rFonts w:ascii="Arial" w:hAnsi="Arial" w:cs="Arial"/>
                <w:b/>
                <w:color w:val="000000"/>
                <w:sz w:val="24"/>
                <w:szCs w:val="24"/>
              </w:rPr>
              <w:t>No.</w:t>
            </w:r>
          </w:p>
        </w:tc>
        <w:tc>
          <w:tcPr>
            <w:tcW w:w="8505" w:type="dxa"/>
            <w:tcBorders>
              <w:left w:val="dotted" w:sz="4" w:space="0" w:color="000000"/>
            </w:tcBorders>
            <w:shd w:val="clear" w:color="auto" w:fill="F2F2F2"/>
            <w:vAlign w:val="center"/>
          </w:tcPr>
          <w:p w14:paraId="3626AE0D" w14:textId="7E95BE25" w:rsidR="000E24A7" w:rsidRPr="004F6ABD" w:rsidRDefault="000E24A7" w:rsidP="00A31A99">
            <w:pPr>
              <w:spacing w:before="120" w:after="120"/>
              <w:jc w:val="center"/>
              <w:rPr>
                <w:rFonts w:ascii="Arial" w:hAnsi="Arial" w:cs="Arial"/>
                <w:b/>
                <w:color w:val="000000"/>
                <w:sz w:val="24"/>
                <w:szCs w:val="24"/>
              </w:rPr>
            </w:pPr>
            <w:r w:rsidRPr="004F6ABD">
              <w:rPr>
                <w:rFonts w:ascii="Arial" w:hAnsi="Arial" w:cs="Arial"/>
                <w:b/>
                <w:color w:val="000000"/>
                <w:sz w:val="24"/>
                <w:szCs w:val="24"/>
              </w:rPr>
              <w:t>Descripción Fortaleza</w:t>
            </w:r>
          </w:p>
        </w:tc>
      </w:tr>
      <w:tr w:rsidR="000E24A7" w14:paraId="1410CC7D" w14:textId="77777777" w:rsidTr="00A31A99">
        <w:trPr>
          <w:trHeight w:val="454"/>
        </w:trPr>
        <w:tc>
          <w:tcPr>
            <w:tcW w:w="851" w:type="dxa"/>
            <w:tcBorders>
              <w:right w:val="dotted" w:sz="4" w:space="0" w:color="000000"/>
            </w:tcBorders>
            <w:shd w:val="clear" w:color="auto" w:fill="auto"/>
            <w:vAlign w:val="center"/>
          </w:tcPr>
          <w:p w14:paraId="07BBB32F" w14:textId="22E33154" w:rsidR="000E24A7" w:rsidRPr="004F6ABD" w:rsidRDefault="00E36C98" w:rsidP="00A31A99">
            <w:pPr>
              <w:jc w:val="center"/>
              <w:rPr>
                <w:rFonts w:ascii="Arial" w:hAnsi="Arial" w:cs="Arial"/>
                <w:color w:val="000000"/>
                <w:sz w:val="24"/>
                <w:szCs w:val="24"/>
              </w:rPr>
            </w:pPr>
            <w:r>
              <w:rPr>
                <w:rFonts w:ascii="Arial" w:hAnsi="Arial" w:cs="Arial"/>
                <w:color w:val="000000"/>
                <w:sz w:val="24"/>
                <w:szCs w:val="24"/>
              </w:rPr>
              <w:t>1</w:t>
            </w:r>
          </w:p>
        </w:tc>
        <w:tc>
          <w:tcPr>
            <w:tcW w:w="8505" w:type="dxa"/>
            <w:tcBorders>
              <w:left w:val="dotted" w:sz="4" w:space="0" w:color="000000"/>
            </w:tcBorders>
            <w:shd w:val="clear" w:color="auto" w:fill="auto"/>
            <w:vAlign w:val="center"/>
          </w:tcPr>
          <w:p w14:paraId="46D5D31D" w14:textId="2B8DD6D7" w:rsidR="000E24A7" w:rsidRPr="004F6ABD" w:rsidRDefault="00E36C98" w:rsidP="00A31A99">
            <w:pPr>
              <w:rPr>
                <w:rFonts w:ascii="Arial" w:hAnsi="Arial" w:cs="Arial"/>
                <w:color w:val="000000"/>
                <w:sz w:val="24"/>
                <w:szCs w:val="24"/>
              </w:rPr>
            </w:pPr>
            <w:r>
              <w:rPr>
                <w:rFonts w:ascii="Arial" w:hAnsi="Arial" w:cs="Arial"/>
                <w:color w:val="000000"/>
                <w:sz w:val="24"/>
                <w:szCs w:val="24"/>
              </w:rPr>
              <w:t xml:space="preserve">Correcta disposición de los documentos soporte que dan cuenta del cumplimiento de las actividades en las carpetas compartidas dispuestas por la entidad para tal fin </w:t>
            </w:r>
          </w:p>
        </w:tc>
      </w:tr>
      <w:tr w:rsidR="000E24A7" w14:paraId="572E9799" w14:textId="77777777" w:rsidTr="00A31A99">
        <w:trPr>
          <w:trHeight w:val="490"/>
        </w:trPr>
        <w:tc>
          <w:tcPr>
            <w:tcW w:w="851" w:type="dxa"/>
            <w:tcBorders>
              <w:right w:val="dotted" w:sz="4" w:space="0" w:color="000000"/>
            </w:tcBorders>
            <w:shd w:val="clear" w:color="auto" w:fill="auto"/>
            <w:vAlign w:val="center"/>
          </w:tcPr>
          <w:p w14:paraId="63819FCA" w14:textId="700B9BE5" w:rsidR="000E24A7" w:rsidRPr="004F6ABD" w:rsidRDefault="00E36C98" w:rsidP="00A31A99">
            <w:pPr>
              <w:jc w:val="center"/>
              <w:rPr>
                <w:rFonts w:ascii="Arial" w:hAnsi="Arial" w:cs="Arial"/>
                <w:color w:val="000000"/>
                <w:sz w:val="24"/>
                <w:szCs w:val="24"/>
              </w:rPr>
            </w:pPr>
            <w:r>
              <w:rPr>
                <w:rFonts w:ascii="Arial" w:hAnsi="Arial" w:cs="Arial"/>
                <w:color w:val="000000"/>
                <w:sz w:val="24"/>
                <w:szCs w:val="24"/>
              </w:rPr>
              <w:t>2</w:t>
            </w:r>
          </w:p>
        </w:tc>
        <w:tc>
          <w:tcPr>
            <w:tcW w:w="8505" w:type="dxa"/>
            <w:tcBorders>
              <w:left w:val="dotted" w:sz="4" w:space="0" w:color="000000"/>
            </w:tcBorders>
            <w:shd w:val="clear" w:color="auto" w:fill="auto"/>
            <w:vAlign w:val="center"/>
          </w:tcPr>
          <w:p w14:paraId="7EDBF40D" w14:textId="7CFD7C94" w:rsidR="000E24A7" w:rsidRPr="004F6ABD" w:rsidRDefault="00E36C98" w:rsidP="00A31A99">
            <w:pPr>
              <w:rPr>
                <w:rFonts w:ascii="Arial" w:hAnsi="Arial" w:cs="Arial"/>
                <w:color w:val="000000"/>
                <w:sz w:val="24"/>
                <w:szCs w:val="24"/>
              </w:rPr>
            </w:pPr>
            <w:r>
              <w:rPr>
                <w:rFonts w:ascii="Arial" w:hAnsi="Arial" w:cs="Arial"/>
                <w:color w:val="000000"/>
                <w:sz w:val="24"/>
                <w:szCs w:val="24"/>
              </w:rPr>
              <w:t>Oportunidad en la entrega de información por parte de la segunda línea de defensa</w:t>
            </w:r>
          </w:p>
        </w:tc>
      </w:tr>
    </w:tbl>
    <w:p w14:paraId="2C400444" w14:textId="77777777" w:rsidR="00D7572E" w:rsidRDefault="00D7572E" w:rsidP="00D7572E">
      <w:pPr>
        <w:pStyle w:val="Subttulo"/>
        <w:tabs>
          <w:tab w:val="left" w:pos="284"/>
        </w:tabs>
        <w:spacing w:before="120" w:after="120"/>
        <w:ind w:left="-142" w:right="-234"/>
        <w:jc w:val="left"/>
        <w:rPr>
          <w:rFonts w:ascii="Arial" w:eastAsia="Arial" w:hAnsi="Arial" w:cs="Arial"/>
          <w:b/>
        </w:rPr>
      </w:pPr>
    </w:p>
    <w:p w14:paraId="0B6FA8DC" w14:textId="441D1F21" w:rsidR="003038A6" w:rsidRDefault="003038A6" w:rsidP="003038A6">
      <w:pPr>
        <w:pStyle w:val="Subttulo"/>
        <w:numPr>
          <w:ilvl w:val="0"/>
          <w:numId w:val="1"/>
        </w:numPr>
        <w:tabs>
          <w:tab w:val="left" w:pos="284"/>
        </w:tabs>
        <w:spacing w:before="120" w:after="120"/>
        <w:ind w:left="-142" w:right="-234" w:firstLine="0"/>
        <w:jc w:val="left"/>
        <w:rPr>
          <w:rFonts w:ascii="Arial" w:eastAsia="Arial" w:hAnsi="Arial" w:cs="Arial"/>
          <w:b/>
        </w:rPr>
      </w:pPr>
      <w:r w:rsidRPr="002D0BC6">
        <w:rPr>
          <w:rFonts w:ascii="Arial" w:eastAsia="Arial" w:hAnsi="Arial" w:cs="Arial"/>
          <w:b/>
        </w:rPr>
        <w:lastRenderedPageBreak/>
        <w:t>Observaciones:</w:t>
      </w:r>
    </w:p>
    <w:tbl>
      <w:tblPr>
        <w:tblW w:w="9356" w:type="dxa"/>
        <w:tblInd w:w="137" w:type="dxa"/>
        <w:tblBorders>
          <w:top w:val="dotted" w:sz="4" w:space="0" w:color="000000"/>
          <w:left w:val="dotted" w:sz="4" w:space="0" w:color="000000"/>
          <w:bottom w:val="dotted" w:sz="4" w:space="0" w:color="000000"/>
          <w:right w:val="dotted" w:sz="4" w:space="0" w:color="000000"/>
          <w:insideH w:val="dotted" w:sz="4" w:space="0" w:color="000000"/>
          <w:insideV w:val="single" w:sz="4" w:space="0" w:color="000000"/>
        </w:tblBorders>
        <w:tblLayout w:type="fixed"/>
        <w:tblLook w:val="0400" w:firstRow="0" w:lastRow="0" w:firstColumn="0" w:lastColumn="0" w:noHBand="0" w:noVBand="1"/>
      </w:tblPr>
      <w:tblGrid>
        <w:gridCol w:w="851"/>
        <w:gridCol w:w="8505"/>
      </w:tblGrid>
      <w:tr w:rsidR="000E24A7" w14:paraId="09B034B4" w14:textId="77777777" w:rsidTr="00A31A99">
        <w:trPr>
          <w:trHeight w:val="404"/>
          <w:tblHeader/>
        </w:trPr>
        <w:tc>
          <w:tcPr>
            <w:tcW w:w="851" w:type="dxa"/>
            <w:tcBorders>
              <w:right w:val="dotted" w:sz="4" w:space="0" w:color="000000"/>
            </w:tcBorders>
            <w:shd w:val="clear" w:color="auto" w:fill="F2F2F2"/>
            <w:vAlign w:val="center"/>
          </w:tcPr>
          <w:p w14:paraId="48CC2E58" w14:textId="77777777" w:rsidR="000E24A7" w:rsidRPr="004F6ABD" w:rsidRDefault="000E24A7" w:rsidP="00A31A99">
            <w:pPr>
              <w:spacing w:before="120" w:after="120"/>
              <w:jc w:val="center"/>
              <w:rPr>
                <w:rFonts w:ascii="Arial" w:hAnsi="Arial" w:cs="Arial"/>
                <w:b/>
                <w:color w:val="000000"/>
                <w:sz w:val="24"/>
                <w:szCs w:val="24"/>
              </w:rPr>
            </w:pPr>
            <w:r w:rsidRPr="004F6ABD">
              <w:rPr>
                <w:rFonts w:ascii="Arial" w:hAnsi="Arial" w:cs="Arial"/>
                <w:b/>
                <w:color w:val="000000"/>
                <w:sz w:val="24"/>
                <w:szCs w:val="24"/>
              </w:rPr>
              <w:t>No.</w:t>
            </w:r>
          </w:p>
        </w:tc>
        <w:tc>
          <w:tcPr>
            <w:tcW w:w="8505" w:type="dxa"/>
            <w:tcBorders>
              <w:left w:val="dotted" w:sz="4" w:space="0" w:color="000000"/>
            </w:tcBorders>
            <w:shd w:val="clear" w:color="auto" w:fill="F2F2F2"/>
            <w:vAlign w:val="center"/>
          </w:tcPr>
          <w:p w14:paraId="5C1AC2CE" w14:textId="51AC85E1" w:rsidR="000E24A7" w:rsidRPr="004F6ABD" w:rsidRDefault="000E24A7" w:rsidP="00A31A99">
            <w:pPr>
              <w:spacing w:before="120" w:after="120"/>
              <w:jc w:val="center"/>
              <w:rPr>
                <w:rFonts w:ascii="Arial" w:hAnsi="Arial" w:cs="Arial"/>
                <w:b/>
                <w:color w:val="000000"/>
                <w:sz w:val="24"/>
                <w:szCs w:val="24"/>
              </w:rPr>
            </w:pPr>
            <w:r w:rsidRPr="004F6ABD">
              <w:rPr>
                <w:rFonts w:ascii="Arial" w:hAnsi="Arial" w:cs="Arial"/>
                <w:b/>
                <w:color w:val="000000"/>
                <w:sz w:val="24"/>
                <w:szCs w:val="24"/>
              </w:rPr>
              <w:t xml:space="preserve">Descripción </w:t>
            </w:r>
            <w:r>
              <w:rPr>
                <w:rFonts w:ascii="Arial" w:hAnsi="Arial" w:cs="Arial"/>
                <w:b/>
                <w:color w:val="000000"/>
                <w:sz w:val="24"/>
                <w:szCs w:val="24"/>
              </w:rPr>
              <w:t>Observación</w:t>
            </w:r>
          </w:p>
        </w:tc>
      </w:tr>
      <w:tr w:rsidR="000E24A7" w14:paraId="67D8D674" w14:textId="77777777" w:rsidTr="00A31A99">
        <w:trPr>
          <w:trHeight w:val="454"/>
        </w:trPr>
        <w:tc>
          <w:tcPr>
            <w:tcW w:w="851" w:type="dxa"/>
            <w:tcBorders>
              <w:right w:val="dotted" w:sz="4" w:space="0" w:color="000000"/>
            </w:tcBorders>
            <w:shd w:val="clear" w:color="auto" w:fill="auto"/>
            <w:vAlign w:val="center"/>
          </w:tcPr>
          <w:p w14:paraId="47E28507" w14:textId="1F766121" w:rsidR="000E24A7" w:rsidRPr="004F6ABD" w:rsidRDefault="00260A73" w:rsidP="00A31A99">
            <w:pPr>
              <w:jc w:val="center"/>
              <w:rPr>
                <w:rFonts w:ascii="Arial" w:hAnsi="Arial" w:cs="Arial"/>
                <w:color w:val="000000"/>
                <w:sz w:val="24"/>
                <w:szCs w:val="24"/>
              </w:rPr>
            </w:pPr>
            <w:r>
              <w:rPr>
                <w:rFonts w:ascii="Arial" w:hAnsi="Arial" w:cs="Arial"/>
                <w:color w:val="000000"/>
                <w:sz w:val="24"/>
                <w:szCs w:val="24"/>
              </w:rPr>
              <w:t>1</w:t>
            </w:r>
          </w:p>
        </w:tc>
        <w:tc>
          <w:tcPr>
            <w:tcW w:w="8505" w:type="dxa"/>
            <w:tcBorders>
              <w:left w:val="dotted" w:sz="4" w:space="0" w:color="000000"/>
            </w:tcBorders>
            <w:shd w:val="clear" w:color="auto" w:fill="auto"/>
            <w:vAlign w:val="center"/>
          </w:tcPr>
          <w:p w14:paraId="6CE2104F" w14:textId="77777777" w:rsidR="007972B6" w:rsidRDefault="00260A73" w:rsidP="00A31A99">
            <w:pPr>
              <w:rPr>
                <w:rFonts w:ascii="Arial" w:hAnsi="Arial" w:cs="Arial"/>
                <w:color w:val="000000"/>
                <w:sz w:val="24"/>
                <w:szCs w:val="24"/>
              </w:rPr>
            </w:pPr>
            <w:r w:rsidRPr="00260A73">
              <w:rPr>
                <w:rFonts w:ascii="Arial" w:hAnsi="Arial" w:cs="Arial"/>
                <w:color w:val="000000"/>
                <w:sz w:val="24"/>
                <w:szCs w:val="24"/>
              </w:rPr>
              <w:t xml:space="preserve">Una vez verificado el micrositio de transparencia en la página Web de la entidad, se observó que </w:t>
            </w:r>
            <w:r>
              <w:rPr>
                <w:rFonts w:ascii="Arial" w:hAnsi="Arial" w:cs="Arial"/>
                <w:color w:val="000000"/>
                <w:sz w:val="24"/>
                <w:szCs w:val="24"/>
              </w:rPr>
              <w:t xml:space="preserve">no ha sido publicado el </w:t>
            </w:r>
            <w:r w:rsidRPr="00260A73">
              <w:rPr>
                <w:rFonts w:ascii="Arial" w:hAnsi="Arial" w:cs="Arial"/>
                <w:color w:val="000000"/>
                <w:sz w:val="24"/>
                <w:szCs w:val="24"/>
              </w:rPr>
              <w:t xml:space="preserve">procedimiento </w:t>
            </w:r>
            <w:bookmarkStart w:id="3" w:name="_Hlk113636520"/>
            <w:r w:rsidR="00A53F3A">
              <w:rPr>
                <w:rFonts w:ascii="Arial" w:hAnsi="Arial" w:cs="Arial"/>
                <w:color w:val="000000"/>
                <w:sz w:val="24"/>
                <w:szCs w:val="24"/>
              </w:rPr>
              <w:t>“G</w:t>
            </w:r>
            <w:r w:rsidRPr="00260A73">
              <w:rPr>
                <w:rFonts w:ascii="Arial" w:hAnsi="Arial" w:cs="Arial"/>
                <w:color w:val="000000"/>
                <w:sz w:val="24"/>
                <w:szCs w:val="24"/>
              </w:rPr>
              <w:t>estión de riesgos</w:t>
            </w:r>
            <w:r w:rsidR="00A53F3A">
              <w:rPr>
                <w:rFonts w:ascii="Arial" w:hAnsi="Arial" w:cs="Arial"/>
                <w:color w:val="000000"/>
                <w:sz w:val="24"/>
                <w:szCs w:val="24"/>
              </w:rPr>
              <w:t>”</w:t>
            </w:r>
            <w:r w:rsidRPr="00260A73">
              <w:rPr>
                <w:rFonts w:ascii="Arial" w:hAnsi="Arial" w:cs="Arial"/>
                <w:color w:val="000000"/>
                <w:sz w:val="24"/>
                <w:szCs w:val="24"/>
              </w:rPr>
              <w:t xml:space="preserve"> V.4 vigente desde el 16 de junio 2022</w:t>
            </w:r>
            <w:bookmarkEnd w:id="3"/>
            <w:r w:rsidRPr="00260A73">
              <w:rPr>
                <w:rFonts w:ascii="Arial" w:hAnsi="Arial" w:cs="Arial"/>
                <w:color w:val="000000"/>
                <w:sz w:val="24"/>
                <w:szCs w:val="24"/>
              </w:rPr>
              <w:t xml:space="preserve"> </w:t>
            </w:r>
            <w:r w:rsidR="00A53F3A">
              <w:rPr>
                <w:rFonts w:ascii="Arial" w:hAnsi="Arial" w:cs="Arial"/>
                <w:color w:val="000000"/>
                <w:sz w:val="24"/>
                <w:szCs w:val="24"/>
              </w:rPr>
              <w:t xml:space="preserve">link: </w:t>
            </w:r>
            <w:hyperlink r:id="rId9" w:history="1">
              <w:r w:rsidR="00A53F3A" w:rsidRPr="006C73AC">
                <w:rPr>
                  <w:rStyle w:val="Hipervnculo"/>
                  <w:rFonts w:ascii="Arial" w:hAnsi="Arial" w:cs="Arial"/>
                  <w:sz w:val="24"/>
                  <w:szCs w:val="24"/>
                </w:rPr>
                <w:t>https://idpc.gov.co/%25taxonomyeracterizacion-de-procesos-y-procedimientos</w:t>
              </w:r>
            </w:hyperlink>
            <w:r w:rsidR="00A53F3A">
              <w:rPr>
                <w:rFonts w:ascii="Arial" w:hAnsi="Arial" w:cs="Arial"/>
                <w:color w:val="000000"/>
                <w:sz w:val="24"/>
                <w:szCs w:val="24"/>
              </w:rPr>
              <w:t xml:space="preserve">, </w:t>
            </w:r>
            <w:r w:rsidRPr="00260A73">
              <w:rPr>
                <w:rFonts w:ascii="Arial" w:hAnsi="Arial" w:cs="Arial"/>
                <w:color w:val="000000"/>
                <w:sz w:val="24"/>
                <w:szCs w:val="24"/>
              </w:rPr>
              <w:t>vinculado al proceso "</w:t>
            </w:r>
            <w:r w:rsidR="00A53F3A">
              <w:rPr>
                <w:rFonts w:ascii="Arial" w:hAnsi="Arial" w:cs="Arial"/>
                <w:color w:val="000000"/>
                <w:sz w:val="24"/>
                <w:szCs w:val="24"/>
              </w:rPr>
              <w:t>F</w:t>
            </w:r>
            <w:r w:rsidRPr="00260A73">
              <w:rPr>
                <w:rFonts w:ascii="Arial" w:hAnsi="Arial" w:cs="Arial"/>
                <w:color w:val="000000"/>
                <w:sz w:val="24"/>
                <w:szCs w:val="24"/>
              </w:rPr>
              <w:t>ortalecimiento del SIG"</w:t>
            </w:r>
          </w:p>
          <w:p w14:paraId="7287A8DB" w14:textId="79396DF2" w:rsidR="007972B6" w:rsidRDefault="007972B6" w:rsidP="00A31A99">
            <w:pPr>
              <w:rPr>
                <w:rFonts w:ascii="Arial" w:hAnsi="Arial" w:cs="Arial"/>
                <w:color w:val="000000"/>
                <w:sz w:val="24"/>
                <w:szCs w:val="24"/>
              </w:rPr>
            </w:pPr>
          </w:p>
          <w:p w14:paraId="58163AC1" w14:textId="714E1B5D" w:rsidR="000E24A7" w:rsidRPr="004F6ABD" w:rsidRDefault="00B313A4" w:rsidP="00B313A4">
            <w:pPr>
              <w:rPr>
                <w:rFonts w:ascii="Arial" w:hAnsi="Arial" w:cs="Arial"/>
                <w:color w:val="000000"/>
                <w:sz w:val="24"/>
                <w:szCs w:val="24"/>
              </w:rPr>
            </w:pPr>
            <w:r>
              <w:rPr>
                <w:rFonts w:ascii="Arial" w:hAnsi="Arial" w:cs="Arial"/>
                <w:color w:val="000000"/>
                <w:sz w:val="24"/>
                <w:szCs w:val="24"/>
              </w:rPr>
              <w:t>Sin embargo, si se encontraba publicado</w:t>
            </w:r>
            <w:r w:rsidR="00FC5D21" w:rsidRPr="00A53F3A">
              <w:rPr>
                <w:rFonts w:ascii="Arial" w:hAnsi="Arial" w:cs="Arial"/>
                <w:color w:val="000000"/>
                <w:sz w:val="24"/>
                <w:szCs w:val="24"/>
              </w:rPr>
              <w:t xml:space="preserve"> el </w:t>
            </w:r>
            <w:r w:rsidR="00FC5D21">
              <w:rPr>
                <w:rFonts w:ascii="Arial" w:hAnsi="Arial" w:cs="Arial"/>
                <w:color w:val="000000"/>
                <w:sz w:val="24"/>
                <w:szCs w:val="24"/>
              </w:rPr>
              <w:t>M</w:t>
            </w:r>
            <w:r w:rsidR="00FC5D21" w:rsidRPr="00A53F3A">
              <w:rPr>
                <w:rFonts w:ascii="Arial" w:hAnsi="Arial" w:cs="Arial"/>
                <w:color w:val="000000"/>
                <w:sz w:val="24"/>
                <w:szCs w:val="24"/>
              </w:rPr>
              <w:t>anual d</w:t>
            </w:r>
            <w:r>
              <w:rPr>
                <w:rFonts w:ascii="Arial" w:hAnsi="Arial" w:cs="Arial"/>
                <w:color w:val="000000"/>
                <w:sz w:val="24"/>
                <w:szCs w:val="24"/>
              </w:rPr>
              <w:t>e Gestión de riesgos, que fue reemplazado por el procedimiento (</w:t>
            </w:r>
            <w:r w:rsidR="00EA168D" w:rsidRPr="00EA168D">
              <w:rPr>
                <w:rFonts w:ascii="Arial" w:hAnsi="Arial" w:cs="Arial"/>
                <w:i/>
                <w:color w:val="000000"/>
                <w:sz w:val="22"/>
                <w:szCs w:val="24"/>
              </w:rPr>
              <w:t>Acción</w:t>
            </w:r>
            <w:r w:rsidR="007932E4">
              <w:rPr>
                <w:rFonts w:ascii="Arial" w:hAnsi="Arial" w:cs="Arial"/>
                <w:i/>
                <w:color w:val="000000"/>
                <w:sz w:val="22"/>
                <w:szCs w:val="24"/>
              </w:rPr>
              <w:t xml:space="preserve"> </w:t>
            </w:r>
            <w:r w:rsidR="00EA168D" w:rsidRPr="00EA168D">
              <w:rPr>
                <w:rFonts w:ascii="Arial" w:hAnsi="Arial" w:cs="Arial"/>
                <w:i/>
                <w:color w:val="000000"/>
                <w:sz w:val="22"/>
                <w:szCs w:val="24"/>
              </w:rPr>
              <w:t>1.1.1)</w:t>
            </w:r>
          </w:p>
        </w:tc>
      </w:tr>
    </w:tbl>
    <w:p w14:paraId="6FC55753" w14:textId="187D915D" w:rsidR="00AF1454" w:rsidRDefault="00AF1454" w:rsidP="003038A6">
      <w:pPr>
        <w:pStyle w:val="Subttulo"/>
        <w:tabs>
          <w:tab w:val="left" w:pos="284"/>
        </w:tabs>
        <w:spacing w:before="120" w:after="0"/>
        <w:ind w:left="-142" w:right="-234"/>
        <w:jc w:val="left"/>
        <w:rPr>
          <w:rFonts w:ascii="Arial" w:eastAsia="Arial" w:hAnsi="Arial" w:cs="Arial"/>
          <w:b/>
          <w:sz w:val="10"/>
        </w:rPr>
      </w:pPr>
    </w:p>
    <w:p w14:paraId="607C0035" w14:textId="053DF027" w:rsidR="003038A6" w:rsidRDefault="003038A6" w:rsidP="003038A6">
      <w:pPr>
        <w:pStyle w:val="Subttulo"/>
        <w:numPr>
          <w:ilvl w:val="0"/>
          <w:numId w:val="1"/>
        </w:numPr>
        <w:tabs>
          <w:tab w:val="left" w:pos="284"/>
        </w:tabs>
        <w:spacing w:before="120" w:after="0"/>
        <w:ind w:left="-142" w:right="-234" w:firstLine="0"/>
        <w:jc w:val="left"/>
        <w:rPr>
          <w:rFonts w:ascii="Arial" w:eastAsia="Arial" w:hAnsi="Arial" w:cs="Arial"/>
          <w:b/>
        </w:rPr>
      </w:pPr>
      <w:r w:rsidRPr="002D0BC6">
        <w:rPr>
          <w:rFonts w:ascii="Arial" w:eastAsia="Arial" w:hAnsi="Arial" w:cs="Arial"/>
          <w:b/>
        </w:rPr>
        <w:t>No conformidades detectadas:</w:t>
      </w:r>
    </w:p>
    <w:p w14:paraId="22E0F9F9" w14:textId="77777777" w:rsidR="00F466FE" w:rsidRPr="00F466FE" w:rsidRDefault="00F466FE" w:rsidP="00F466FE">
      <w:pPr>
        <w:rPr>
          <w:rFonts w:eastAsia="Arial"/>
        </w:rPr>
      </w:pPr>
    </w:p>
    <w:tbl>
      <w:tblPr>
        <w:tblW w:w="9356" w:type="dxa"/>
        <w:tblInd w:w="137" w:type="dxa"/>
        <w:tblBorders>
          <w:top w:val="dotted" w:sz="4" w:space="0" w:color="000000"/>
          <w:left w:val="dotted" w:sz="4" w:space="0" w:color="000000"/>
          <w:bottom w:val="dotted" w:sz="4" w:space="0" w:color="000000"/>
          <w:right w:val="dotted" w:sz="4" w:space="0" w:color="000000"/>
          <w:insideH w:val="dotted" w:sz="4" w:space="0" w:color="000000"/>
          <w:insideV w:val="single" w:sz="4" w:space="0" w:color="000000"/>
        </w:tblBorders>
        <w:tblLayout w:type="fixed"/>
        <w:tblLook w:val="0400" w:firstRow="0" w:lastRow="0" w:firstColumn="0" w:lastColumn="0" w:noHBand="0" w:noVBand="1"/>
      </w:tblPr>
      <w:tblGrid>
        <w:gridCol w:w="851"/>
        <w:gridCol w:w="8505"/>
      </w:tblGrid>
      <w:tr w:rsidR="00F466FE" w14:paraId="042EF9D1" w14:textId="77777777" w:rsidTr="0010749F">
        <w:trPr>
          <w:trHeight w:val="404"/>
          <w:tblHeader/>
        </w:trPr>
        <w:tc>
          <w:tcPr>
            <w:tcW w:w="851" w:type="dxa"/>
            <w:tcBorders>
              <w:right w:val="dotted" w:sz="4" w:space="0" w:color="000000"/>
            </w:tcBorders>
            <w:shd w:val="clear" w:color="auto" w:fill="F2F2F2"/>
            <w:vAlign w:val="center"/>
          </w:tcPr>
          <w:p w14:paraId="4CFC9546" w14:textId="77777777" w:rsidR="00F466FE" w:rsidRPr="004F6ABD" w:rsidRDefault="00F466FE" w:rsidP="0010749F">
            <w:pPr>
              <w:spacing w:before="120" w:after="120"/>
              <w:jc w:val="center"/>
              <w:rPr>
                <w:rFonts w:ascii="Arial" w:hAnsi="Arial" w:cs="Arial"/>
                <w:b/>
                <w:color w:val="000000"/>
                <w:sz w:val="24"/>
                <w:szCs w:val="24"/>
              </w:rPr>
            </w:pPr>
            <w:r w:rsidRPr="004F6ABD">
              <w:rPr>
                <w:rFonts w:ascii="Arial" w:hAnsi="Arial" w:cs="Arial"/>
                <w:b/>
                <w:color w:val="000000"/>
                <w:sz w:val="24"/>
                <w:szCs w:val="24"/>
              </w:rPr>
              <w:t>No.</w:t>
            </w:r>
          </w:p>
        </w:tc>
        <w:tc>
          <w:tcPr>
            <w:tcW w:w="8505" w:type="dxa"/>
            <w:tcBorders>
              <w:left w:val="dotted" w:sz="4" w:space="0" w:color="000000"/>
            </w:tcBorders>
            <w:shd w:val="clear" w:color="auto" w:fill="F2F2F2"/>
            <w:vAlign w:val="center"/>
          </w:tcPr>
          <w:p w14:paraId="10F78ED3" w14:textId="77777777" w:rsidR="00F466FE" w:rsidRPr="004F6ABD" w:rsidRDefault="00F466FE" w:rsidP="0010749F">
            <w:pPr>
              <w:spacing w:before="120" w:after="120"/>
              <w:jc w:val="center"/>
              <w:rPr>
                <w:rFonts w:ascii="Arial" w:hAnsi="Arial" w:cs="Arial"/>
                <w:b/>
                <w:color w:val="000000"/>
                <w:sz w:val="24"/>
                <w:szCs w:val="24"/>
              </w:rPr>
            </w:pPr>
            <w:r w:rsidRPr="004F6ABD">
              <w:rPr>
                <w:rFonts w:ascii="Arial" w:hAnsi="Arial" w:cs="Arial"/>
                <w:b/>
                <w:color w:val="000000"/>
                <w:sz w:val="24"/>
                <w:szCs w:val="24"/>
              </w:rPr>
              <w:t xml:space="preserve">Descripción </w:t>
            </w:r>
            <w:r>
              <w:rPr>
                <w:rFonts w:ascii="Arial" w:hAnsi="Arial" w:cs="Arial"/>
                <w:b/>
                <w:color w:val="000000"/>
                <w:sz w:val="24"/>
                <w:szCs w:val="24"/>
              </w:rPr>
              <w:t>No conformidad</w:t>
            </w:r>
          </w:p>
        </w:tc>
      </w:tr>
      <w:tr w:rsidR="00F466FE" w14:paraId="79FE7C18" w14:textId="77777777" w:rsidTr="0010749F">
        <w:trPr>
          <w:trHeight w:val="454"/>
        </w:trPr>
        <w:tc>
          <w:tcPr>
            <w:tcW w:w="851" w:type="dxa"/>
            <w:tcBorders>
              <w:right w:val="dotted" w:sz="4" w:space="0" w:color="000000"/>
            </w:tcBorders>
            <w:shd w:val="clear" w:color="auto" w:fill="auto"/>
            <w:vAlign w:val="center"/>
          </w:tcPr>
          <w:p w14:paraId="19326D24" w14:textId="77777777" w:rsidR="00F466FE" w:rsidRPr="004F6ABD" w:rsidRDefault="00F466FE" w:rsidP="0010749F">
            <w:pPr>
              <w:jc w:val="center"/>
              <w:rPr>
                <w:rFonts w:ascii="Arial" w:hAnsi="Arial" w:cs="Arial"/>
                <w:color w:val="000000"/>
                <w:sz w:val="24"/>
                <w:szCs w:val="24"/>
              </w:rPr>
            </w:pPr>
          </w:p>
        </w:tc>
        <w:tc>
          <w:tcPr>
            <w:tcW w:w="8505" w:type="dxa"/>
            <w:tcBorders>
              <w:left w:val="dotted" w:sz="4" w:space="0" w:color="000000"/>
            </w:tcBorders>
            <w:shd w:val="clear" w:color="auto" w:fill="auto"/>
            <w:vAlign w:val="center"/>
          </w:tcPr>
          <w:p w14:paraId="3E91C9FB" w14:textId="5A99AEAA" w:rsidR="00F466FE" w:rsidRPr="004F6ABD" w:rsidRDefault="00F466FE" w:rsidP="0010749F">
            <w:pPr>
              <w:rPr>
                <w:rFonts w:ascii="Arial" w:hAnsi="Arial" w:cs="Arial"/>
                <w:color w:val="000000"/>
                <w:sz w:val="24"/>
                <w:szCs w:val="24"/>
              </w:rPr>
            </w:pPr>
            <w:r>
              <w:rPr>
                <w:rFonts w:ascii="Arial" w:hAnsi="Arial" w:cs="Arial"/>
                <w:color w:val="000000"/>
                <w:sz w:val="24"/>
                <w:szCs w:val="24"/>
              </w:rPr>
              <w:t>No fueron detectadas en el seguimiento</w:t>
            </w:r>
          </w:p>
        </w:tc>
      </w:tr>
    </w:tbl>
    <w:p w14:paraId="76D73D11" w14:textId="6272666A" w:rsidR="003038A6" w:rsidRDefault="003038A6" w:rsidP="003038A6">
      <w:pPr>
        <w:pStyle w:val="Subttulo"/>
        <w:tabs>
          <w:tab w:val="left" w:pos="284"/>
        </w:tabs>
        <w:spacing w:before="120" w:after="0"/>
        <w:ind w:left="-142" w:right="-234"/>
        <w:jc w:val="left"/>
        <w:rPr>
          <w:rFonts w:ascii="Arial" w:eastAsia="Arial" w:hAnsi="Arial" w:cs="Arial"/>
          <w:b/>
          <w:sz w:val="10"/>
        </w:rPr>
      </w:pPr>
    </w:p>
    <w:p w14:paraId="12534AF5" w14:textId="11409D17" w:rsidR="003038A6" w:rsidRDefault="003038A6" w:rsidP="003038A6">
      <w:pPr>
        <w:pStyle w:val="Subttulo"/>
        <w:tabs>
          <w:tab w:val="left" w:pos="284"/>
        </w:tabs>
        <w:spacing w:before="120" w:after="0"/>
        <w:ind w:left="-142" w:right="-234"/>
        <w:jc w:val="left"/>
        <w:rPr>
          <w:rFonts w:ascii="Arial" w:hAnsi="Arial" w:cs="Arial"/>
          <w:b/>
          <w:bCs/>
        </w:rPr>
      </w:pPr>
      <w:r>
        <w:rPr>
          <w:rFonts w:ascii="Arial" w:eastAsia="Arial" w:hAnsi="Arial" w:cs="Arial"/>
          <w:b/>
        </w:rPr>
        <w:t xml:space="preserve">Detalle de </w:t>
      </w:r>
      <w:r w:rsidRPr="009823FE">
        <w:rPr>
          <w:rFonts w:ascii="Arial" w:hAnsi="Arial" w:cs="Arial"/>
          <w:b/>
          <w:bCs/>
        </w:rPr>
        <w:t>Hallazgos</w:t>
      </w:r>
    </w:p>
    <w:p w14:paraId="63801C2C" w14:textId="77777777" w:rsidR="003038A6" w:rsidRPr="003038A6" w:rsidRDefault="003038A6" w:rsidP="003038A6">
      <w:pPr>
        <w:rPr>
          <w:rFonts w:ascii="Arial" w:hAnsi="Arial" w:cs="Arial"/>
          <w:color w:val="000000"/>
          <w:sz w:val="16"/>
          <w:szCs w:val="24"/>
        </w:rPr>
      </w:pPr>
    </w:p>
    <w:p w14:paraId="4EF16C1C" w14:textId="77777777" w:rsidR="0084548C" w:rsidRPr="0084548C" w:rsidRDefault="0084548C" w:rsidP="0084548C">
      <w:pPr>
        <w:shd w:val="clear" w:color="auto" w:fill="FFFFFF"/>
        <w:overflowPunct/>
        <w:autoSpaceDE/>
        <w:autoSpaceDN/>
        <w:adjustRightInd/>
        <w:jc w:val="both"/>
        <w:textAlignment w:val="auto"/>
        <w:rPr>
          <w:sz w:val="28"/>
          <w:szCs w:val="24"/>
          <w:lang w:val="es-CO" w:eastAsia="es-CO"/>
        </w:rPr>
      </w:pPr>
      <w:r w:rsidRPr="0084548C">
        <w:rPr>
          <w:rFonts w:ascii="Arial" w:hAnsi="Arial" w:cs="Arial"/>
          <w:color w:val="000000"/>
          <w:sz w:val="24"/>
          <w:szCs w:val="22"/>
          <w:lang w:val="es-CO" w:eastAsia="es-CO"/>
        </w:rPr>
        <w:t>Conforme a lo establecido en la Ley 1474 de 2011 del Estatuto Anticorrupción, se debe elaborar anualmente una estrategia de lucha contra la corrupción y de atención al ciudadano, que contempla, entre otras cosas, el mapa de riesgos de corrupción en la respectiva entidad, las medidas concretas para mitigar esos riesgos, las estrategias anti trámites y los mecanismos para mejorar la atención al ciudadano.</w:t>
      </w:r>
    </w:p>
    <w:p w14:paraId="1ECD53C7" w14:textId="77777777" w:rsidR="0084548C" w:rsidRPr="0084548C" w:rsidRDefault="0084548C" w:rsidP="0084548C">
      <w:pPr>
        <w:shd w:val="clear" w:color="auto" w:fill="FFFFFF"/>
        <w:overflowPunct/>
        <w:autoSpaceDE/>
        <w:autoSpaceDN/>
        <w:adjustRightInd/>
        <w:jc w:val="both"/>
        <w:textAlignment w:val="auto"/>
        <w:rPr>
          <w:rFonts w:ascii="Arial" w:hAnsi="Arial" w:cs="Arial"/>
          <w:color w:val="000000"/>
          <w:sz w:val="24"/>
          <w:szCs w:val="22"/>
          <w:lang w:val="es-CO" w:eastAsia="es-CO"/>
        </w:rPr>
      </w:pPr>
    </w:p>
    <w:p w14:paraId="4613B875" w14:textId="77777777" w:rsidR="0084548C" w:rsidRPr="0084548C" w:rsidRDefault="0084548C" w:rsidP="0084548C">
      <w:pPr>
        <w:shd w:val="clear" w:color="auto" w:fill="FFFFFF"/>
        <w:overflowPunct/>
        <w:autoSpaceDE/>
        <w:autoSpaceDN/>
        <w:adjustRightInd/>
        <w:jc w:val="both"/>
        <w:textAlignment w:val="auto"/>
        <w:rPr>
          <w:sz w:val="28"/>
          <w:szCs w:val="24"/>
          <w:lang w:val="es-CO" w:eastAsia="es-CO"/>
        </w:rPr>
      </w:pPr>
      <w:r w:rsidRPr="0084548C">
        <w:rPr>
          <w:rFonts w:ascii="Arial" w:hAnsi="Arial" w:cs="Arial"/>
          <w:color w:val="000000"/>
          <w:sz w:val="24"/>
          <w:szCs w:val="22"/>
          <w:lang w:val="es-CO" w:eastAsia="es-CO"/>
        </w:rPr>
        <w:t>Es responsabilidad de Control Interno efectuar tres (3) seguimientos al año, esto es, con corte al 30 de abril, 31 de agosto y 31 de diciembre, cuyo resultado debe ser publicado los primeros 10 días hábiles del mes siguiente, es decir, en mayo, septiembre y enero.</w:t>
      </w:r>
    </w:p>
    <w:p w14:paraId="7D983F0F" w14:textId="77777777" w:rsidR="0084548C" w:rsidRPr="0084548C" w:rsidRDefault="0084548C" w:rsidP="0084548C">
      <w:pPr>
        <w:shd w:val="clear" w:color="auto" w:fill="FFFFFF"/>
        <w:overflowPunct/>
        <w:autoSpaceDE/>
        <w:autoSpaceDN/>
        <w:adjustRightInd/>
        <w:jc w:val="both"/>
        <w:textAlignment w:val="auto"/>
        <w:rPr>
          <w:rFonts w:ascii="Arial" w:hAnsi="Arial" w:cs="Arial"/>
          <w:color w:val="000000"/>
          <w:sz w:val="24"/>
          <w:szCs w:val="22"/>
          <w:lang w:val="es-CO" w:eastAsia="es-CO"/>
        </w:rPr>
      </w:pPr>
    </w:p>
    <w:p w14:paraId="54B82B7E" w14:textId="77777777" w:rsidR="0084548C" w:rsidRPr="0084548C" w:rsidRDefault="0084548C" w:rsidP="0084548C">
      <w:pPr>
        <w:shd w:val="clear" w:color="auto" w:fill="FFFFFF"/>
        <w:overflowPunct/>
        <w:autoSpaceDE/>
        <w:autoSpaceDN/>
        <w:adjustRightInd/>
        <w:jc w:val="both"/>
        <w:textAlignment w:val="auto"/>
        <w:rPr>
          <w:sz w:val="28"/>
          <w:szCs w:val="24"/>
          <w:lang w:val="es-CO" w:eastAsia="es-CO"/>
        </w:rPr>
      </w:pPr>
      <w:r w:rsidRPr="0084548C">
        <w:rPr>
          <w:rFonts w:ascii="Arial" w:hAnsi="Arial" w:cs="Arial"/>
          <w:color w:val="000000"/>
          <w:sz w:val="24"/>
          <w:szCs w:val="22"/>
          <w:lang w:val="es-CO" w:eastAsia="es-CO"/>
        </w:rPr>
        <w:t>Atendiendo lo anterior, se presenta el resultado de la evaluación con corte al 31 de agosto de 2022.</w:t>
      </w:r>
    </w:p>
    <w:p w14:paraId="3E0DBBF7" w14:textId="77777777" w:rsidR="0084548C" w:rsidRPr="0084548C" w:rsidRDefault="0084548C" w:rsidP="0084548C">
      <w:pPr>
        <w:overflowPunct/>
        <w:autoSpaceDE/>
        <w:autoSpaceDN/>
        <w:adjustRightInd/>
        <w:jc w:val="both"/>
        <w:textAlignment w:val="auto"/>
        <w:rPr>
          <w:rFonts w:ascii="Arial" w:hAnsi="Arial" w:cs="Arial"/>
          <w:color w:val="000000"/>
          <w:sz w:val="16"/>
          <w:szCs w:val="22"/>
          <w:lang w:val="es-CO" w:eastAsia="es-CO"/>
        </w:rPr>
      </w:pPr>
    </w:p>
    <w:p w14:paraId="2FF0C2AE" w14:textId="77777777" w:rsidR="0084548C" w:rsidRPr="0084548C" w:rsidRDefault="0084548C" w:rsidP="0084548C">
      <w:pPr>
        <w:overflowPunct/>
        <w:autoSpaceDE/>
        <w:autoSpaceDN/>
        <w:adjustRightInd/>
        <w:jc w:val="both"/>
        <w:textAlignment w:val="auto"/>
        <w:rPr>
          <w:rFonts w:ascii="Arial" w:hAnsi="Arial" w:cs="Arial"/>
          <w:color w:val="000000"/>
          <w:sz w:val="24"/>
          <w:szCs w:val="22"/>
          <w:lang w:val="es-CO" w:eastAsia="es-CO"/>
        </w:rPr>
      </w:pPr>
      <w:r w:rsidRPr="0084548C">
        <w:rPr>
          <w:rFonts w:ascii="Arial" w:hAnsi="Arial" w:cs="Arial"/>
          <w:color w:val="000000"/>
          <w:sz w:val="24"/>
          <w:szCs w:val="22"/>
          <w:lang w:val="es-CO" w:eastAsia="es-CO"/>
        </w:rPr>
        <w:t xml:space="preserve">Producto de la verificación realizada se observó que el Plan Anticorrupción formulado y aprobado por el Instituto, para la vigencia 2022, lo componen 69 acciones distribuidas en los 6 componentes de la siguiente forma: </w:t>
      </w:r>
    </w:p>
    <w:p w14:paraId="42695FC8" w14:textId="77777777" w:rsidR="0084548C" w:rsidRDefault="0084548C" w:rsidP="0084548C">
      <w:pPr>
        <w:overflowPunct/>
        <w:autoSpaceDE/>
        <w:autoSpaceDN/>
        <w:adjustRightInd/>
        <w:jc w:val="both"/>
        <w:textAlignment w:val="auto"/>
        <w:rPr>
          <w:rFonts w:ascii="Arial" w:hAnsi="Arial" w:cs="Arial"/>
          <w:color w:val="000000"/>
          <w:sz w:val="22"/>
          <w:szCs w:val="22"/>
          <w:lang w:val="es-CO" w:eastAsia="es-CO"/>
        </w:rPr>
      </w:pPr>
    </w:p>
    <w:p w14:paraId="30593F1F" w14:textId="77777777" w:rsidR="0084548C" w:rsidRDefault="0084548C" w:rsidP="0084548C">
      <w:pPr>
        <w:overflowPunct/>
        <w:autoSpaceDE/>
        <w:autoSpaceDN/>
        <w:adjustRightInd/>
        <w:jc w:val="both"/>
        <w:textAlignment w:val="auto"/>
        <w:rPr>
          <w:rFonts w:ascii="Arial" w:hAnsi="Arial" w:cs="Arial"/>
          <w:color w:val="000000"/>
          <w:sz w:val="22"/>
          <w:szCs w:val="22"/>
          <w:lang w:val="es-CO" w:eastAsia="es-CO"/>
        </w:rPr>
      </w:pPr>
    </w:p>
    <w:p w14:paraId="6AD753CA" w14:textId="77777777" w:rsidR="0084548C" w:rsidRDefault="0084548C" w:rsidP="0084548C">
      <w:pPr>
        <w:overflowPunct/>
        <w:autoSpaceDE/>
        <w:autoSpaceDN/>
        <w:adjustRightInd/>
        <w:jc w:val="both"/>
        <w:textAlignment w:val="auto"/>
        <w:rPr>
          <w:rFonts w:ascii="Arial" w:hAnsi="Arial" w:cs="Arial"/>
          <w:color w:val="000000"/>
          <w:sz w:val="22"/>
          <w:szCs w:val="22"/>
          <w:lang w:val="es-CO" w:eastAsia="es-CO"/>
        </w:rPr>
      </w:pPr>
    </w:p>
    <w:p w14:paraId="5C7CB1E0" w14:textId="77777777" w:rsidR="00B313A4" w:rsidRDefault="00B313A4" w:rsidP="0084548C">
      <w:pPr>
        <w:overflowPunct/>
        <w:autoSpaceDE/>
        <w:autoSpaceDN/>
        <w:adjustRightInd/>
        <w:jc w:val="both"/>
        <w:textAlignment w:val="auto"/>
        <w:rPr>
          <w:rFonts w:ascii="Arial" w:hAnsi="Arial" w:cs="Arial"/>
          <w:color w:val="000000"/>
          <w:sz w:val="22"/>
          <w:szCs w:val="22"/>
          <w:lang w:val="es-CO" w:eastAsia="es-CO"/>
        </w:rPr>
      </w:pPr>
    </w:p>
    <w:p w14:paraId="36C0B837" w14:textId="77777777" w:rsidR="00B313A4" w:rsidRDefault="00B313A4" w:rsidP="0084548C">
      <w:pPr>
        <w:overflowPunct/>
        <w:autoSpaceDE/>
        <w:autoSpaceDN/>
        <w:adjustRightInd/>
        <w:jc w:val="both"/>
        <w:textAlignment w:val="auto"/>
        <w:rPr>
          <w:rFonts w:ascii="Arial" w:hAnsi="Arial" w:cs="Arial"/>
          <w:color w:val="000000"/>
          <w:sz w:val="22"/>
          <w:szCs w:val="22"/>
          <w:lang w:val="es-CO" w:eastAsia="es-CO"/>
        </w:rPr>
      </w:pPr>
    </w:p>
    <w:p w14:paraId="1A67E7A8" w14:textId="77777777" w:rsidR="00B313A4" w:rsidRDefault="00B313A4" w:rsidP="0084548C">
      <w:pPr>
        <w:overflowPunct/>
        <w:autoSpaceDE/>
        <w:autoSpaceDN/>
        <w:adjustRightInd/>
        <w:jc w:val="both"/>
        <w:textAlignment w:val="auto"/>
        <w:rPr>
          <w:rFonts w:ascii="Arial" w:hAnsi="Arial" w:cs="Arial"/>
          <w:color w:val="000000"/>
          <w:sz w:val="22"/>
          <w:szCs w:val="22"/>
          <w:lang w:val="es-CO" w:eastAsia="es-CO"/>
        </w:rPr>
      </w:pPr>
    </w:p>
    <w:p w14:paraId="1F2ECB0F" w14:textId="77777777" w:rsidR="00B313A4" w:rsidRDefault="00B313A4" w:rsidP="0084548C">
      <w:pPr>
        <w:overflowPunct/>
        <w:autoSpaceDE/>
        <w:autoSpaceDN/>
        <w:adjustRightInd/>
        <w:jc w:val="both"/>
        <w:textAlignment w:val="auto"/>
        <w:rPr>
          <w:rFonts w:ascii="Arial" w:hAnsi="Arial" w:cs="Arial"/>
          <w:color w:val="000000"/>
          <w:sz w:val="22"/>
          <w:szCs w:val="22"/>
          <w:lang w:val="es-CO" w:eastAsia="es-CO"/>
        </w:rPr>
      </w:pPr>
    </w:p>
    <w:p w14:paraId="6130CCAC" w14:textId="77777777" w:rsidR="00B313A4" w:rsidRDefault="00B313A4" w:rsidP="0084548C">
      <w:pPr>
        <w:overflowPunct/>
        <w:autoSpaceDE/>
        <w:autoSpaceDN/>
        <w:adjustRightInd/>
        <w:jc w:val="both"/>
        <w:textAlignment w:val="auto"/>
        <w:rPr>
          <w:rFonts w:ascii="Arial" w:hAnsi="Arial" w:cs="Arial"/>
          <w:color w:val="000000"/>
          <w:sz w:val="22"/>
          <w:szCs w:val="22"/>
          <w:lang w:val="es-CO" w:eastAsia="es-CO"/>
        </w:rPr>
      </w:pPr>
    </w:p>
    <w:p w14:paraId="2828D49A" w14:textId="77777777" w:rsidR="00B313A4" w:rsidRDefault="00B313A4" w:rsidP="0084548C">
      <w:pPr>
        <w:overflowPunct/>
        <w:autoSpaceDE/>
        <w:autoSpaceDN/>
        <w:adjustRightInd/>
        <w:jc w:val="both"/>
        <w:textAlignment w:val="auto"/>
        <w:rPr>
          <w:rFonts w:ascii="Arial" w:hAnsi="Arial" w:cs="Arial"/>
          <w:color w:val="000000"/>
          <w:sz w:val="22"/>
          <w:szCs w:val="22"/>
          <w:lang w:val="es-CO" w:eastAsia="es-CO"/>
        </w:rPr>
      </w:pPr>
    </w:p>
    <w:p w14:paraId="4170E3EC" w14:textId="77777777" w:rsidR="00B313A4" w:rsidRDefault="00B313A4" w:rsidP="0084548C">
      <w:pPr>
        <w:overflowPunct/>
        <w:autoSpaceDE/>
        <w:autoSpaceDN/>
        <w:adjustRightInd/>
        <w:jc w:val="both"/>
        <w:textAlignment w:val="auto"/>
        <w:rPr>
          <w:rFonts w:ascii="Arial" w:hAnsi="Arial" w:cs="Arial"/>
          <w:color w:val="000000"/>
          <w:sz w:val="22"/>
          <w:szCs w:val="22"/>
          <w:lang w:val="es-CO" w:eastAsia="es-CO"/>
        </w:rPr>
      </w:pPr>
    </w:p>
    <w:p w14:paraId="5F8C5BF0" w14:textId="77777777" w:rsidR="0084548C" w:rsidRPr="0020549A" w:rsidRDefault="0084548C" w:rsidP="0084548C">
      <w:pPr>
        <w:overflowPunct/>
        <w:autoSpaceDE/>
        <w:autoSpaceDN/>
        <w:adjustRightInd/>
        <w:jc w:val="both"/>
        <w:textAlignment w:val="auto"/>
        <w:rPr>
          <w:rFonts w:ascii="Arial" w:hAnsi="Arial" w:cs="Arial"/>
          <w:b/>
          <w:color w:val="000000"/>
          <w:sz w:val="12"/>
          <w:szCs w:val="22"/>
          <w:lang w:val="es-CO" w:eastAsia="es-CO"/>
        </w:rPr>
      </w:pPr>
      <w:r>
        <w:rPr>
          <w:rFonts w:ascii="Arial" w:hAnsi="Arial" w:cs="Arial"/>
          <w:color w:val="000000"/>
          <w:sz w:val="12"/>
          <w:szCs w:val="22"/>
          <w:lang w:val="es-CO" w:eastAsia="es-CO"/>
        </w:rPr>
        <w:lastRenderedPageBreak/>
        <w:t xml:space="preserve">                                                                                 </w:t>
      </w:r>
      <w:r w:rsidRPr="00932042">
        <w:rPr>
          <w:rFonts w:ascii="Arial" w:hAnsi="Arial" w:cs="Arial"/>
          <w:b/>
          <w:color w:val="000000"/>
          <w:sz w:val="14"/>
          <w:szCs w:val="22"/>
          <w:lang w:val="es-CO" w:eastAsia="es-CO"/>
        </w:rPr>
        <w:t xml:space="preserve">Tabla </w:t>
      </w:r>
      <w:r>
        <w:rPr>
          <w:rFonts w:ascii="Arial" w:hAnsi="Arial" w:cs="Arial"/>
          <w:b/>
          <w:color w:val="000000"/>
          <w:sz w:val="14"/>
          <w:szCs w:val="22"/>
          <w:lang w:val="es-CO" w:eastAsia="es-CO"/>
        </w:rPr>
        <w:t>No.</w:t>
      </w:r>
      <w:r w:rsidRPr="00932042">
        <w:rPr>
          <w:rFonts w:ascii="Arial" w:hAnsi="Arial" w:cs="Arial"/>
          <w:b/>
          <w:color w:val="000000"/>
          <w:sz w:val="14"/>
          <w:szCs w:val="22"/>
          <w:lang w:val="es-CO" w:eastAsia="es-CO"/>
        </w:rPr>
        <w:t>1</w:t>
      </w:r>
      <w:r>
        <w:rPr>
          <w:rFonts w:ascii="Arial" w:hAnsi="Arial" w:cs="Arial"/>
          <w:b/>
          <w:color w:val="000000"/>
          <w:sz w:val="14"/>
          <w:szCs w:val="22"/>
          <w:lang w:val="es-CO" w:eastAsia="es-CO"/>
        </w:rPr>
        <w:t xml:space="preserve"> - </w:t>
      </w:r>
      <w:r w:rsidRPr="00932042">
        <w:rPr>
          <w:rFonts w:ascii="Arial" w:hAnsi="Arial" w:cs="Arial"/>
          <w:b/>
          <w:color w:val="000000"/>
          <w:sz w:val="14"/>
          <w:szCs w:val="22"/>
          <w:lang w:val="es-CO" w:eastAsia="es-CO"/>
        </w:rPr>
        <w:t>Distribución acciones por componente</w:t>
      </w:r>
    </w:p>
    <w:p w14:paraId="26AFEFB0" w14:textId="77777777" w:rsidR="0084548C" w:rsidRDefault="0084548C" w:rsidP="0084548C">
      <w:pPr>
        <w:ind w:left="1843"/>
        <w:rPr>
          <w:lang w:val="es-CO"/>
        </w:rPr>
      </w:pPr>
      <w:r w:rsidRPr="0020549A">
        <w:rPr>
          <w:noProof/>
          <w:lang w:val="es-CO" w:eastAsia="es-CO"/>
        </w:rPr>
        <w:drawing>
          <wp:inline distT="0" distB="0" distL="0" distR="0" wp14:anchorId="078D7C2A" wp14:editId="59E104BD">
            <wp:extent cx="3516538" cy="2224846"/>
            <wp:effectExtent l="0" t="0" r="825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2043" cy="2259963"/>
                    </a:xfrm>
                    <a:prstGeom prst="rect">
                      <a:avLst/>
                    </a:prstGeom>
                    <a:noFill/>
                    <a:ln>
                      <a:noFill/>
                    </a:ln>
                  </pic:spPr>
                </pic:pic>
              </a:graphicData>
            </a:graphic>
          </wp:inline>
        </w:drawing>
      </w:r>
    </w:p>
    <w:p w14:paraId="468B0330" w14:textId="77777777" w:rsidR="0084548C" w:rsidRPr="006E7450" w:rsidRDefault="0084548C" w:rsidP="0084548C">
      <w:pPr>
        <w:rPr>
          <w:rFonts w:ascii="Arial" w:hAnsi="Arial" w:cs="Arial"/>
          <w:b/>
          <w:i/>
          <w:sz w:val="12"/>
          <w:szCs w:val="14"/>
        </w:rPr>
      </w:pPr>
      <w:bookmarkStart w:id="4" w:name="_Hlk113623273"/>
      <w:r>
        <w:rPr>
          <w:rFonts w:ascii="Arial" w:hAnsi="Arial" w:cs="Arial"/>
          <w:i/>
          <w:sz w:val="12"/>
          <w:szCs w:val="14"/>
        </w:rPr>
        <w:t xml:space="preserve">                                                       </w:t>
      </w:r>
      <w:r w:rsidRPr="006E7450">
        <w:rPr>
          <w:rFonts w:ascii="Arial" w:hAnsi="Arial" w:cs="Arial"/>
          <w:b/>
          <w:i/>
          <w:sz w:val="12"/>
          <w:szCs w:val="14"/>
        </w:rPr>
        <w:t>Fuente: PAAC 2022</w:t>
      </w:r>
    </w:p>
    <w:p w14:paraId="5E061084" w14:textId="77777777" w:rsidR="0084548C" w:rsidRDefault="0084548C" w:rsidP="0084548C">
      <w:pPr>
        <w:rPr>
          <w:rFonts w:ascii="Arial" w:hAnsi="Arial" w:cs="Arial"/>
          <w:i/>
          <w:sz w:val="12"/>
          <w:szCs w:val="14"/>
        </w:rPr>
      </w:pPr>
    </w:p>
    <w:p w14:paraId="29B48E1E" w14:textId="77777777" w:rsidR="0084548C" w:rsidRDefault="0084548C" w:rsidP="0084548C">
      <w:pPr>
        <w:rPr>
          <w:rFonts w:ascii="Arial" w:hAnsi="Arial" w:cs="Arial"/>
          <w:i/>
          <w:sz w:val="12"/>
          <w:szCs w:val="14"/>
        </w:rPr>
      </w:pPr>
    </w:p>
    <w:p w14:paraId="0EBCD989" w14:textId="77777777" w:rsidR="0084548C" w:rsidRDefault="0084548C" w:rsidP="0084548C">
      <w:pPr>
        <w:ind w:left="1134" w:hanging="1276"/>
        <w:rPr>
          <w:rFonts w:ascii="Arial" w:hAnsi="Arial" w:cs="Arial"/>
          <w:b/>
          <w:bCs/>
        </w:rPr>
      </w:pPr>
      <w:r>
        <w:rPr>
          <w:rFonts w:ascii="Arial" w:hAnsi="Arial" w:cs="Arial"/>
          <w:b/>
          <w:sz w:val="14"/>
          <w:szCs w:val="16"/>
        </w:rPr>
        <w:t xml:space="preserve">                                                            </w:t>
      </w:r>
      <w:r w:rsidRPr="00227C7C">
        <w:rPr>
          <w:rFonts w:ascii="Arial" w:hAnsi="Arial" w:cs="Arial"/>
          <w:b/>
          <w:sz w:val="14"/>
          <w:szCs w:val="16"/>
        </w:rPr>
        <w:t xml:space="preserve">Grafica No. </w:t>
      </w:r>
      <w:r>
        <w:rPr>
          <w:rFonts w:ascii="Arial" w:hAnsi="Arial" w:cs="Arial"/>
          <w:b/>
          <w:sz w:val="14"/>
          <w:szCs w:val="16"/>
        </w:rPr>
        <w:t>1</w:t>
      </w:r>
      <w:r w:rsidRPr="00227C7C">
        <w:rPr>
          <w:rFonts w:ascii="Arial" w:hAnsi="Arial" w:cs="Arial"/>
          <w:b/>
          <w:sz w:val="14"/>
          <w:szCs w:val="16"/>
        </w:rPr>
        <w:t xml:space="preserve"> – </w:t>
      </w:r>
      <w:bookmarkEnd w:id="4"/>
      <w:r>
        <w:rPr>
          <w:rFonts w:ascii="Arial" w:hAnsi="Arial" w:cs="Arial"/>
          <w:b/>
          <w:sz w:val="14"/>
          <w:szCs w:val="16"/>
        </w:rPr>
        <w:t>Participación porcentual por componente en el PAAC</w:t>
      </w:r>
      <w:r>
        <w:rPr>
          <w:rFonts w:ascii="Arial" w:hAnsi="Arial" w:cs="Arial"/>
          <w:b/>
          <w:bCs/>
          <w:noProof/>
          <w:lang w:val="es-CO" w:eastAsia="es-CO"/>
        </w:rPr>
        <w:drawing>
          <wp:inline distT="0" distB="0" distL="0" distR="0" wp14:anchorId="287FAA51" wp14:editId="44B5AF3B">
            <wp:extent cx="4680333" cy="2871333"/>
            <wp:effectExtent l="0" t="0" r="635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2744" cy="2934161"/>
                    </a:xfrm>
                    <a:prstGeom prst="rect">
                      <a:avLst/>
                    </a:prstGeom>
                    <a:noFill/>
                  </pic:spPr>
                </pic:pic>
              </a:graphicData>
            </a:graphic>
          </wp:inline>
        </w:drawing>
      </w:r>
    </w:p>
    <w:p w14:paraId="7DF21EEE" w14:textId="77777777" w:rsidR="0084548C" w:rsidRPr="006E7450" w:rsidRDefault="0084548C" w:rsidP="0084548C">
      <w:pPr>
        <w:rPr>
          <w:rFonts w:ascii="Arial" w:hAnsi="Arial" w:cs="Arial"/>
          <w:b/>
          <w:i/>
          <w:sz w:val="18"/>
          <w:lang w:val="es-CO"/>
        </w:rPr>
      </w:pPr>
      <w:r>
        <w:rPr>
          <w:rFonts w:ascii="Arial" w:hAnsi="Arial" w:cs="Arial"/>
          <w:i/>
          <w:sz w:val="12"/>
          <w:szCs w:val="14"/>
        </w:rPr>
        <w:t xml:space="preserve">                                       </w:t>
      </w:r>
      <w:r w:rsidRPr="006E7450">
        <w:rPr>
          <w:rFonts w:ascii="Arial" w:hAnsi="Arial" w:cs="Arial"/>
          <w:b/>
          <w:i/>
          <w:sz w:val="12"/>
          <w:szCs w:val="14"/>
        </w:rPr>
        <w:t>Fuente: PAAC 2022</w:t>
      </w:r>
    </w:p>
    <w:p w14:paraId="4C997936" w14:textId="77777777" w:rsidR="0084548C" w:rsidRDefault="0084548C" w:rsidP="0084548C"/>
    <w:p w14:paraId="36CBE40F" w14:textId="77777777" w:rsidR="0084548C" w:rsidRPr="0020549A" w:rsidRDefault="0084548C" w:rsidP="0084548C"/>
    <w:p w14:paraId="46F8EC50"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Una vez realizada la validación de los documentos soporte que evidencian el cumplimiento de las acciones programadas para ser ejecutadas en el segundo cuatrimestre de la vigencia 2022, alojados en la carpeta compartida dispuesta por la entidad para tal fin en el siguiente link: </w:t>
      </w:r>
    </w:p>
    <w:p w14:paraId="568EA33C"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color w:val="0070C0"/>
          <w:sz w:val="24"/>
          <w:szCs w:val="24"/>
          <w:u w:val="single"/>
          <w:lang w:val="es-CO" w:eastAsia="en-US"/>
        </w:rPr>
        <w:t>P:\PAAC2022\2. Cuatrimestre 2</w:t>
      </w:r>
      <w:r w:rsidRPr="0084548C">
        <w:rPr>
          <w:rFonts w:ascii="Arial" w:eastAsiaTheme="minorHAnsi" w:hAnsi="Arial" w:cs="Arial"/>
          <w:sz w:val="24"/>
          <w:szCs w:val="24"/>
          <w:lang w:val="es-CO" w:eastAsia="en-US"/>
        </w:rPr>
        <w:t xml:space="preserve">, se obtuvo el resultado consolidado en la siguiente tabla:  </w:t>
      </w:r>
    </w:p>
    <w:p w14:paraId="39191D66"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13899B6A" w14:textId="77777777" w:rsidR="0084548C" w:rsidRDefault="0084548C" w:rsidP="0084548C">
      <w:pPr>
        <w:overflowPunct/>
        <w:autoSpaceDE/>
        <w:autoSpaceDN/>
        <w:adjustRightInd/>
        <w:jc w:val="both"/>
        <w:textAlignment w:val="auto"/>
        <w:rPr>
          <w:rFonts w:ascii="Arial" w:eastAsiaTheme="minorHAnsi" w:hAnsi="Arial" w:cs="Arial"/>
          <w:sz w:val="22"/>
          <w:szCs w:val="24"/>
          <w:lang w:val="es-CO" w:eastAsia="en-US"/>
        </w:rPr>
      </w:pPr>
    </w:p>
    <w:p w14:paraId="211BDE51" w14:textId="77777777" w:rsidR="0084548C" w:rsidRDefault="0084548C" w:rsidP="0084548C">
      <w:pPr>
        <w:overflowPunct/>
        <w:autoSpaceDE/>
        <w:autoSpaceDN/>
        <w:adjustRightInd/>
        <w:jc w:val="both"/>
        <w:textAlignment w:val="auto"/>
        <w:rPr>
          <w:rFonts w:ascii="Arial" w:eastAsiaTheme="minorHAnsi" w:hAnsi="Arial" w:cs="Arial"/>
          <w:sz w:val="22"/>
          <w:szCs w:val="24"/>
          <w:lang w:val="es-CO" w:eastAsia="en-US"/>
        </w:rPr>
      </w:pPr>
    </w:p>
    <w:p w14:paraId="452C94BB" w14:textId="77777777" w:rsidR="0084548C" w:rsidRDefault="0084548C" w:rsidP="0084548C">
      <w:pPr>
        <w:overflowPunct/>
        <w:autoSpaceDE/>
        <w:autoSpaceDN/>
        <w:adjustRightInd/>
        <w:jc w:val="both"/>
        <w:textAlignment w:val="auto"/>
        <w:rPr>
          <w:rFonts w:ascii="Arial" w:eastAsiaTheme="minorHAnsi" w:hAnsi="Arial" w:cs="Arial"/>
          <w:sz w:val="22"/>
          <w:szCs w:val="24"/>
          <w:lang w:val="es-CO" w:eastAsia="en-US"/>
        </w:rPr>
      </w:pPr>
    </w:p>
    <w:p w14:paraId="5A529277" w14:textId="77777777" w:rsidR="0084548C" w:rsidRDefault="0084548C" w:rsidP="0084548C">
      <w:pPr>
        <w:overflowPunct/>
        <w:autoSpaceDE/>
        <w:autoSpaceDN/>
        <w:adjustRightInd/>
        <w:jc w:val="both"/>
        <w:textAlignment w:val="auto"/>
        <w:rPr>
          <w:rFonts w:ascii="Arial" w:eastAsiaTheme="minorHAnsi" w:hAnsi="Arial" w:cs="Arial"/>
          <w:sz w:val="22"/>
          <w:szCs w:val="24"/>
          <w:lang w:val="es-CO" w:eastAsia="en-US"/>
        </w:rPr>
      </w:pPr>
    </w:p>
    <w:p w14:paraId="61B649D1" w14:textId="77777777" w:rsidR="0084548C" w:rsidRDefault="0084548C" w:rsidP="0084548C">
      <w:pPr>
        <w:overflowPunct/>
        <w:autoSpaceDE/>
        <w:autoSpaceDN/>
        <w:adjustRightInd/>
        <w:jc w:val="both"/>
        <w:textAlignment w:val="auto"/>
        <w:rPr>
          <w:rFonts w:ascii="Arial" w:eastAsiaTheme="minorHAnsi" w:hAnsi="Arial" w:cs="Arial"/>
          <w:sz w:val="22"/>
          <w:szCs w:val="24"/>
          <w:lang w:val="es-CO" w:eastAsia="en-US"/>
        </w:rPr>
      </w:pPr>
    </w:p>
    <w:p w14:paraId="22E4B59E" w14:textId="77777777" w:rsidR="00B313A4" w:rsidRDefault="00B313A4" w:rsidP="0084548C">
      <w:pPr>
        <w:overflowPunct/>
        <w:autoSpaceDE/>
        <w:autoSpaceDN/>
        <w:adjustRightInd/>
        <w:jc w:val="both"/>
        <w:textAlignment w:val="auto"/>
        <w:rPr>
          <w:rFonts w:ascii="Arial" w:eastAsiaTheme="minorHAnsi" w:hAnsi="Arial" w:cs="Arial"/>
          <w:sz w:val="22"/>
          <w:szCs w:val="24"/>
          <w:lang w:val="es-CO" w:eastAsia="en-US"/>
        </w:rPr>
      </w:pPr>
    </w:p>
    <w:p w14:paraId="3F299656" w14:textId="77777777" w:rsidR="0084548C" w:rsidRDefault="0084548C" w:rsidP="0084548C">
      <w:pPr>
        <w:overflowPunct/>
        <w:autoSpaceDE/>
        <w:autoSpaceDN/>
        <w:adjustRightInd/>
        <w:jc w:val="center"/>
        <w:textAlignment w:val="auto"/>
        <w:rPr>
          <w:rFonts w:ascii="Arial" w:eastAsiaTheme="minorHAnsi" w:hAnsi="Arial" w:cs="Arial"/>
          <w:b/>
          <w:i/>
          <w:sz w:val="16"/>
          <w:szCs w:val="18"/>
          <w:lang w:val="es-CO" w:eastAsia="en-US"/>
        </w:rPr>
      </w:pPr>
    </w:p>
    <w:p w14:paraId="2CC9B27A" w14:textId="77777777" w:rsidR="0084548C" w:rsidRPr="00EE1535" w:rsidRDefault="0084548C" w:rsidP="0084548C">
      <w:pPr>
        <w:overflowPunct/>
        <w:autoSpaceDE/>
        <w:autoSpaceDN/>
        <w:adjustRightInd/>
        <w:jc w:val="center"/>
        <w:textAlignment w:val="auto"/>
        <w:rPr>
          <w:rFonts w:ascii="Arial" w:eastAsiaTheme="minorHAnsi" w:hAnsi="Arial" w:cs="Arial"/>
          <w:b/>
          <w:i/>
          <w:sz w:val="16"/>
          <w:szCs w:val="18"/>
          <w:lang w:val="es-CO" w:eastAsia="en-US"/>
        </w:rPr>
      </w:pPr>
      <w:r w:rsidRPr="00EE1535">
        <w:rPr>
          <w:rFonts w:ascii="Arial" w:eastAsiaTheme="minorHAnsi" w:hAnsi="Arial" w:cs="Arial"/>
          <w:b/>
          <w:i/>
          <w:sz w:val="16"/>
          <w:szCs w:val="18"/>
          <w:lang w:val="es-CO" w:eastAsia="en-US"/>
        </w:rPr>
        <w:lastRenderedPageBreak/>
        <w:t>Tabla No. 2 – Estado acciones por componentes y subcomponentes - 3</w:t>
      </w:r>
      <w:r>
        <w:rPr>
          <w:rFonts w:ascii="Arial" w:eastAsiaTheme="minorHAnsi" w:hAnsi="Arial" w:cs="Arial"/>
          <w:b/>
          <w:i/>
          <w:sz w:val="16"/>
          <w:szCs w:val="18"/>
          <w:lang w:val="es-CO" w:eastAsia="en-US"/>
        </w:rPr>
        <w:t>1</w:t>
      </w:r>
      <w:r w:rsidRPr="00EE1535">
        <w:rPr>
          <w:rFonts w:ascii="Arial" w:eastAsiaTheme="minorHAnsi" w:hAnsi="Arial" w:cs="Arial"/>
          <w:b/>
          <w:i/>
          <w:sz w:val="16"/>
          <w:szCs w:val="18"/>
          <w:lang w:val="es-CO" w:eastAsia="en-US"/>
        </w:rPr>
        <w:t xml:space="preserve"> de </w:t>
      </w:r>
      <w:r>
        <w:rPr>
          <w:rFonts w:ascii="Arial" w:eastAsiaTheme="minorHAnsi" w:hAnsi="Arial" w:cs="Arial"/>
          <w:b/>
          <w:i/>
          <w:sz w:val="16"/>
          <w:szCs w:val="18"/>
          <w:lang w:val="es-CO" w:eastAsia="en-US"/>
        </w:rPr>
        <w:t xml:space="preserve">agosto </w:t>
      </w:r>
      <w:r w:rsidRPr="00EE1535">
        <w:rPr>
          <w:rFonts w:ascii="Arial" w:eastAsiaTheme="minorHAnsi" w:hAnsi="Arial" w:cs="Arial"/>
          <w:b/>
          <w:i/>
          <w:sz w:val="16"/>
          <w:szCs w:val="18"/>
          <w:lang w:val="es-CO" w:eastAsia="en-US"/>
        </w:rPr>
        <w:t>2022</w:t>
      </w:r>
    </w:p>
    <w:p w14:paraId="50D0C497" w14:textId="77777777" w:rsidR="0084548C" w:rsidRDefault="0084548C" w:rsidP="0084548C">
      <w:pPr>
        <w:overflowPunct/>
        <w:autoSpaceDE/>
        <w:autoSpaceDN/>
        <w:adjustRightInd/>
        <w:ind w:left="1134" w:firstLine="142"/>
        <w:jc w:val="both"/>
        <w:textAlignment w:val="auto"/>
        <w:rPr>
          <w:rFonts w:ascii="Arial" w:eastAsiaTheme="minorHAnsi" w:hAnsi="Arial" w:cs="Arial"/>
          <w:sz w:val="22"/>
          <w:szCs w:val="24"/>
          <w:lang w:val="es-CO" w:eastAsia="en-US"/>
        </w:rPr>
      </w:pPr>
      <w:r w:rsidRPr="00932042">
        <w:rPr>
          <w:rFonts w:eastAsiaTheme="minorHAnsi"/>
          <w:noProof/>
          <w:lang w:val="es-CO" w:eastAsia="es-CO"/>
        </w:rPr>
        <w:drawing>
          <wp:inline distT="0" distB="0" distL="0" distR="0" wp14:anchorId="0910410E" wp14:editId="4F9C68A9">
            <wp:extent cx="4361615" cy="5026429"/>
            <wp:effectExtent l="0" t="0" r="127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2677" cy="5073750"/>
                    </a:xfrm>
                    <a:prstGeom prst="rect">
                      <a:avLst/>
                    </a:prstGeom>
                    <a:noFill/>
                    <a:ln>
                      <a:noFill/>
                    </a:ln>
                  </pic:spPr>
                </pic:pic>
              </a:graphicData>
            </a:graphic>
          </wp:inline>
        </w:drawing>
      </w:r>
    </w:p>
    <w:p w14:paraId="7412BFA0" w14:textId="77777777" w:rsidR="0084548C" w:rsidRPr="006E7450" w:rsidRDefault="0084548C" w:rsidP="0084548C">
      <w:pPr>
        <w:overflowPunct/>
        <w:autoSpaceDE/>
        <w:autoSpaceDN/>
        <w:adjustRightInd/>
        <w:jc w:val="both"/>
        <w:textAlignment w:val="auto"/>
        <w:rPr>
          <w:rFonts w:ascii="Arial" w:eastAsiaTheme="minorHAnsi" w:hAnsi="Arial" w:cs="Arial"/>
          <w:b/>
          <w:sz w:val="22"/>
          <w:szCs w:val="24"/>
          <w:lang w:val="es-CO" w:eastAsia="en-US"/>
        </w:rPr>
      </w:pPr>
      <w:r>
        <w:rPr>
          <w:rFonts w:ascii="Arial" w:hAnsi="Arial" w:cs="Arial"/>
          <w:i/>
          <w:sz w:val="12"/>
          <w:szCs w:val="16"/>
        </w:rPr>
        <w:t xml:space="preserve">                                       </w:t>
      </w:r>
      <w:r w:rsidRPr="006E7450">
        <w:rPr>
          <w:rFonts w:ascii="Arial" w:hAnsi="Arial" w:cs="Arial"/>
          <w:b/>
          <w:i/>
          <w:sz w:val="12"/>
          <w:szCs w:val="16"/>
        </w:rPr>
        <w:t>Fuente: Análisis Control Interno</w:t>
      </w:r>
    </w:p>
    <w:p w14:paraId="0E4E571D" w14:textId="77777777" w:rsidR="0084548C" w:rsidRDefault="0084548C" w:rsidP="0084548C">
      <w:pPr>
        <w:overflowPunct/>
        <w:autoSpaceDE/>
        <w:autoSpaceDN/>
        <w:adjustRightInd/>
        <w:jc w:val="both"/>
        <w:textAlignment w:val="auto"/>
        <w:rPr>
          <w:rFonts w:ascii="Arial" w:eastAsiaTheme="minorHAnsi" w:hAnsi="Arial" w:cs="Arial"/>
          <w:sz w:val="22"/>
          <w:szCs w:val="24"/>
          <w:lang w:val="es-CO" w:eastAsia="en-US"/>
        </w:rPr>
      </w:pPr>
    </w:p>
    <w:p w14:paraId="6E709BEB" w14:textId="77777777" w:rsidR="0084548C" w:rsidRDefault="0084548C" w:rsidP="0084548C">
      <w:pPr>
        <w:overflowPunct/>
        <w:autoSpaceDE/>
        <w:autoSpaceDN/>
        <w:adjustRightInd/>
        <w:ind w:left="1418"/>
        <w:textAlignment w:val="auto"/>
        <w:rPr>
          <w:rFonts w:ascii="Arial" w:hAnsi="Arial" w:cs="Arial"/>
          <w:b/>
          <w:sz w:val="14"/>
          <w:szCs w:val="16"/>
        </w:rPr>
      </w:pPr>
      <w:r>
        <w:rPr>
          <w:rFonts w:cs="Arial"/>
          <w:b/>
          <w:sz w:val="18"/>
        </w:rPr>
        <w:t xml:space="preserve">      </w:t>
      </w:r>
      <w:bookmarkStart w:id="5" w:name="_Hlk113624071"/>
      <w:r>
        <w:rPr>
          <w:rFonts w:cs="Arial"/>
          <w:b/>
          <w:sz w:val="18"/>
        </w:rPr>
        <w:t xml:space="preserve">               </w:t>
      </w:r>
      <w:r w:rsidRPr="00227C7C">
        <w:rPr>
          <w:rFonts w:ascii="Arial" w:hAnsi="Arial" w:cs="Arial"/>
          <w:b/>
          <w:sz w:val="14"/>
          <w:szCs w:val="16"/>
        </w:rPr>
        <w:t xml:space="preserve">Grafica No. </w:t>
      </w:r>
      <w:r>
        <w:rPr>
          <w:rFonts w:ascii="Arial" w:hAnsi="Arial" w:cs="Arial"/>
          <w:b/>
          <w:sz w:val="14"/>
          <w:szCs w:val="16"/>
        </w:rPr>
        <w:t>2</w:t>
      </w:r>
      <w:r w:rsidRPr="00227C7C">
        <w:rPr>
          <w:rFonts w:ascii="Arial" w:hAnsi="Arial" w:cs="Arial"/>
          <w:b/>
          <w:sz w:val="14"/>
          <w:szCs w:val="16"/>
        </w:rPr>
        <w:t xml:space="preserve"> – Estado de las acciones </w:t>
      </w:r>
      <w:r>
        <w:rPr>
          <w:rFonts w:ascii="Arial" w:hAnsi="Arial" w:cs="Arial"/>
          <w:b/>
          <w:sz w:val="14"/>
          <w:szCs w:val="16"/>
        </w:rPr>
        <w:t>-</w:t>
      </w:r>
      <w:r w:rsidRPr="00227C7C">
        <w:rPr>
          <w:rFonts w:ascii="Arial" w:hAnsi="Arial" w:cs="Arial"/>
          <w:b/>
          <w:sz w:val="14"/>
          <w:szCs w:val="16"/>
        </w:rPr>
        <w:t xml:space="preserve"> 3</w:t>
      </w:r>
      <w:r>
        <w:rPr>
          <w:rFonts w:ascii="Arial" w:hAnsi="Arial" w:cs="Arial"/>
          <w:b/>
          <w:sz w:val="14"/>
          <w:szCs w:val="16"/>
        </w:rPr>
        <w:t>1</w:t>
      </w:r>
      <w:r w:rsidRPr="00227C7C">
        <w:rPr>
          <w:rFonts w:ascii="Arial" w:hAnsi="Arial" w:cs="Arial"/>
          <w:b/>
          <w:sz w:val="14"/>
          <w:szCs w:val="16"/>
        </w:rPr>
        <w:t xml:space="preserve"> de </w:t>
      </w:r>
      <w:r>
        <w:rPr>
          <w:rFonts w:ascii="Arial" w:hAnsi="Arial" w:cs="Arial"/>
          <w:b/>
          <w:sz w:val="14"/>
          <w:szCs w:val="16"/>
        </w:rPr>
        <w:t xml:space="preserve">agosto </w:t>
      </w:r>
      <w:r w:rsidRPr="00227C7C">
        <w:rPr>
          <w:rFonts w:ascii="Arial" w:hAnsi="Arial" w:cs="Arial"/>
          <w:b/>
          <w:sz w:val="14"/>
          <w:szCs w:val="16"/>
        </w:rPr>
        <w:t>2022</w:t>
      </w:r>
      <w:bookmarkEnd w:id="5"/>
      <w:r>
        <w:rPr>
          <w:rFonts w:ascii="Arial" w:hAnsi="Arial" w:cs="Arial"/>
          <w:b/>
          <w:noProof/>
          <w:sz w:val="14"/>
          <w:szCs w:val="16"/>
          <w:lang w:val="es-CO" w:eastAsia="es-CO"/>
        </w:rPr>
        <w:drawing>
          <wp:inline distT="0" distB="0" distL="0" distR="0" wp14:anchorId="3E680C89" wp14:editId="38B5C840">
            <wp:extent cx="4279401" cy="2154955"/>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0671" cy="2236165"/>
                    </a:xfrm>
                    <a:prstGeom prst="rect">
                      <a:avLst/>
                    </a:prstGeom>
                    <a:noFill/>
                  </pic:spPr>
                </pic:pic>
              </a:graphicData>
            </a:graphic>
          </wp:inline>
        </w:drawing>
      </w:r>
    </w:p>
    <w:p w14:paraId="711A82E6" w14:textId="77777777" w:rsidR="0084548C" w:rsidRPr="006E7450" w:rsidRDefault="0084548C" w:rsidP="0084548C">
      <w:pPr>
        <w:overflowPunct/>
        <w:autoSpaceDE/>
        <w:autoSpaceDN/>
        <w:adjustRightInd/>
        <w:textAlignment w:val="auto"/>
        <w:rPr>
          <w:rFonts w:ascii="Arial" w:hAnsi="Arial" w:cs="Arial"/>
          <w:b/>
          <w:bCs/>
          <w:i/>
          <w:sz w:val="18"/>
          <w:lang w:val="es-CO"/>
        </w:rPr>
      </w:pPr>
      <w:r>
        <w:rPr>
          <w:rFonts w:ascii="Arial" w:hAnsi="Arial" w:cs="Arial"/>
          <w:i/>
          <w:sz w:val="12"/>
          <w:szCs w:val="16"/>
        </w:rPr>
        <w:t xml:space="preserve">                                                   </w:t>
      </w:r>
      <w:r w:rsidRPr="006E7450">
        <w:rPr>
          <w:rFonts w:ascii="Arial" w:hAnsi="Arial" w:cs="Arial"/>
          <w:b/>
          <w:i/>
          <w:sz w:val="12"/>
          <w:szCs w:val="16"/>
        </w:rPr>
        <w:t>Fuente: Análisis Control Interno</w:t>
      </w:r>
    </w:p>
    <w:p w14:paraId="211CAD90"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2"/>
          <w:lang w:val="es-CO" w:eastAsia="en-US"/>
        </w:rPr>
      </w:pPr>
      <w:r w:rsidRPr="0084548C">
        <w:rPr>
          <w:rFonts w:ascii="Arial" w:eastAsiaTheme="minorHAnsi" w:hAnsi="Arial" w:cs="Arial"/>
          <w:sz w:val="24"/>
          <w:szCs w:val="22"/>
          <w:lang w:val="es-CO" w:eastAsia="en-US"/>
        </w:rPr>
        <w:lastRenderedPageBreak/>
        <w:t xml:space="preserve">De la tabla y gráfica anterior, se concluye que, a la fecha de las 69 acciones programadas, se han ejecutado al 100% diecinueve (19) acciones que representan el 28% del Plan, cincuenta (50) acciones que corresponden al 72% se encuentran en ejecución. </w:t>
      </w:r>
    </w:p>
    <w:p w14:paraId="643B3877"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2"/>
          <w:lang w:val="es-CO" w:eastAsia="en-US"/>
        </w:rPr>
      </w:pPr>
    </w:p>
    <w:p w14:paraId="4EF20E30"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2"/>
          <w:lang w:val="es-CO" w:eastAsia="en-US"/>
        </w:rPr>
      </w:pPr>
      <w:r w:rsidRPr="0084548C">
        <w:rPr>
          <w:rFonts w:ascii="Arial" w:eastAsiaTheme="minorHAnsi" w:hAnsi="Arial" w:cs="Arial"/>
          <w:sz w:val="24"/>
          <w:szCs w:val="22"/>
          <w:lang w:val="es-CO" w:eastAsia="en-US"/>
        </w:rPr>
        <w:t>Se presenta a continuación el porcentaje de avance a la fecha de cada uno de los componentes y subcomponentes del PAAC, así como del total consolidado.</w:t>
      </w:r>
    </w:p>
    <w:p w14:paraId="371722ED"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2"/>
          <w:lang w:val="es-CO" w:eastAsia="en-US"/>
        </w:rPr>
      </w:pPr>
    </w:p>
    <w:p w14:paraId="0DA3AF9F" w14:textId="77777777" w:rsidR="0084548C" w:rsidRPr="00A31A99" w:rsidRDefault="0084548C" w:rsidP="0084548C">
      <w:pPr>
        <w:overflowPunct/>
        <w:autoSpaceDE/>
        <w:autoSpaceDN/>
        <w:adjustRightInd/>
        <w:jc w:val="center"/>
        <w:textAlignment w:val="auto"/>
        <w:rPr>
          <w:rFonts w:ascii="Arial" w:eastAsiaTheme="minorHAnsi" w:hAnsi="Arial" w:cs="Arial"/>
          <w:b/>
          <w:i/>
          <w:sz w:val="16"/>
          <w:szCs w:val="22"/>
          <w:lang w:eastAsia="en-US"/>
        </w:rPr>
      </w:pPr>
      <w:r w:rsidRPr="009B4B78">
        <w:rPr>
          <w:rFonts w:ascii="Arial" w:eastAsiaTheme="minorHAnsi" w:hAnsi="Arial" w:cs="Arial"/>
          <w:b/>
          <w:i/>
          <w:sz w:val="16"/>
          <w:szCs w:val="22"/>
          <w:lang w:val="es-CO" w:eastAsia="en-US"/>
        </w:rPr>
        <w:t xml:space="preserve">Tabla </w:t>
      </w:r>
      <w:r>
        <w:rPr>
          <w:rFonts w:ascii="Arial" w:eastAsiaTheme="minorHAnsi" w:hAnsi="Arial" w:cs="Arial"/>
          <w:b/>
          <w:i/>
          <w:sz w:val="16"/>
          <w:szCs w:val="22"/>
          <w:lang w:val="es-CO" w:eastAsia="en-US"/>
        </w:rPr>
        <w:t>No. 3 -</w:t>
      </w:r>
      <w:r w:rsidRPr="009B4B78">
        <w:rPr>
          <w:rFonts w:ascii="Arial" w:eastAsiaTheme="minorHAnsi" w:hAnsi="Arial" w:cs="Arial"/>
          <w:b/>
          <w:i/>
          <w:sz w:val="16"/>
          <w:szCs w:val="22"/>
          <w:lang w:val="es-CO" w:eastAsia="en-US"/>
        </w:rPr>
        <w:t xml:space="preserve"> Porcentaje de avance por componente a 3</w:t>
      </w:r>
      <w:r w:rsidRPr="00932042">
        <w:rPr>
          <w:rFonts w:ascii="Arial" w:eastAsiaTheme="minorHAnsi" w:hAnsi="Arial" w:cs="Arial"/>
          <w:b/>
          <w:i/>
          <w:sz w:val="16"/>
          <w:szCs w:val="22"/>
          <w:lang w:val="es-CO" w:eastAsia="en-US"/>
        </w:rPr>
        <w:t>1</w:t>
      </w:r>
      <w:r w:rsidRPr="009B4B78">
        <w:rPr>
          <w:rFonts w:ascii="Arial" w:eastAsiaTheme="minorHAnsi" w:hAnsi="Arial" w:cs="Arial"/>
          <w:b/>
          <w:i/>
          <w:sz w:val="16"/>
          <w:szCs w:val="22"/>
          <w:lang w:val="es-CO" w:eastAsia="en-US"/>
        </w:rPr>
        <w:t xml:space="preserve"> de a</w:t>
      </w:r>
      <w:r w:rsidRPr="00932042">
        <w:rPr>
          <w:rFonts w:ascii="Arial" w:eastAsiaTheme="minorHAnsi" w:hAnsi="Arial" w:cs="Arial"/>
          <w:b/>
          <w:i/>
          <w:sz w:val="16"/>
          <w:szCs w:val="22"/>
          <w:lang w:val="es-CO" w:eastAsia="en-US"/>
        </w:rPr>
        <w:t xml:space="preserve">gosto </w:t>
      </w:r>
      <w:r w:rsidRPr="009B4B78">
        <w:rPr>
          <w:rFonts w:ascii="Arial" w:eastAsiaTheme="minorHAnsi" w:hAnsi="Arial" w:cs="Arial"/>
          <w:b/>
          <w:i/>
          <w:sz w:val="16"/>
          <w:szCs w:val="22"/>
          <w:lang w:val="es-CO" w:eastAsia="en-US"/>
        </w:rPr>
        <w:t>2022</w:t>
      </w:r>
      <w:r w:rsidRPr="00A31A99">
        <w:rPr>
          <w:rFonts w:ascii="Arial" w:eastAsiaTheme="minorHAnsi" w:hAnsi="Arial" w:cs="Arial"/>
          <w:b/>
          <w:i/>
          <w:sz w:val="16"/>
          <w:szCs w:val="22"/>
          <w:lang w:val="es-CO" w:eastAsia="en-US"/>
        </w:rPr>
        <w:t xml:space="preserve"> </w:t>
      </w:r>
      <w:r w:rsidRPr="00A31A99">
        <w:rPr>
          <w:rFonts w:eastAsiaTheme="minorHAnsi"/>
          <w:noProof/>
          <w:lang w:val="es-CO" w:eastAsia="es-CO"/>
        </w:rPr>
        <w:drawing>
          <wp:inline distT="0" distB="0" distL="0" distR="0" wp14:anchorId="30D008FB" wp14:editId="37F554D5">
            <wp:extent cx="4018701" cy="5748020"/>
            <wp:effectExtent l="0" t="0" r="127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4923" cy="5756919"/>
                    </a:xfrm>
                    <a:prstGeom prst="rect">
                      <a:avLst/>
                    </a:prstGeom>
                    <a:noFill/>
                    <a:ln>
                      <a:noFill/>
                    </a:ln>
                  </pic:spPr>
                </pic:pic>
              </a:graphicData>
            </a:graphic>
          </wp:inline>
        </w:drawing>
      </w:r>
    </w:p>
    <w:p w14:paraId="5B953237" w14:textId="77777777" w:rsidR="0084548C" w:rsidRPr="00E01655" w:rsidRDefault="0084548C" w:rsidP="0084548C">
      <w:pPr>
        <w:overflowPunct/>
        <w:autoSpaceDE/>
        <w:autoSpaceDN/>
        <w:adjustRightInd/>
        <w:textAlignment w:val="auto"/>
        <w:rPr>
          <w:rFonts w:ascii="Arial" w:hAnsi="Arial" w:cs="Arial"/>
          <w:b/>
          <w:bCs/>
          <w:lang w:val="es-CO"/>
        </w:rPr>
      </w:pPr>
      <w:r>
        <w:rPr>
          <w:rFonts w:cs="Arial"/>
          <w:b/>
          <w:i/>
          <w:sz w:val="14"/>
        </w:rPr>
        <w:t xml:space="preserve">                                                   </w:t>
      </w:r>
      <w:r w:rsidRPr="00E01655">
        <w:rPr>
          <w:rFonts w:ascii="Arial" w:hAnsi="Arial" w:cs="Arial"/>
          <w:b/>
          <w:i/>
          <w:sz w:val="14"/>
        </w:rPr>
        <w:t>Fuente: Análisis realizado por Control Interno</w:t>
      </w:r>
    </w:p>
    <w:p w14:paraId="05B43E74" w14:textId="77777777" w:rsidR="0084548C" w:rsidRDefault="0084548C" w:rsidP="0084548C">
      <w:pPr>
        <w:overflowPunct/>
        <w:autoSpaceDE/>
        <w:autoSpaceDN/>
        <w:adjustRightInd/>
        <w:jc w:val="both"/>
        <w:textAlignment w:val="auto"/>
        <w:rPr>
          <w:rFonts w:ascii="Arial" w:eastAsiaTheme="minorHAnsi" w:hAnsi="Arial" w:cs="Arial"/>
          <w:sz w:val="22"/>
          <w:szCs w:val="22"/>
          <w:lang w:val="es-CO" w:eastAsia="en-US"/>
        </w:rPr>
      </w:pPr>
    </w:p>
    <w:p w14:paraId="6ECC8CC7"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2"/>
          <w:lang w:val="es-CO" w:eastAsia="en-US"/>
        </w:rPr>
      </w:pPr>
      <w:r w:rsidRPr="0084548C">
        <w:rPr>
          <w:rFonts w:ascii="Arial" w:eastAsiaTheme="minorHAnsi" w:hAnsi="Arial" w:cs="Arial"/>
          <w:sz w:val="24"/>
          <w:szCs w:val="22"/>
          <w:lang w:val="es-CO" w:eastAsia="en-US"/>
        </w:rPr>
        <w:t xml:space="preserve">El porcentaje de avance en el cumplimiento del PAAC 2022, con corte 31 de agosto, es del </w:t>
      </w:r>
      <w:r w:rsidRPr="0084548C">
        <w:rPr>
          <w:rFonts w:ascii="Arial" w:eastAsiaTheme="minorHAnsi" w:hAnsi="Arial" w:cs="Arial"/>
          <w:b/>
          <w:sz w:val="24"/>
          <w:szCs w:val="22"/>
          <w:u w:val="single"/>
          <w:lang w:val="es-CO" w:eastAsia="en-US"/>
        </w:rPr>
        <w:t>40%</w:t>
      </w:r>
      <w:r w:rsidRPr="0084548C">
        <w:rPr>
          <w:rFonts w:ascii="Arial" w:eastAsiaTheme="minorHAnsi" w:hAnsi="Arial" w:cs="Arial"/>
          <w:sz w:val="24"/>
          <w:szCs w:val="22"/>
          <w:lang w:val="es-CO" w:eastAsia="en-US"/>
        </w:rPr>
        <w:t xml:space="preserve">, ilustrando en la siguiente gráfica la ejecución por cada uno de los componentes así: </w:t>
      </w:r>
    </w:p>
    <w:p w14:paraId="3841A7AD" w14:textId="77777777" w:rsidR="0084548C" w:rsidRPr="0084548C" w:rsidRDefault="0084548C" w:rsidP="0084548C">
      <w:pPr>
        <w:overflowPunct/>
        <w:autoSpaceDE/>
        <w:autoSpaceDN/>
        <w:adjustRightInd/>
        <w:jc w:val="center"/>
        <w:textAlignment w:val="auto"/>
        <w:rPr>
          <w:rFonts w:ascii="Arial" w:eastAsiaTheme="minorHAnsi" w:hAnsi="Arial" w:cs="Arial"/>
          <w:b/>
          <w:i/>
          <w:szCs w:val="24"/>
          <w:lang w:val="es-CO" w:eastAsia="en-US"/>
        </w:rPr>
      </w:pPr>
    </w:p>
    <w:p w14:paraId="49CA7B94" w14:textId="77777777" w:rsidR="0084548C" w:rsidRDefault="0084548C" w:rsidP="0084548C">
      <w:pPr>
        <w:pStyle w:val="Subttulo"/>
        <w:spacing w:before="120" w:after="120"/>
        <w:ind w:left="-142" w:right="-234"/>
        <w:jc w:val="both"/>
        <w:rPr>
          <w:rFonts w:ascii="Arial" w:hAnsi="Arial" w:cs="Arial"/>
          <w:b/>
          <w:bCs/>
          <w:lang w:val="es-CO"/>
        </w:rPr>
      </w:pPr>
    </w:p>
    <w:p w14:paraId="77F3AD89" w14:textId="77777777" w:rsidR="0084548C" w:rsidRPr="00506C7A" w:rsidRDefault="0084548C" w:rsidP="0084548C">
      <w:pPr>
        <w:overflowPunct/>
        <w:autoSpaceDE/>
        <w:autoSpaceDN/>
        <w:adjustRightInd/>
        <w:jc w:val="center"/>
        <w:textAlignment w:val="auto"/>
        <w:rPr>
          <w:rFonts w:ascii="Arial" w:eastAsiaTheme="minorHAnsi" w:hAnsi="Arial" w:cs="Arial"/>
          <w:b/>
          <w:i/>
          <w:sz w:val="18"/>
          <w:szCs w:val="22"/>
          <w:lang w:val="es-CO" w:eastAsia="en-US"/>
        </w:rPr>
      </w:pPr>
      <w:r w:rsidRPr="00506C7A">
        <w:rPr>
          <w:rFonts w:ascii="Arial" w:eastAsiaTheme="minorHAnsi" w:hAnsi="Arial" w:cs="Arial"/>
          <w:b/>
          <w:i/>
          <w:sz w:val="18"/>
          <w:szCs w:val="22"/>
          <w:lang w:val="es-CO" w:eastAsia="en-US"/>
        </w:rPr>
        <w:t xml:space="preserve">Gráfica No. </w:t>
      </w:r>
      <w:r w:rsidRPr="00F973FA">
        <w:rPr>
          <w:rFonts w:ascii="Arial" w:eastAsiaTheme="minorHAnsi" w:hAnsi="Arial" w:cs="Arial"/>
          <w:b/>
          <w:i/>
          <w:sz w:val="18"/>
          <w:szCs w:val="22"/>
          <w:lang w:val="es-CO" w:eastAsia="en-US"/>
        </w:rPr>
        <w:t>3</w:t>
      </w:r>
      <w:r w:rsidRPr="00506C7A">
        <w:rPr>
          <w:rFonts w:ascii="Arial" w:eastAsiaTheme="minorHAnsi" w:hAnsi="Arial" w:cs="Arial"/>
          <w:b/>
          <w:i/>
          <w:sz w:val="18"/>
          <w:szCs w:val="22"/>
          <w:lang w:val="es-CO" w:eastAsia="en-US"/>
        </w:rPr>
        <w:t xml:space="preserve"> – Avance por componente</w:t>
      </w:r>
    </w:p>
    <w:p w14:paraId="5A5559A1" w14:textId="77777777" w:rsidR="0084548C" w:rsidRDefault="0084548C" w:rsidP="0084548C">
      <w:pPr>
        <w:pStyle w:val="Subttulo"/>
        <w:spacing w:after="0"/>
        <w:ind w:left="426" w:right="-234" w:firstLine="141"/>
        <w:jc w:val="both"/>
        <w:rPr>
          <w:rFonts w:ascii="Arial" w:hAnsi="Arial" w:cs="Arial"/>
          <w:i/>
          <w:sz w:val="14"/>
        </w:rPr>
      </w:pPr>
      <w:r>
        <w:rPr>
          <w:rFonts w:ascii="Arial" w:hAnsi="Arial" w:cs="Arial"/>
          <w:i/>
          <w:noProof/>
          <w:sz w:val="14"/>
          <w:lang w:val="es-CO" w:eastAsia="es-CO"/>
        </w:rPr>
        <w:drawing>
          <wp:inline distT="0" distB="0" distL="0" distR="0" wp14:anchorId="59C44C70" wp14:editId="5AB55574">
            <wp:extent cx="5367165" cy="2755334"/>
            <wp:effectExtent l="0" t="0" r="5080"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2687" cy="2768436"/>
                    </a:xfrm>
                    <a:prstGeom prst="rect">
                      <a:avLst/>
                    </a:prstGeom>
                    <a:noFill/>
                  </pic:spPr>
                </pic:pic>
              </a:graphicData>
            </a:graphic>
          </wp:inline>
        </w:drawing>
      </w:r>
    </w:p>
    <w:p w14:paraId="175C4EE1" w14:textId="77777777" w:rsidR="0084548C" w:rsidRPr="00E01655" w:rsidRDefault="0084548C" w:rsidP="0084548C">
      <w:pPr>
        <w:pStyle w:val="Subttulo"/>
        <w:spacing w:after="0"/>
        <w:ind w:left="426" w:right="-234" w:firstLine="141"/>
        <w:jc w:val="both"/>
        <w:rPr>
          <w:rFonts w:ascii="Arial" w:hAnsi="Arial" w:cs="Arial"/>
          <w:b/>
          <w:bCs/>
        </w:rPr>
      </w:pPr>
      <w:r>
        <w:rPr>
          <w:rFonts w:ascii="Arial" w:hAnsi="Arial" w:cs="Arial"/>
          <w:i/>
          <w:sz w:val="14"/>
        </w:rPr>
        <w:t xml:space="preserve"> </w:t>
      </w:r>
      <w:r w:rsidRPr="00E01655">
        <w:rPr>
          <w:rFonts w:ascii="Arial" w:hAnsi="Arial" w:cs="Arial"/>
          <w:b/>
          <w:i/>
          <w:sz w:val="14"/>
        </w:rPr>
        <w:t xml:space="preserve"> Fuente: Análisis realizado por Control Interno</w:t>
      </w:r>
    </w:p>
    <w:p w14:paraId="4B4ADBF7" w14:textId="77777777" w:rsidR="0084548C" w:rsidRDefault="0084548C" w:rsidP="0084548C">
      <w:pPr>
        <w:pStyle w:val="Subttulo"/>
        <w:spacing w:after="0"/>
        <w:ind w:left="-142" w:right="-234"/>
        <w:jc w:val="both"/>
        <w:rPr>
          <w:rFonts w:ascii="Arial" w:hAnsi="Arial" w:cs="Arial"/>
          <w:b/>
          <w:bCs/>
        </w:rPr>
      </w:pPr>
    </w:p>
    <w:p w14:paraId="11E55E7C" w14:textId="77777777" w:rsidR="0084548C" w:rsidRPr="0084548C" w:rsidRDefault="0084548C" w:rsidP="0084548C">
      <w:pPr>
        <w:numPr>
          <w:ilvl w:val="0"/>
          <w:numId w:val="5"/>
        </w:numPr>
        <w:overflowPunct/>
        <w:autoSpaceDE/>
        <w:autoSpaceDN/>
        <w:adjustRightInd/>
        <w:contextualSpacing/>
        <w:jc w:val="both"/>
        <w:textAlignment w:val="auto"/>
        <w:rPr>
          <w:rFonts w:ascii="Arial" w:eastAsiaTheme="minorHAnsi" w:hAnsi="Arial" w:cs="Arial"/>
          <w:b/>
          <w:sz w:val="24"/>
          <w:szCs w:val="24"/>
          <w:lang w:val="es-CO" w:eastAsia="en-US"/>
        </w:rPr>
      </w:pPr>
      <w:r w:rsidRPr="0084548C">
        <w:rPr>
          <w:rFonts w:ascii="Arial" w:eastAsiaTheme="minorHAnsi" w:hAnsi="Arial" w:cs="Arial"/>
          <w:b/>
          <w:sz w:val="24"/>
          <w:szCs w:val="24"/>
          <w:lang w:val="es-CO" w:eastAsia="en-US"/>
        </w:rPr>
        <w:t>Componente 1. Gestión del Riesgo de Corrupción - Mapa de Riesgos de Corrupción</w:t>
      </w:r>
    </w:p>
    <w:p w14:paraId="27668707"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2356D210"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El componente 1, tiene formuladas doce (12) acciones que representan el 17,39% de participación en el PAAC 2022, a la fecha de este seguimiento se observó que cinco (5) ya fueron cumplidas al 100% relacionadas a continuación: </w:t>
      </w:r>
    </w:p>
    <w:p w14:paraId="54C58455"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38728686" w14:textId="77777777" w:rsidR="0084548C" w:rsidRPr="0084548C" w:rsidRDefault="0084548C" w:rsidP="0084548C">
      <w:pPr>
        <w:numPr>
          <w:ilvl w:val="0"/>
          <w:numId w:val="6"/>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Manual de riesgos actualizado (acción 1.1.1)</w:t>
      </w:r>
    </w:p>
    <w:p w14:paraId="1C9F8DC3" w14:textId="77777777" w:rsidR="0084548C" w:rsidRPr="0084548C" w:rsidRDefault="0084548C" w:rsidP="0084548C">
      <w:pPr>
        <w:numPr>
          <w:ilvl w:val="0"/>
          <w:numId w:val="6"/>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Matriz de riesgos actualizada (Acción 1.1.2)</w:t>
      </w:r>
    </w:p>
    <w:p w14:paraId="300E2577" w14:textId="77777777" w:rsidR="0084548C" w:rsidRPr="0084548C" w:rsidRDefault="0084548C" w:rsidP="0084548C">
      <w:pPr>
        <w:numPr>
          <w:ilvl w:val="0"/>
          <w:numId w:val="6"/>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Mapa de riesgos de corrupción vigencia 2022, actualizado y aprobado por el Comité Institucional de Gestión y Desempeño (acción 1.2.1)</w:t>
      </w:r>
    </w:p>
    <w:p w14:paraId="29C025D7" w14:textId="77777777" w:rsidR="0084548C" w:rsidRPr="0084548C" w:rsidRDefault="0084548C" w:rsidP="0084548C">
      <w:pPr>
        <w:numPr>
          <w:ilvl w:val="0"/>
          <w:numId w:val="6"/>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Mapa de riesgos de corrupción 2022, actualizado y publicado en el micrositio de Transparencia y Acceso a la Información de la página web del Instituto (acción 1.3.1)</w:t>
      </w:r>
    </w:p>
    <w:p w14:paraId="4B787A41" w14:textId="77777777" w:rsidR="0084548C" w:rsidRPr="0084548C" w:rsidRDefault="0084548C" w:rsidP="0084548C">
      <w:pPr>
        <w:numPr>
          <w:ilvl w:val="0"/>
          <w:numId w:val="6"/>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Definir un calendario para el reporte oportuno de los riesgos (acción 1.3.2)</w:t>
      </w:r>
    </w:p>
    <w:p w14:paraId="67F6DE96"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04C60B92"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Cuatro acciones (</w:t>
      </w:r>
      <w:r w:rsidRPr="0084548C">
        <w:rPr>
          <w:rFonts w:ascii="Arial" w:eastAsiaTheme="minorHAnsi" w:hAnsi="Arial" w:cs="Arial"/>
          <w:sz w:val="24"/>
          <w:szCs w:val="24"/>
          <w:u w:val="single"/>
          <w:lang w:val="es-CO" w:eastAsia="en-US"/>
        </w:rPr>
        <w:t>1.3.3, 1.3.4, 1.4.1 y 1.5.1</w:t>
      </w:r>
      <w:r w:rsidRPr="0084548C">
        <w:rPr>
          <w:rFonts w:ascii="Arial" w:eastAsiaTheme="minorHAnsi" w:hAnsi="Arial" w:cs="Arial"/>
          <w:sz w:val="24"/>
          <w:szCs w:val="24"/>
          <w:lang w:val="es-CO" w:eastAsia="en-US"/>
        </w:rPr>
        <w:t xml:space="preserve">), presentan un avance del 66,66% c/u </w:t>
      </w:r>
    </w:p>
    <w:p w14:paraId="3CB682CE"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40C4FD77"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bookmarkStart w:id="6" w:name="_Hlk113628114"/>
      <w:r w:rsidRPr="0084548C">
        <w:rPr>
          <w:rFonts w:ascii="Arial" w:eastAsiaTheme="minorHAnsi" w:hAnsi="Arial" w:cs="Arial"/>
          <w:sz w:val="24"/>
          <w:szCs w:val="24"/>
          <w:lang w:val="es-CO" w:eastAsia="en-US"/>
        </w:rPr>
        <w:t>Tres acciones (1.2.2, 1.4.2, 1.5.2) están dentro de los tiempos programados para su cumplimiento tercer cuatrimestre de la vigencia.</w:t>
      </w:r>
    </w:p>
    <w:bookmarkEnd w:id="6"/>
    <w:p w14:paraId="603C95E5"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0F4F5FF7"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Con fundamento en lo anterior se concluye que de las 12 acciones programadas a la fecha se ha avanzado en nueve (9), registrando un avance promedio en el componente del </w:t>
      </w:r>
      <w:r w:rsidRPr="0084548C">
        <w:rPr>
          <w:rFonts w:ascii="Arial" w:eastAsiaTheme="minorHAnsi" w:hAnsi="Arial" w:cs="Arial"/>
          <w:b/>
          <w:sz w:val="24"/>
          <w:szCs w:val="24"/>
          <w:u w:val="single"/>
          <w:lang w:val="es-CO" w:eastAsia="en-US"/>
        </w:rPr>
        <w:t>60%</w:t>
      </w:r>
      <w:r w:rsidRPr="0084548C">
        <w:rPr>
          <w:rFonts w:ascii="Arial" w:eastAsiaTheme="minorHAnsi" w:hAnsi="Arial" w:cs="Arial"/>
          <w:sz w:val="24"/>
          <w:szCs w:val="24"/>
          <w:lang w:val="es-CO" w:eastAsia="en-US"/>
        </w:rPr>
        <w:t xml:space="preserve">.  </w:t>
      </w:r>
    </w:p>
    <w:p w14:paraId="73213E2D" w14:textId="4FD0AFEA" w:rsidR="0084548C" w:rsidRDefault="0084548C" w:rsidP="0084548C">
      <w:pPr>
        <w:overflowPunct/>
        <w:autoSpaceDE/>
        <w:autoSpaceDN/>
        <w:adjustRightInd/>
        <w:ind w:left="720"/>
        <w:contextualSpacing/>
        <w:jc w:val="both"/>
        <w:textAlignment w:val="auto"/>
        <w:rPr>
          <w:rFonts w:ascii="Arial" w:eastAsiaTheme="minorHAnsi" w:hAnsi="Arial" w:cs="Arial"/>
          <w:sz w:val="24"/>
          <w:szCs w:val="24"/>
          <w:lang w:val="es-CO" w:eastAsia="en-US"/>
        </w:rPr>
      </w:pPr>
    </w:p>
    <w:p w14:paraId="13F982DF" w14:textId="77777777" w:rsidR="00D20BC2" w:rsidRPr="0084548C" w:rsidRDefault="00D20BC2" w:rsidP="0084548C">
      <w:pPr>
        <w:overflowPunct/>
        <w:autoSpaceDE/>
        <w:autoSpaceDN/>
        <w:adjustRightInd/>
        <w:ind w:left="720"/>
        <w:contextualSpacing/>
        <w:jc w:val="both"/>
        <w:textAlignment w:val="auto"/>
        <w:rPr>
          <w:rFonts w:ascii="Arial" w:eastAsiaTheme="minorHAnsi" w:hAnsi="Arial" w:cs="Arial"/>
          <w:sz w:val="24"/>
          <w:szCs w:val="24"/>
          <w:lang w:val="es-CO" w:eastAsia="en-US"/>
        </w:rPr>
      </w:pPr>
    </w:p>
    <w:p w14:paraId="5D5B2E12" w14:textId="77777777" w:rsidR="0084548C" w:rsidRPr="0084548C" w:rsidRDefault="0084548C" w:rsidP="0084548C">
      <w:pPr>
        <w:numPr>
          <w:ilvl w:val="0"/>
          <w:numId w:val="5"/>
        </w:numPr>
        <w:overflowPunct/>
        <w:autoSpaceDE/>
        <w:autoSpaceDN/>
        <w:adjustRightInd/>
        <w:contextualSpacing/>
        <w:jc w:val="both"/>
        <w:textAlignment w:val="auto"/>
        <w:rPr>
          <w:rFonts w:ascii="Arial" w:eastAsiaTheme="minorHAnsi" w:hAnsi="Arial" w:cs="Arial"/>
          <w:b/>
          <w:sz w:val="24"/>
          <w:szCs w:val="24"/>
          <w:lang w:val="es-CO" w:eastAsia="en-US"/>
        </w:rPr>
      </w:pPr>
      <w:r w:rsidRPr="0084548C">
        <w:rPr>
          <w:rFonts w:ascii="Arial" w:eastAsiaTheme="minorHAnsi" w:hAnsi="Arial" w:cs="Arial"/>
          <w:b/>
          <w:sz w:val="24"/>
          <w:szCs w:val="24"/>
          <w:lang w:val="es-CO" w:eastAsia="en-US"/>
        </w:rPr>
        <w:lastRenderedPageBreak/>
        <w:t>Componente 2. Racionalización de trámites</w:t>
      </w:r>
    </w:p>
    <w:p w14:paraId="0E034DC5" w14:textId="77777777" w:rsidR="0084548C" w:rsidRPr="0084548C" w:rsidRDefault="0084548C" w:rsidP="0084548C">
      <w:pPr>
        <w:overflowPunct/>
        <w:autoSpaceDE/>
        <w:autoSpaceDN/>
        <w:adjustRightInd/>
        <w:jc w:val="both"/>
        <w:textAlignment w:val="auto"/>
        <w:rPr>
          <w:rFonts w:ascii="Arial" w:eastAsiaTheme="minorHAnsi" w:hAnsi="Arial" w:cs="Arial"/>
          <w:b/>
          <w:sz w:val="24"/>
          <w:szCs w:val="24"/>
          <w:lang w:val="es-CO" w:eastAsia="en-US"/>
        </w:rPr>
      </w:pPr>
    </w:p>
    <w:p w14:paraId="2FCB4141"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El componente 2, tiene formuladas cinco (5) acciones que representan el </w:t>
      </w:r>
      <w:r w:rsidRPr="0084548C">
        <w:rPr>
          <w:rFonts w:ascii="Arial" w:eastAsiaTheme="minorHAnsi" w:hAnsi="Arial" w:cs="Arial"/>
          <w:b/>
          <w:sz w:val="24"/>
          <w:szCs w:val="24"/>
          <w:u w:val="single"/>
          <w:lang w:val="es-CO" w:eastAsia="en-US"/>
        </w:rPr>
        <w:t>7,25%</w:t>
      </w:r>
      <w:r w:rsidRPr="0084548C">
        <w:rPr>
          <w:rFonts w:ascii="Arial" w:eastAsiaTheme="minorHAnsi" w:hAnsi="Arial" w:cs="Arial"/>
          <w:sz w:val="24"/>
          <w:szCs w:val="24"/>
          <w:lang w:val="es-CO" w:eastAsia="en-US"/>
        </w:rPr>
        <w:t xml:space="preserve"> de participación en el PAAC 2022, en la verificación realizada se observó que cuatro (4) acciones tienen fecha de inicio 02/02/2022 y una (1) con inicio 1 de septiembre 2022.</w:t>
      </w:r>
    </w:p>
    <w:p w14:paraId="2393276B"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5F5BEE50" w14:textId="77777777" w:rsidR="0084548C" w:rsidRPr="0084548C" w:rsidRDefault="0084548C" w:rsidP="0084548C">
      <w:pPr>
        <w:overflowPunct/>
        <w:autoSpaceDE/>
        <w:autoSpaceDN/>
        <w:adjustRightInd/>
        <w:jc w:val="both"/>
        <w:textAlignment w:val="auto"/>
        <w:rPr>
          <w:rFonts w:ascii="Arial" w:eastAsiaTheme="minorHAnsi" w:hAnsi="Arial" w:cs="Arial"/>
          <w:b/>
          <w:sz w:val="24"/>
          <w:szCs w:val="24"/>
          <w:lang w:val="es-CO" w:eastAsia="en-US"/>
        </w:rPr>
      </w:pPr>
      <w:r w:rsidRPr="0084548C">
        <w:rPr>
          <w:rFonts w:ascii="Arial" w:eastAsiaTheme="minorHAnsi" w:hAnsi="Arial" w:cs="Arial"/>
          <w:sz w:val="24"/>
          <w:szCs w:val="24"/>
          <w:lang w:val="es-CO" w:eastAsia="en-US"/>
        </w:rPr>
        <w:t xml:space="preserve">Se evidenció que, a la fecha de este seguimiento, no se registra soporte de ejecución de ninguna actividad, por lo anterior se concluye que el avance de este componente es </w:t>
      </w:r>
      <w:r w:rsidRPr="0084548C">
        <w:rPr>
          <w:rFonts w:ascii="Arial" w:eastAsiaTheme="minorHAnsi" w:hAnsi="Arial" w:cs="Arial"/>
          <w:b/>
          <w:sz w:val="24"/>
          <w:szCs w:val="24"/>
          <w:lang w:val="es-CO" w:eastAsia="en-US"/>
        </w:rPr>
        <w:t>0%</w:t>
      </w:r>
    </w:p>
    <w:p w14:paraId="64D266FA"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76C55E95" w14:textId="77777777" w:rsidR="0084548C" w:rsidRPr="0084548C" w:rsidRDefault="0084548C" w:rsidP="0084548C">
      <w:pPr>
        <w:numPr>
          <w:ilvl w:val="0"/>
          <w:numId w:val="5"/>
        </w:numPr>
        <w:overflowPunct/>
        <w:autoSpaceDE/>
        <w:autoSpaceDN/>
        <w:adjustRightInd/>
        <w:contextualSpacing/>
        <w:jc w:val="both"/>
        <w:textAlignment w:val="auto"/>
        <w:rPr>
          <w:rFonts w:ascii="Arial" w:eastAsiaTheme="minorHAnsi" w:hAnsi="Arial" w:cs="Arial"/>
          <w:b/>
          <w:sz w:val="24"/>
          <w:szCs w:val="24"/>
          <w:lang w:val="es-CO" w:eastAsia="en-US"/>
        </w:rPr>
      </w:pPr>
      <w:r w:rsidRPr="0084548C">
        <w:rPr>
          <w:rFonts w:ascii="Arial" w:eastAsiaTheme="minorHAnsi" w:hAnsi="Arial" w:cs="Arial"/>
          <w:b/>
          <w:sz w:val="24"/>
          <w:szCs w:val="24"/>
          <w:lang w:val="es-CO" w:eastAsia="en-US"/>
        </w:rPr>
        <w:t>Componente 3. Rendición de Cuentas</w:t>
      </w:r>
    </w:p>
    <w:p w14:paraId="0CCA6B33"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4C7F3AC0"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El componente 3, tiene formuladas quince (15) acciones que representan el </w:t>
      </w:r>
      <w:r w:rsidRPr="0084548C">
        <w:rPr>
          <w:rFonts w:ascii="Arial" w:eastAsiaTheme="minorHAnsi" w:hAnsi="Arial" w:cs="Arial"/>
          <w:b/>
          <w:sz w:val="24"/>
          <w:szCs w:val="24"/>
          <w:u w:val="single"/>
          <w:lang w:val="es-CO" w:eastAsia="en-US"/>
        </w:rPr>
        <w:t>21,74%</w:t>
      </w:r>
      <w:r w:rsidRPr="0084548C">
        <w:rPr>
          <w:rFonts w:ascii="Arial" w:eastAsiaTheme="minorHAnsi" w:hAnsi="Arial" w:cs="Arial"/>
          <w:sz w:val="24"/>
          <w:szCs w:val="24"/>
          <w:lang w:val="es-CO" w:eastAsia="en-US"/>
        </w:rPr>
        <w:t xml:space="preserve"> de participación en el PAAC 2022, en la verificación realizada se observó que cuatro (4) ya fueron cumplidas al 100% relacionadas a continuación: </w:t>
      </w:r>
    </w:p>
    <w:p w14:paraId="47FDAC92"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69D22831" w14:textId="77777777" w:rsidR="0084548C" w:rsidRPr="0084548C" w:rsidRDefault="0084548C" w:rsidP="0084548C">
      <w:pPr>
        <w:numPr>
          <w:ilvl w:val="0"/>
          <w:numId w:val="7"/>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Informe de gestión de la vigencia 2021 publicado en la página web del Instituto (</w:t>
      </w:r>
      <w:r w:rsidRPr="0084548C">
        <w:rPr>
          <w:rFonts w:ascii="Arial" w:eastAsiaTheme="minorHAnsi" w:hAnsi="Arial" w:cs="Arial"/>
          <w:sz w:val="24"/>
          <w:szCs w:val="24"/>
          <w:u w:val="single"/>
          <w:lang w:val="es-CO" w:eastAsia="en-US"/>
        </w:rPr>
        <w:t>3.1.1</w:t>
      </w:r>
      <w:r w:rsidRPr="0084548C">
        <w:rPr>
          <w:rFonts w:ascii="Arial" w:eastAsiaTheme="minorHAnsi" w:hAnsi="Arial" w:cs="Arial"/>
          <w:sz w:val="24"/>
          <w:szCs w:val="24"/>
          <w:lang w:val="es-CO" w:eastAsia="en-US"/>
        </w:rPr>
        <w:t>)</w:t>
      </w:r>
    </w:p>
    <w:p w14:paraId="3E5CC0C2" w14:textId="77777777" w:rsidR="0084548C" w:rsidRPr="0084548C" w:rsidRDefault="0084548C" w:rsidP="0084548C">
      <w:pPr>
        <w:numPr>
          <w:ilvl w:val="0"/>
          <w:numId w:val="7"/>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Grupo líder de rendición de cuentas conformado al interior del Instituto (</w:t>
      </w:r>
      <w:r w:rsidRPr="0084548C">
        <w:rPr>
          <w:rFonts w:ascii="Arial" w:eastAsiaTheme="minorHAnsi" w:hAnsi="Arial" w:cs="Arial"/>
          <w:sz w:val="24"/>
          <w:szCs w:val="24"/>
          <w:u w:val="single"/>
          <w:lang w:val="es-CO" w:eastAsia="en-US"/>
        </w:rPr>
        <w:t>3.2.1</w:t>
      </w:r>
      <w:r w:rsidRPr="0084548C">
        <w:rPr>
          <w:rFonts w:ascii="Arial" w:eastAsiaTheme="minorHAnsi" w:hAnsi="Arial" w:cs="Arial"/>
          <w:sz w:val="24"/>
          <w:szCs w:val="24"/>
          <w:lang w:val="es-CO" w:eastAsia="en-US"/>
        </w:rPr>
        <w:t>)</w:t>
      </w:r>
    </w:p>
    <w:p w14:paraId="075BADF8" w14:textId="77777777" w:rsidR="0084548C" w:rsidRPr="0084548C" w:rsidRDefault="0084548C" w:rsidP="0084548C">
      <w:pPr>
        <w:numPr>
          <w:ilvl w:val="0"/>
          <w:numId w:val="7"/>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Documento de Rendición de cuentas actualizado (3.2.2)</w:t>
      </w:r>
    </w:p>
    <w:p w14:paraId="632DAE40" w14:textId="77777777" w:rsidR="0084548C" w:rsidRPr="0084548C" w:rsidRDefault="0084548C" w:rsidP="0084548C">
      <w:pPr>
        <w:numPr>
          <w:ilvl w:val="0"/>
          <w:numId w:val="7"/>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Plan Institucional de Participación Ciudadana formulado y aprobado (</w:t>
      </w:r>
      <w:r w:rsidRPr="0084548C">
        <w:rPr>
          <w:rFonts w:ascii="Arial" w:eastAsiaTheme="minorHAnsi" w:hAnsi="Arial" w:cs="Arial"/>
          <w:sz w:val="24"/>
          <w:szCs w:val="24"/>
          <w:u w:val="single"/>
          <w:lang w:val="es-CO" w:eastAsia="en-US"/>
        </w:rPr>
        <w:t>3.2.3</w:t>
      </w:r>
      <w:r w:rsidRPr="0084548C">
        <w:rPr>
          <w:rFonts w:ascii="Arial" w:eastAsiaTheme="minorHAnsi" w:hAnsi="Arial" w:cs="Arial"/>
          <w:sz w:val="24"/>
          <w:szCs w:val="24"/>
          <w:lang w:val="es-CO" w:eastAsia="en-US"/>
        </w:rPr>
        <w:t>)</w:t>
      </w:r>
    </w:p>
    <w:p w14:paraId="6A82BF10"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34E8C5A5"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Cinco (5) acciones presentan el siguiente nivel de avance: </w:t>
      </w:r>
    </w:p>
    <w:p w14:paraId="60F315F1"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689DB7EF" w14:textId="77777777" w:rsidR="0084548C" w:rsidRPr="0084548C" w:rsidRDefault="0084548C" w:rsidP="0084548C">
      <w:pPr>
        <w:numPr>
          <w:ilvl w:val="0"/>
          <w:numId w:val="8"/>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Una (1) acción registra el 66,66% de avance (3.2.4)</w:t>
      </w:r>
    </w:p>
    <w:p w14:paraId="05A62F8F" w14:textId="77777777" w:rsidR="0084548C" w:rsidRPr="0084548C" w:rsidRDefault="0084548C" w:rsidP="0084548C">
      <w:pPr>
        <w:numPr>
          <w:ilvl w:val="0"/>
          <w:numId w:val="8"/>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Una (1) acción registra el 50% de avance (3.2.5) </w:t>
      </w:r>
    </w:p>
    <w:p w14:paraId="537B2B5C" w14:textId="77777777" w:rsidR="0084548C" w:rsidRPr="0084548C" w:rsidRDefault="0084548C" w:rsidP="0084548C">
      <w:pPr>
        <w:numPr>
          <w:ilvl w:val="0"/>
          <w:numId w:val="8"/>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Una (1) acción registra el 63,63% de avance (3.3.1)</w:t>
      </w:r>
    </w:p>
    <w:p w14:paraId="373B3AEB" w14:textId="77777777" w:rsidR="0084548C" w:rsidRPr="0084548C" w:rsidRDefault="0084548C" w:rsidP="0084548C">
      <w:pPr>
        <w:numPr>
          <w:ilvl w:val="0"/>
          <w:numId w:val="8"/>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Una (1) acción registra el 72,72% de avance (3.3.2)</w:t>
      </w:r>
    </w:p>
    <w:p w14:paraId="765022AF" w14:textId="77777777" w:rsidR="0084548C" w:rsidRPr="0084548C" w:rsidRDefault="0084548C" w:rsidP="0084548C">
      <w:pPr>
        <w:numPr>
          <w:ilvl w:val="0"/>
          <w:numId w:val="8"/>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Una (1) acción registra el 75% de avance (3.3.3)</w:t>
      </w:r>
    </w:p>
    <w:p w14:paraId="7B4F8131" w14:textId="77777777" w:rsidR="0084548C" w:rsidRPr="0084548C" w:rsidRDefault="0084548C" w:rsidP="0084548C">
      <w:pPr>
        <w:overflowPunct/>
        <w:autoSpaceDE/>
        <w:autoSpaceDN/>
        <w:adjustRightInd/>
        <w:ind w:left="720"/>
        <w:contextualSpacing/>
        <w:jc w:val="both"/>
        <w:textAlignment w:val="auto"/>
        <w:rPr>
          <w:rFonts w:ascii="Arial" w:eastAsiaTheme="minorHAnsi" w:hAnsi="Arial" w:cs="Arial"/>
          <w:sz w:val="24"/>
          <w:szCs w:val="24"/>
          <w:lang w:val="es-CO" w:eastAsia="en-US"/>
        </w:rPr>
      </w:pPr>
    </w:p>
    <w:p w14:paraId="341C2B1D"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Seis acciones (3.1.2, 3.2.6, 3.2.7, 3.2.8, 3.4.1, 3.4.2) están dentro de los tiempos programados para su cumplimiento tercer cuatrimestre de la vigencia.</w:t>
      </w:r>
    </w:p>
    <w:p w14:paraId="37AECA2F"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478F2DF6"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Con base en lo anterior se concluye que de las 15 acciones programadas a la fecha se ha avanzado en nueve (9), registrando un avance promedio en el componente del </w:t>
      </w:r>
      <w:r w:rsidRPr="0084548C">
        <w:rPr>
          <w:rFonts w:ascii="Arial" w:eastAsiaTheme="minorHAnsi" w:hAnsi="Arial" w:cs="Arial"/>
          <w:b/>
          <w:sz w:val="24"/>
          <w:szCs w:val="24"/>
          <w:u w:val="single"/>
          <w:lang w:val="es-CO" w:eastAsia="en-US"/>
        </w:rPr>
        <w:t>43,13%</w:t>
      </w:r>
      <w:r w:rsidRPr="0084548C">
        <w:rPr>
          <w:rFonts w:ascii="Arial" w:eastAsiaTheme="minorHAnsi" w:hAnsi="Arial" w:cs="Arial"/>
          <w:sz w:val="24"/>
          <w:szCs w:val="24"/>
          <w:lang w:val="es-CO" w:eastAsia="en-US"/>
        </w:rPr>
        <w:t xml:space="preserve">.  </w:t>
      </w:r>
    </w:p>
    <w:p w14:paraId="5AE31BBE"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55AC3F02" w14:textId="77777777" w:rsidR="0084548C" w:rsidRPr="0084548C" w:rsidRDefault="0084548C" w:rsidP="0084548C">
      <w:pPr>
        <w:numPr>
          <w:ilvl w:val="0"/>
          <w:numId w:val="5"/>
        </w:numPr>
        <w:overflowPunct/>
        <w:autoSpaceDE/>
        <w:autoSpaceDN/>
        <w:adjustRightInd/>
        <w:contextualSpacing/>
        <w:jc w:val="both"/>
        <w:textAlignment w:val="auto"/>
        <w:rPr>
          <w:rFonts w:ascii="Arial" w:eastAsiaTheme="minorHAnsi" w:hAnsi="Arial" w:cs="Arial"/>
          <w:b/>
          <w:sz w:val="24"/>
          <w:szCs w:val="24"/>
          <w:lang w:val="es-CO" w:eastAsia="en-US"/>
        </w:rPr>
      </w:pPr>
      <w:r w:rsidRPr="0084548C">
        <w:rPr>
          <w:rFonts w:ascii="Arial" w:eastAsiaTheme="minorHAnsi" w:hAnsi="Arial" w:cs="Arial"/>
          <w:b/>
          <w:sz w:val="24"/>
          <w:szCs w:val="24"/>
          <w:lang w:val="es-CO" w:eastAsia="en-US"/>
        </w:rPr>
        <w:t>Componente 4. Servicio al Ciudadano</w:t>
      </w:r>
    </w:p>
    <w:p w14:paraId="4BFA1AA6" w14:textId="77777777" w:rsidR="0084548C" w:rsidRPr="0084548C" w:rsidRDefault="0084548C" w:rsidP="0084548C">
      <w:pPr>
        <w:overflowPunct/>
        <w:autoSpaceDE/>
        <w:autoSpaceDN/>
        <w:adjustRightInd/>
        <w:jc w:val="both"/>
        <w:textAlignment w:val="auto"/>
        <w:rPr>
          <w:rFonts w:ascii="Arial" w:eastAsiaTheme="minorHAnsi" w:hAnsi="Arial" w:cs="Arial"/>
          <w:b/>
          <w:sz w:val="24"/>
          <w:szCs w:val="24"/>
          <w:lang w:val="es-CO" w:eastAsia="en-US"/>
        </w:rPr>
      </w:pPr>
    </w:p>
    <w:p w14:paraId="54DD33DC"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El componente 4, tiene formuladas veinte (20) acciones que representan el </w:t>
      </w:r>
      <w:r w:rsidRPr="0084548C">
        <w:rPr>
          <w:rFonts w:ascii="Arial" w:eastAsiaTheme="minorHAnsi" w:hAnsi="Arial" w:cs="Arial"/>
          <w:b/>
          <w:sz w:val="24"/>
          <w:szCs w:val="24"/>
          <w:u w:val="single"/>
          <w:lang w:val="es-CO" w:eastAsia="en-US"/>
        </w:rPr>
        <w:t>28,99%</w:t>
      </w:r>
      <w:r w:rsidRPr="0084548C">
        <w:rPr>
          <w:rFonts w:ascii="Arial" w:eastAsiaTheme="minorHAnsi" w:hAnsi="Arial" w:cs="Arial"/>
          <w:sz w:val="24"/>
          <w:szCs w:val="24"/>
          <w:lang w:val="es-CO" w:eastAsia="en-US"/>
        </w:rPr>
        <w:t xml:space="preserve"> de participación en el PAAC 2022, en la verificación realizada se observó que siete (7) ya fueron cumplidas al 100% así:</w:t>
      </w:r>
    </w:p>
    <w:p w14:paraId="451B6BCB"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480321AA" w14:textId="77777777" w:rsidR="0084548C" w:rsidRPr="0084548C" w:rsidRDefault="0084548C" w:rsidP="0084548C">
      <w:pPr>
        <w:numPr>
          <w:ilvl w:val="0"/>
          <w:numId w:val="9"/>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Estrategia de comunicación definida y aprobada (4.2.3)</w:t>
      </w:r>
    </w:p>
    <w:p w14:paraId="3B2F4535" w14:textId="661E56D6" w:rsidR="0084548C" w:rsidRDefault="0084548C" w:rsidP="0084548C">
      <w:pPr>
        <w:numPr>
          <w:ilvl w:val="0"/>
          <w:numId w:val="9"/>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Estrategia de atención a la ciudadanía virtual y presencial con ajuste de horarios (4.2.6) </w:t>
      </w:r>
    </w:p>
    <w:p w14:paraId="34F647EE" w14:textId="77777777" w:rsidR="00D20BC2" w:rsidRPr="0084548C" w:rsidRDefault="00D20BC2" w:rsidP="00D20BC2">
      <w:pPr>
        <w:overflowPunct/>
        <w:autoSpaceDE/>
        <w:autoSpaceDN/>
        <w:adjustRightInd/>
        <w:ind w:left="720"/>
        <w:contextualSpacing/>
        <w:jc w:val="both"/>
        <w:textAlignment w:val="auto"/>
        <w:rPr>
          <w:rFonts w:ascii="Arial" w:eastAsiaTheme="minorHAnsi" w:hAnsi="Arial" w:cs="Arial"/>
          <w:sz w:val="24"/>
          <w:szCs w:val="24"/>
          <w:lang w:val="es-CO" w:eastAsia="en-US"/>
        </w:rPr>
      </w:pPr>
    </w:p>
    <w:p w14:paraId="1F7EE2EA" w14:textId="77777777" w:rsidR="0084548C" w:rsidRPr="0084548C" w:rsidRDefault="0084548C" w:rsidP="0084548C">
      <w:pPr>
        <w:numPr>
          <w:ilvl w:val="0"/>
          <w:numId w:val="9"/>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Programa de capacitación en lenguaje de señas definido (4.2.7)</w:t>
      </w:r>
    </w:p>
    <w:p w14:paraId="61D3EA9F" w14:textId="77777777" w:rsidR="0084548C" w:rsidRPr="0084548C" w:rsidRDefault="0084548C" w:rsidP="0084548C">
      <w:pPr>
        <w:numPr>
          <w:ilvl w:val="0"/>
          <w:numId w:val="9"/>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Ejecutar un programa de capacitación en lenguaje de señas (4.2.8)</w:t>
      </w:r>
    </w:p>
    <w:p w14:paraId="19DCB7C5" w14:textId="77777777" w:rsidR="0084548C" w:rsidRPr="0084548C" w:rsidRDefault="0084548C" w:rsidP="0084548C">
      <w:pPr>
        <w:numPr>
          <w:ilvl w:val="0"/>
          <w:numId w:val="9"/>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Ajustar la estrategia de reconocimiento al mejor colaborador que brinde atención a la ciudadanía (4.3.1)</w:t>
      </w:r>
    </w:p>
    <w:p w14:paraId="4382CA85" w14:textId="77777777" w:rsidR="0084548C" w:rsidRPr="0084548C" w:rsidRDefault="0084548C" w:rsidP="0084548C">
      <w:pPr>
        <w:numPr>
          <w:ilvl w:val="0"/>
          <w:numId w:val="9"/>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3 jornadas de actualización normativa (4.3.4)</w:t>
      </w:r>
    </w:p>
    <w:p w14:paraId="0BA034E0" w14:textId="77777777" w:rsidR="0084548C" w:rsidRPr="0084548C" w:rsidRDefault="0084548C" w:rsidP="0084548C">
      <w:pPr>
        <w:numPr>
          <w:ilvl w:val="0"/>
          <w:numId w:val="9"/>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Revisar y ajustar el formulario de encuesta de satisfacción (4.5.1)</w:t>
      </w:r>
    </w:p>
    <w:p w14:paraId="1C191FB6"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0AE254A6"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Siete (7) acciones presentan el siguiente nivel de avance: </w:t>
      </w:r>
    </w:p>
    <w:p w14:paraId="27D61B61"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5BE51F1E" w14:textId="77777777" w:rsidR="0084548C" w:rsidRPr="0084548C" w:rsidRDefault="0084548C" w:rsidP="0084548C">
      <w:pPr>
        <w:numPr>
          <w:ilvl w:val="0"/>
          <w:numId w:val="8"/>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Dos (2) acciones registran el 33,33% de avance (4.1.1, 4.4.1) </w:t>
      </w:r>
    </w:p>
    <w:p w14:paraId="7FE7BBA7" w14:textId="77777777" w:rsidR="0084548C" w:rsidRPr="0084548C" w:rsidRDefault="0084548C" w:rsidP="0084548C">
      <w:pPr>
        <w:numPr>
          <w:ilvl w:val="0"/>
          <w:numId w:val="8"/>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Una (1) acción registra el 38% de avance (4.2.4) </w:t>
      </w:r>
    </w:p>
    <w:p w14:paraId="7816FC3C" w14:textId="77777777" w:rsidR="0084548C" w:rsidRPr="0084548C" w:rsidRDefault="0084548C" w:rsidP="0084548C">
      <w:pPr>
        <w:numPr>
          <w:ilvl w:val="0"/>
          <w:numId w:val="8"/>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Dos (2) acciones registran el 50% de avance (4.2.5, 4.3.3) </w:t>
      </w:r>
    </w:p>
    <w:p w14:paraId="24D792B1" w14:textId="77777777" w:rsidR="0084548C" w:rsidRPr="0084548C" w:rsidRDefault="0084548C" w:rsidP="0084548C">
      <w:pPr>
        <w:numPr>
          <w:ilvl w:val="0"/>
          <w:numId w:val="8"/>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Una (1) acción registra el 66,66% de avance (4.4.3) </w:t>
      </w:r>
    </w:p>
    <w:p w14:paraId="7D2364BE" w14:textId="77777777" w:rsidR="0084548C" w:rsidRPr="0084548C" w:rsidRDefault="0084548C" w:rsidP="0084548C">
      <w:pPr>
        <w:numPr>
          <w:ilvl w:val="0"/>
          <w:numId w:val="8"/>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Una (1) acción registra el 60% de avance (4.4.4) </w:t>
      </w:r>
    </w:p>
    <w:p w14:paraId="1D0DAF2A"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31059F72"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Seis (6) acciones (4.2.1, 4.2.2, 4.2.9, 4.3.2, 4.4.2, 4.5.2) no han iniciado su ejecución a la fecha</w:t>
      </w:r>
    </w:p>
    <w:p w14:paraId="3FC2B34D"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2B65777A"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Se concluye que de las 20 acciones programadas a la fecha se ha avanzado en catorce (14), registrando un avance promedio en el componente del </w:t>
      </w:r>
      <w:r w:rsidRPr="0084548C">
        <w:rPr>
          <w:rFonts w:ascii="Arial" w:eastAsiaTheme="minorHAnsi" w:hAnsi="Arial" w:cs="Arial"/>
          <w:b/>
          <w:sz w:val="24"/>
          <w:szCs w:val="24"/>
          <w:u w:val="single"/>
          <w:lang w:val="es-CO" w:eastAsia="en-US"/>
        </w:rPr>
        <w:t>48,01%.</w:t>
      </w:r>
      <w:r w:rsidRPr="0084548C">
        <w:rPr>
          <w:rFonts w:ascii="Arial" w:eastAsiaTheme="minorHAnsi" w:hAnsi="Arial" w:cs="Arial"/>
          <w:sz w:val="24"/>
          <w:szCs w:val="24"/>
          <w:lang w:val="es-CO" w:eastAsia="en-US"/>
        </w:rPr>
        <w:t xml:space="preserve">  </w:t>
      </w:r>
    </w:p>
    <w:p w14:paraId="6EA54960" w14:textId="77777777" w:rsidR="0084548C" w:rsidRPr="0084548C" w:rsidRDefault="0084548C" w:rsidP="0084548C">
      <w:pPr>
        <w:overflowPunct/>
        <w:autoSpaceDE/>
        <w:autoSpaceDN/>
        <w:adjustRightInd/>
        <w:jc w:val="both"/>
        <w:textAlignment w:val="auto"/>
        <w:rPr>
          <w:rFonts w:ascii="Arial" w:eastAsiaTheme="minorHAnsi" w:hAnsi="Arial" w:cs="Arial"/>
          <w:b/>
          <w:sz w:val="24"/>
          <w:szCs w:val="24"/>
          <w:lang w:val="es-CO" w:eastAsia="en-US"/>
        </w:rPr>
      </w:pPr>
    </w:p>
    <w:p w14:paraId="55FCE1B5" w14:textId="77777777" w:rsidR="0084548C" w:rsidRPr="0084548C" w:rsidRDefault="0084548C" w:rsidP="0084548C">
      <w:pPr>
        <w:numPr>
          <w:ilvl w:val="0"/>
          <w:numId w:val="5"/>
        </w:numPr>
        <w:overflowPunct/>
        <w:autoSpaceDE/>
        <w:autoSpaceDN/>
        <w:adjustRightInd/>
        <w:contextualSpacing/>
        <w:jc w:val="both"/>
        <w:textAlignment w:val="auto"/>
        <w:rPr>
          <w:rFonts w:ascii="Arial" w:eastAsiaTheme="minorHAnsi" w:hAnsi="Arial" w:cs="Arial"/>
          <w:b/>
          <w:sz w:val="24"/>
          <w:szCs w:val="24"/>
          <w:lang w:val="es-CO" w:eastAsia="en-US"/>
        </w:rPr>
      </w:pPr>
      <w:r w:rsidRPr="0084548C">
        <w:rPr>
          <w:rFonts w:ascii="Arial" w:eastAsiaTheme="minorHAnsi" w:hAnsi="Arial" w:cs="Arial"/>
          <w:b/>
          <w:sz w:val="24"/>
          <w:szCs w:val="24"/>
          <w:lang w:val="es-CO" w:eastAsia="en-US"/>
        </w:rPr>
        <w:t>Componente 5. Transparencia y acceso a la información</w:t>
      </w:r>
    </w:p>
    <w:p w14:paraId="616BC414"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7E4E1F9C"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El componente 5, tiene formuladas doce (12) acciones que representan el </w:t>
      </w:r>
      <w:r w:rsidRPr="0084548C">
        <w:rPr>
          <w:rFonts w:ascii="Arial" w:eastAsiaTheme="minorHAnsi" w:hAnsi="Arial" w:cs="Arial"/>
          <w:b/>
          <w:sz w:val="24"/>
          <w:szCs w:val="24"/>
          <w:u w:val="single"/>
          <w:lang w:val="es-CO" w:eastAsia="en-US"/>
        </w:rPr>
        <w:t>17,39%</w:t>
      </w:r>
      <w:r w:rsidRPr="0084548C">
        <w:rPr>
          <w:rFonts w:ascii="Arial" w:eastAsiaTheme="minorHAnsi" w:hAnsi="Arial" w:cs="Arial"/>
          <w:sz w:val="24"/>
          <w:szCs w:val="24"/>
          <w:lang w:val="es-CO" w:eastAsia="en-US"/>
        </w:rPr>
        <w:t xml:space="preserve"> de participación en el PAAC 2022, </w:t>
      </w:r>
      <w:bookmarkStart w:id="7" w:name="_Hlk113630608"/>
      <w:r w:rsidRPr="0084548C">
        <w:rPr>
          <w:rFonts w:ascii="Arial" w:eastAsiaTheme="minorHAnsi" w:hAnsi="Arial" w:cs="Arial"/>
          <w:sz w:val="24"/>
          <w:szCs w:val="24"/>
          <w:lang w:val="es-CO" w:eastAsia="en-US"/>
        </w:rPr>
        <w:t>en la verificación realizada se observó que una (1) fue cumplida al 100% así:</w:t>
      </w:r>
    </w:p>
    <w:bookmarkEnd w:id="7"/>
    <w:p w14:paraId="161F968A"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54DEF124" w14:textId="77777777" w:rsidR="0084548C" w:rsidRPr="0084548C" w:rsidRDefault="0084548C" w:rsidP="0084548C">
      <w:pPr>
        <w:pStyle w:val="Prrafodelista"/>
        <w:numPr>
          <w:ilvl w:val="0"/>
          <w:numId w:val="11"/>
        </w:numPr>
        <w:rPr>
          <w:rFonts w:eastAsiaTheme="minorHAnsi" w:cs="Arial"/>
          <w:sz w:val="24"/>
          <w:szCs w:val="24"/>
          <w:lang w:val="es-CO" w:eastAsia="en-US"/>
        </w:rPr>
      </w:pPr>
      <w:r w:rsidRPr="0084548C">
        <w:rPr>
          <w:rFonts w:eastAsiaTheme="minorHAnsi" w:cs="Arial"/>
          <w:sz w:val="24"/>
          <w:szCs w:val="24"/>
          <w:lang w:val="es-CO" w:eastAsia="en-US"/>
        </w:rPr>
        <w:t>Plan de trabajo definido y aprobado para atender los criterios de accesibilidad del anexo 1 de la resolución 1519 de 2020 (5.4.1)</w:t>
      </w:r>
    </w:p>
    <w:p w14:paraId="07D5D716"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31A914C6"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Cuatro (4) acciones presentan el siguiente nivel de avance: </w:t>
      </w:r>
    </w:p>
    <w:p w14:paraId="3E8EC918"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06C57D68" w14:textId="77777777" w:rsidR="0084548C" w:rsidRPr="0084548C" w:rsidRDefault="0084548C" w:rsidP="0084548C">
      <w:pPr>
        <w:numPr>
          <w:ilvl w:val="0"/>
          <w:numId w:val="8"/>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Una (1) acción registra el 66,66% de avance (5.1.3) </w:t>
      </w:r>
    </w:p>
    <w:p w14:paraId="6168B088" w14:textId="77777777" w:rsidR="0084548C" w:rsidRPr="0084548C" w:rsidRDefault="0084548C" w:rsidP="0084548C">
      <w:pPr>
        <w:numPr>
          <w:ilvl w:val="0"/>
          <w:numId w:val="8"/>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Tres (3) acciones registran el 63,63% de avance (5.1.6, 5.2.1, 5.5.1) </w:t>
      </w:r>
    </w:p>
    <w:p w14:paraId="084942A0"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7D8DB935"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Siete (7) acciones (5.1.1, 5.1.2, 5.1.4, 5.1.5, 5.3.1, 5.3.2, 5.4.2) no han iniciado su ejecución a la fecha</w:t>
      </w:r>
    </w:p>
    <w:p w14:paraId="4107123A"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47530B2B"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Se concluye que de las 12 acciones programadas en el componente a la fecha se ha avanzado en cinco (5), registrando un avance promedio en el componente del </w:t>
      </w:r>
      <w:r w:rsidRPr="0084548C">
        <w:rPr>
          <w:rFonts w:ascii="Arial" w:eastAsiaTheme="minorHAnsi" w:hAnsi="Arial" w:cs="Arial"/>
          <w:b/>
          <w:sz w:val="24"/>
          <w:szCs w:val="24"/>
          <w:u w:val="single"/>
          <w:lang w:val="es-CO" w:eastAsia="en-US"/>
        </w:rPr>
        <w:t>39,80%.</w:t>
      </w:r>
      <w:r w:rsidRPr="0084548C">
        <w:rPr>
          <w:rFonts w:ascii="Arial" w:eastAsiaTheme="minorHAnsi" w:hAnsi="Arial" w:cs="Arial"/>
          <w:sz w:val="24"/>
          <w:szCs w:val="24"/>
          <w:lang w:val="es-CO" w:eastAsia="en-US"/>
        </w:rPr>
        <w:t xml:space="preserve">  </w:t>
      </w:r>
    </w:p>
    <w:p w14:paraId="57E05121" w14:textId="6732366C" w:rsid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0C5EB996" w14:textId="290255A2" w:rsidR="00D20BC2" w:rsidRDefault="00D20BC2" w:rsidP="0084548C">
      <w:pPr>
        <w:overflowPunct/>
        <w:autoSpaceDE/>
        <w:autoSpaceDN/>
        <w:adjustRightInd/>
        <w:jc w:val="both"/>
        <w:textAlignment w:val="auto"/>
        <w:rPr>
          <w:rFonts w:ascii="Arial" w:eastAsiaTheme="minorHAnsi" w:hAnsi="Arial" w:cs="Arial"/>
          <w:sz w:val="24"/>
          <w:szCs w:val="24"/>
          <w:lang w:val="es-CO" w:eastAsia="en-US"/>
        </w:rPr>
      </w:pPr>
    </w:p>
    <w:p w14:paraId="599BECC9" w14:textId="4DD7B90E" w:rsidR="00D20BC2" w:rsidRDefault="00D20BC2" w:rsidP="0084548C">
      <w:pPr>
        <w:overflowPunct/>
        <w:autoSpaceDE/>
        <w:autoSpaceDN/>
        <w:adjustRightInd/>
        <w:jc w:val="both"/>
        <w:textAlignment w:val="auto"/>
        <w:rPr>
          <w:rFonts w:ascii="Arial" w:eastAsiaTheme="minorHAnsi" w:hAnsi="Arial" w:cs="Arial"/>
          <w:sz w:val="24"/>
          <w:szCs w:val="24"/>
          <w:lang w:val="es-CO" w:eastAsia="en-US"/>
        </w:rPr>
      </w:pPr>
    </w:p>
    <w:p w14:paraId="67E32659" w14:textId="77777777" w:rsidR="00D20BC2" w:rsidRPr="0084548C" w:rsidRDefault="00D20BC2" w:rsidP="0084548C">
      <w:pPr>
        <w:overflowPunct/>
        <w:autoSpaceDE/>
        <w:autoSpaceDN/>
        <w:adjustRightInd/>
        <w:jc w:val="both"/>
        <w:textAlignment w:val="auto"/>
        <w:rPr>
          <w:rFonts w:ascii="Arial" w:eastAsiaTheme="minorHAnsi" w:hAnsi="Arial" w:cs="Arial"/>
          <w:sz w:val="24"/>
          <w:szCs w:val="24"/>
          <w:lang w:val="es-CO" w:eastAsia="en-US"/>
        </w:rPr>
      </w:pPr>
    </w:p>
    <w:p w14:paraId="53953707" w14:textId="77777777" w:rsidR="0084548C" w:rsidRPr="0084548C" w:rsidRDefault="0084548C" w:rsidP="0084548C">
      <w:pPr>
        <w:numPr>
          <w:ilvl w:val="0"/>
          <w:numId w:val="5"/>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b/>
          <w:sz w:val="24"/>
          <w:szCs w:val="24"/>
          <w:lang w:val="es-CO" w:eastAsia="en-US"/>
        </w:rPr>
        <w:lastRenderedPageBreak/>
        <w:t>Componente 6. Iniciativas Adicionales</w:t>
      </w:r>
    </w:p>
    <w:p w14:paraId="1E6CF1CB"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5484C1F3"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El componente 6, tiene formuladas cinco (5) acciones que representan el </w:t>
      </w:r>
      <w:r w:rsidRPr="0084548C">
        <w:rPr>
          <w:rFonts w:ascii="Arial" w:eastAsiaTheme="minorHAnsi" w:hAnsi="Arial" w:cs="Arial"/>
          <w:b/>
          <w:sz w:val="24"/>
          <w:szCs w:val="24"/>
          <w:u w:val="single"/>
          <w:lang w:val="es-CO" w:eastAsia="en-US"/>
        </w:rPr>
        <w:t>7,25%</w:t>
      </w:r>
      <w:r w:rsidRPr="0084548C">
        <w:rPr>
          <w:rFonts w:ascii="Arial" w:eastAsiaTheme="minorHAnsi" w:hAnsi="Arial" w:cs="Arial"/>
          <w:sz w:val="24"/>
          <w:szCs w:val="24"/>
          <w:lang w:val="es-CO" w:eastAsia="en-US"/>
        </w:rPr>
        <w:t xml:space="preserve"> de participación en el PAAC 2022, en la verificación realizada se observó que dos (2) fueron cumplidas al 100% así:</w:t>
      </w:r>
    </w:p>
    <w:p w14:paraId="041172E1"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2C70CEEC" w14:textId="77777777" w:rsidR="0084548C" w:rsidRPr="0084548C" w:rsidRDefault="0084548C" w:rsidP="0084548C">
      <w:pPr>
        <w:pStyle w:val="Prrafodelista"/>
        <w:numPr>
          <w:ilvl w:val="0"/>
          <w:numId w:val="11"/>
        </w:numPr>
        <w:rPr>
          <w:rFonts w:eastAsiaTheme="minorHAnsi" w:cs="Arial"/>
          <w:sz w:val="24"/>
          <w:szCs w:val="24"/>
          <w:lang w:val="es-CO" w:eastAsia="en-US"/>
        </w:rPr>
      </w:pPr>
      <w:r w:rsidRPr="0084548C">
        <w:rPr>
          <w:rFonts w:eastAsiaTheme="minorHAnsi" w:cs="Arial"/>
          <w:sz w:val="24"/>
          <w:szCs w:val="24"/>
          <w:lang w:val="es-CO" w:eastAsia="en-US"/>
        </w:rPr>
        <w:t>Equipo de Gestores de Integridad para la vigencia 2022, conformado (6.1.1)</w:t>
      </w:r>
    </w:p>
    <w:p w14:paraId="7EBEFB83" w14:textId="77777777" w:rsidR="0084548C" w:rsidRPr="0084548C" w:rsidRDefault="0084548C" w:rsidP="0084548C">
      <w:pPr>
        <w:pStyle w:val="Prrafodelista"/>
        <w:numPr>
          <w:ilvl w:val="0"/>
          <w:numId w:val="11"/>
        </w:numPr>
        <w:rPr>
          <w:rFonts w:eastAsiaTheme="minorHAnsi" w:cs="Arial"/>
          <w:sz w:val="24"/>
          <w:szCs w:val="24"/>
          <w:lang w:val="es-CO" w:eastAsia="en-US"/>
        </w:rPr>
      </w:pPr>
      <w:r w:rsidRPr="0084548C">
        <w:rPr>
          <w:rFonts w:eastAsiaTheme="minorHAnsi" w:cs="Arial"/>
          <w:sz w:val="24"/>
          <w:szCs w:val="24"/>
          <w:lang w:val="es-CO" w:eastAsia="en-US"/>
        </w:rPr>
        <w:t>Plan de acción de la Política de Integridad aprobado (6.1.2)</w:t>
      </w:r>
    </w:p>
    <w:p w14:paraId="7FC3D13D" w14:textId="77777777" w:rsidR="0084548C" w:rsidRPr="0084548C" w:rsidRDefault="0084548C" w:rsidP="0084548C">
      <w:pPr>
        <w:pStyle w:val="Prrafodelista"/>
        <w:rPr>
          <w:rFonts w:eastAsiaTheme="minorHAnsi" w:cs="Arial"/>
          <w:sz w:val="24"/>
          <w:szCs w:val="24"/>
          <w:lang w:val="es-CO" w:eastAsia="en-US"/>
        </w:rPr>
      </w:pPr>
    </w:p>
    <w:p w14:paraId="163F0CB8"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Una (1) acción presenta el siguiente nivel de avance:</w:t>
      </w:r>
    </w:p>
    <w:p w14:paraId="0BD7B68E"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6D83128A" w14:textId="77777777" w:rsidR="0084548C" w:rsidRPr="0084548C" w:rsidRDefault="0084548C" w:rsidP="0084548C">
      <w:pPr>
        <w:numPr>
          <w:ilvl w:val="0"/>
          <w:numId w:val="8"/>
        </w:numPr>
        <w:overflowPunct/>
        <w:autoSpaceDE/>
        <w:autoSpaceDN/>
        <w:adjustRightInd/>
        <w:contextualSpacing/>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Una (1) acción registra el 50% de avance (6.1.3) </w:t>
      </w:r>
    </w:p>
    <w:p w14:paraId="586B37BC" w14:textId="77777777" w:rsidR="0084548C" w:rsidRPr="0084548C" w:rsidRDefault="0084548C" w:rsidP="0084548C">
      <w:pPr>
        <w:overflowPunct/>
        <w:autoSpaceDE/>
        <w:autoSpaceDN/>
        <w:adjustRightInd/>
        <w:contextualSpacing/>
        <w:jc w:val="both"/>
        <w:textAlignment w:val="auto"/>
        <w:rPr>
          <w:rFonts w:ascii="Arial" w:eastAsiaTheme="minorHAnsi" w:hAnsi="Arial" w:cs="Arial"/>
          <w:sz w:val="24"/>
          <w:szCs w:val="24"/>
          <w:lang w:val="es-CO" w:eastAsia="en-US"/>
        </w:rPr>
      </w:pPr>
    </w:p>
    <w:p w14:paraId="24460E07"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Dos (2) acciones (6.1.4, 6.1.5) no han iniciado su ejecución a la fecha</w:t>
      </w:r>
    </w:p>
    <w:p w14:paraId="2E94D725"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p>
    <w:p w14:paraId="1F0E6D8D" w14:textId="77777777" w:rsidR="0084548C" w:rsidRPr="0084548C" w:rsidRDefault="0084548C" w:rsidP="0084548C">
      <w:pPr>
        <w:overflowPunct/>
        <w:autoSpaceDE/>
        <w:autoSpaceDN/>
        <w:adjustRightInd/>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Se concluye que de las 5 acciones programadas en el componente a la fecha se ha avanzado en tres (3), registrando un avance promedio en el componente del </w:t>
      </w:r>
      <w:r w:rsidRPr="0084548C">
        <w:rPr>
          <w:rFonts w:ascii="Arial" w:eastAsiaTheme="minorHAnsi" w:hAnsi="Arial" w:cs="Arial"/>
          <w:b/>
          <w:sz w:val="24"/>
          <w:szCs w:val="24"/>
          <w:u w:val="single"/>
          <w:lang w:val="es-CO" w:eastAsia="en-US"/>
        </w:rPr>
        <w:t>50%.</w:t>
      </w:r>
      <w:r w:rsidRPr="0084548C">
        <w:rPr>
          <w:rFonts w:ascii="Arial" w:eastAsiaTheme="minorHAnsi" w:hAnsi="Arial" w:cs="Arial"/>
          <w:sz w:val="24"/>
          <w:szCs w:val="24"/>
          <w:lang w:val="es-CO" w:eastAsia="en-US"/>
        </w:rPr>
        <w:t xml:space="preserve">  </w:t>
      </w:r>
    </w:p>
    <w:p w14:paraId="2ACD3CA3" w14:textId="77777777" w:rsidR="003038A6" w:rsidRPr="006D1902" w:rsidRDefault="003038A6" w:rsidP="003038A6">
      <w:pPr>
        <w:rPr>
          <w:rFonts w:eastAsia="Arial"/>
          <w:sz w:val="8"/>
        </w:rPr>
      </w:pPr>
    </w:p>
    <w:p w14:paraId="70242CB4" w14:textId="77777777" w:rsidR="003038A6" w:rsidRDefault="003038A6" w:rsidP="003038A6">
      <w:pPr>
        <w:pStyle w:val="Ttulo1"/>
        <w:spacing w:before="240" w:line="240" w:lineRule="auto"/>
        <w:ind w:left="-142" w:right="-234"/>
        <w:jc w:val="both"/>
        <w:rPr>
          <w:color w:val="002060"/>
        </w:rPr>
      </w:pPr>
      <w:r>
        <w:rPr>
          <w:color w:val="002060"/>
        </w:rPr>
        <w:t>CONCLUSIONES</w:t>
      </w:r>
    </w:p>
    <w:p w14:paraId="44C4D3DB" w14:textId="7AC9971C" w:rsidR="00EC778C" w:rsidRPr="0084548C" w:rsidRDefault="00EC778C" w:rsidP="0084548C">
      <w:pPr>
        <w:widowControl w:val="0"/>
        <w:overflowPunct/>
        <w:adjustRightInd/>
        <w:spacing w:before="188"/>
        <w:ind w:left="-142" w:right="49"/>
        <w:jc w:val="both"/>
        <w:textAlignment w:val="auto"/>
        <w:rPr>
          <w:rFonts w:ascii="Arial" w:eastAsia="Arial" w:hAnsi="Arial" w:cs="Arial"/>
          <w:sz w:val="24"/>
          <w:szCs w:val="24"/>
          <w:lang w:val="es-CO" w:eastAsia="en-US"/>
        </w:rPr>
      </w:pPr>
      <w:r w:rsidRPr="0084548C">
        <w:rPr>
          <w:rFonts w:ascii="Arial" w:eastAsia="Arial" w:hAnsi="Arial" w:cs="Arial"/>
          <w:sz w:val="24"/>
          <w:szCs w:val="24"/>
          <w:lang w:val="es-CO" w:eastAsia="en-US"/>
        </w:rPr>
        <w:t xml:space="preserve">Como resultado del seguimiento practicado al Plan Anticorrupción y de Atención al Ciudadano (PAAC) del Instituto Distrital de Patrimonio Cultural – IDPC, correspondiente al segundo cuatrimestre de la vigencia 2022, se estableció que él % promedio de avance del PAAC es del </w:t>
      </w:r>
      <w:r w:rsidRPr="0084548C">
        <w:rPr>
          <w:rFonts w:ascii="Arial" w:eastAsia="Arial" w:hAnsi="Arial" w:cs="Arial"/>
          <w:b/>
          <w:sz w:val="24"/>
          <w:szCs w:val="24"/>
          <w:u w:val="single"/>
          <w:lang w:val="es-CO" w:eastAsia="en-US"/>
        </w:rPr>
        <w:t>40%</w:t>
      </w:r>
      <w:r w:rsidRPr="0084548C">
        <w:rPr>
          <w:rFonts w:ascii="Arial" w:eastAsia="Arial" w:hAnsi="Arial" w:cs="Arial"/>
          <w:b/>
          <w:sz w:val="24"/>
          <w:szCs w:val="24"/>
          <w:lang w:val="es-CO" w:eastAsia="en-US"/>
        </w:rPr>
        <w:t>,</w:t>
      </w:r>
      <w:r w:rsidRPr="0084548C">
        <w:rPr>
          <w:rFonts w:ascii="Arial" w:eastAsia="Arial" w:hAnsi="Arial" w:cs="Arial"/>
          <w:sz w:val="24"/>
          <w:szCs w:val="24"/>
          <w:lang w:val="es-CO" w:eastAsia="en-US"/>
        </w:rPr>
        <w:t xml:space="preserve"> lo anterior derivado de verificar las evidencias documentales correspondientes al reporte realizado por las dependencias en la carpeta compartida dispuesta por la entidad para tal fin y el monitoreo realizado por la OAP.</w:t>
      </w:r>
    </w:p>
    <w:p w14:paraId="4E0056BE" w14:textId="77777777" w:rsidR="00EC778C" w:rsidRPr="0084548C" w:rsidRDefault="00EC778C" w:rsidP="0084548C">
      <w:pPr>
        <w:widowControl w:val="0"/>
        <w:overflowPunct/>
        <w:adjustRightInd/>
        <w:spacing w:before="188"/>
        <w:ind w:left="-142" w:right="49"/>
        <w:jc w:val="both"/>
        <w:textAlignment w:val="auto"/>
        <w:rPr>
          <w:rFonts w:ascii="Arial" w:eastAsiaTheme="minorHAnsi" w:hAnsi="Arial" w:cs="Arial"/>
          <w:sz w:val="24"/>
          <w:szCs w:val="24"/>
          <w:lang w:val="es-CO" w:eastAsia="en-US"/>
        </w:rPr>
      </w:pPr>
      <w:r w:rsidRPr="0084548C">
        <w:rPr>
          <w:rFonts w:ascii="Arial" w:eastAsia="Arial" w:hAnsi="Arial" w:cs="Arial"/>
          <w:sz w:val="24"/>
          <w:szCs w:val="24"/>
          <w:lang w:val="es-CO" w:eastAsia="en-US"/>
        </w:rPr>
        <w:t>Es importante recordar que e</w:t>
      </w:r>
      <w:r w:rsidRPr="0084548C">
        <w:rPr>
          <w:rFonts w:ascii="Arial" w:eastAsiaTheme="minorHAnsi" w:hAnsi="Arial" w:cs="Arial"/>
          <w:sz w:val="24"/>
          <w:szCs w:val="24"/>
          <w:lang w:val="es-CO" w:eastAsia="en-US"/>
        </w:rPr>
        <w:t>l Plan Anticorrupción y de Atención al Ciudadano, al ser un instrumento de tipo preventivo para el control de la gestión de la entidad, se debe cumplir estrictamente y dentro de los términos establecidos, toda vez que, su incumplimiento puede acarrear sanciones de tipo disciplinario conforme lo contempla el artículo 81 de la Ley 1474 de 2011.</w:t>
      </w:r>
    </w:p>
    <w:p w14:paraId="274B499C" w14:textId="77777777" w:rsidR="00EC778C" w:rsidRPr="003038A6" w:rsidRDefault="00EC778C" w:rsidP="003038A6">
      <w:pPr>
        <w:ind w:right="-234"/>
        <w:rPr>
          <w:sz w:val="2"/>
          <w:lang w:val="es-CO" w:eastAsia="ar-SA"/>
        </w:rPr>
      </w:pPr>
    </w:p>
    <w:p w14:paraId="6EFD03FF" w14:textId="77777777" w:rsidR="003038A6" w:rsidRPr="009823FE" w:rsidRDefault="003038A6" w:rsidP="003038A6">
      <w:pPr>
        <w:pStyle w:val="Ttulo1"/>
        <w:spacing w:before="240" w:line="240" w:lineRule="auto"/>
        <w:ind w:left="-142" w:right="-234"/>
        <w:jc w:val="both"/>
        <w:rPr>
          <w:color w:val="002060"/>
        </w:rPr>
      </w:pPr>
      <w:r w:rsidRPr="009823FE">
        <w:rPr>
          <w:color w:val="002060"/>
        </w:rPr>
        <w:t>RECOMENDACIONES</w:t>
      </w:r>
    </w:p>
    <w:p w14:paraId="4B379088" w14:textId="4BA2B720" w:rsidR="009823FE" w:rsidRDefault="009823FE" w:rsidP="00634C71">
      <w:pPr>
        <w:ind w:left="-142" w:right="-234"/>
        <w:rPr>
          <w:lang w:eastAsia="ar-SA"/>
        </w:rPr>
      </w:pPr>
    </w:p>
    <w:p w14:paraId="23295B3E" w14:textId="058382EA" w:rsidR="00AF1454" w:rsidRPr="0084548C" w:rsidRDefault="00AF1454" w:rsidP="0084548C">
      <w:pPr>
        <w:numPr>
          <w:ilvl w:val="0"/>
          <w:numId w:val="13"/>
        </w:numPr>
        <w:suppressAutoHyphens/>
        <w:overflowPunct/>
        <w:autoSpaceDE/>
        <w:autoSpaceDN/>
        <w:adjustRightInd/>
        <w:spacing w:before="60" w:after="60"/>
        <w:ind w:left="284"/>
        <w:contextualSpacing/>
        <w:jc w:val="both"/>
        <w:textAlignment w:val="auto"/>
        <w:rPr>
          <w:rFonts w:ascii="Arial" w:eastAsiaTheme="minorHAnsi" w:hAnsi="Arial" w:cs="Arial"/>
          <w:sz w:val="24"/>
          <w:szCs w:val="22"/>
          <w:lang w:val="es-MX" w:eastAsia="en-US"/>
        </w:rPr>
      </w:pPr>
      <w:r w:rsidRPr="0084548C">
        <w:rPr>
          <w:rFonts w:ascii="Arial" w:eastAsiaTheme="minorHAnsi" w:hAnsi="Arial" w:cs="Arial"/>
          <w:sz w:val="24"/>
          <w:szCs w:val="22"/>
          <w:lang w:val="es-CO" w:eastAsia="en-US"/>
        </w:rPr>
        <w:t xml:space="preserve">Registrar el procedimiento </w:t>
      </w:r>
      <w:r w:rsidRPr="000741C5">
        <w:rPr>
          <w:rFonts w:ascii="Arial" w:hAnsi="Arial" w:cs="Arial"/>
          <w:color w:val="000000"/>
          <w:sz w:val="24"/>
          <w:szCs w:val="24"/>
        </w:rPr>
        <w:t xml:space="preserve">“Gestión de riesgos” V.4 vigente desde el 16 de junio 2022, en la página </w:t>
      </w:r>
      <w:r w:rsidRPr="0084548C">
        <w:rPr>
          <w:rFonts w:ascii="Arial" w:eastAsiaTheme="minorHAnsi" w:hAnsi="Arial" w:cs="Arial"/>
          <w:sz w:val="24"/>
          <w:szCs w:val="22"/>
          <w:lang w:val="es-MX" w:eastAsia="en-US"/>
        </w:rPr>
        <w:t xml:space="preserve">web de la entidad, micrositio de transparencia teniendo en cuenta que es un documento de interés general.   </w:t>
      </w:r>
    </w:p>
    <w:p w14:paraId="1A303A6F" w14:textId="0782F147" w:rsidR="00EC778C" w:rsidRPr="0084548C" w:rsidRDefault="00F74873" w:rsidP="0084548C">
      <w:pPr>
        <w:numPr>
          <w:ilvl w:val="0"/>
          <w:numId w:val="13"/>
        </w:numPr>
        <w:overflowPunct/>
        <w:autoSpaceDE/>
        <w:autoSpaceDN/>
        <w:adjustRightInd/>
        <w:ind w:left="284"/>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 xml:space="preserve">Continuar con el </w:t>
      </w:r>
      <w:r w:rsidR="00EC778C" w:rsidRPr="0084548C">
        <w:rPr>
          <w:rFonts w:ascii="Arial" w:eastAsiaTheme="minorHAnsi" w:hAnsi="Arial" w:cs="Arial"/>
          <w:sz w:val="24"/>
          <w:szCs w:val="24"/>
          <w:lang w:val="es-CO" w:eastAsia="en-US"/>
        </w:rPr>
        <w:t xml:space="preserve">seguimiento y monitoreo permanente al avance de las acciones formuladas en el PAAC con el propósito de detectar desviaciones de forma oportuna para la toma de decisiones y la implementación de acciones correctivas, que permita evitar incumplimientos que puede acarrear sanciones para la entidad. </w:t>
      </w:r>
    </w:p>
    <w:p w14:paraId="473E6FD1" w14:textId="77777777" w:rsidR="00EC778C" w:rsidRPr="0084548C" w:rsidRDefault="00EC778C" w:rsidP="0084548C">
      <w:pPr>
        <w:numPr>
          <w:ilvl w:val="0"/>
          <w:numId w:val="13"/>
        </w:numPr>
        <w:overflowPunct/>
        <w:autoSpaceDE/>
        <w:autoSpaceDN/>
        <w:adjustRightInd/>
        <w:ind w:left="284"/>
        <w:jc w:val="both"/>
        <w:textAlignment w:val="auto"/>
        <w:rPr>
          <w:rFonts w:ascii="Arial" w:eastAsiaTheme="minorHAnsi" w:hAnsi="Arial" w:cs="Arial"/>
          <w:sz w:val="24"/>
          <w:szCs w:val="24"/>
          <w:lang w:val="es-CO" w:eastAsia="en-US"/>
        </w:rPr>
      </w:pPr>
      <w:r w:rsidRPr="0084548C">
        <w:rPr>
          <w:rFonts w:ascii="Arial" w:eastAsiaTheme="minorHAnsi" w:hAnsi="Arial" w:cs="Arial"/>
          <w:sz w:val="24"/>
          <w:szCs w:val="24"/>
          <w:lang w:val="es-CO" w:eastAsia="en-US"/>
        </w:rPr>
        <w:t>Realizar procesos de autoevaluación periódicamente, que permitan identificar acciones de mejora y realizar seguimiento a las mismas.</w:t>
      </w:r>
    </w:p>
    <w:p w14:paraId="4154874F" w14:textId="77777777" w:rsidR="00EC778C" w:rsidRPr="0084548C" w:rsidRDefault="00EC778C" w:rsidP="0084548C">
      <w:pPr>
        <w:numPr>
          <w:ilvl w:val="0"/>
          <w:numId w:val="13"/>
        </w:numPr>
        <w:overflowPunct/>
        <w:autoSpaceDE/>
        <w:autoSpaceDN/>
        <w:adjustRightInd/>
        <w:ind w:left="284"/>
        <w:jc w:val="both"/>
        <w:textAlignment w:val="auto"/>
        <w:rPr>
          <w:rFonts w:ascii="Arial" w:eastAsiaTheme="minorHAnsi" w:hAnsi="Arial" w:cs="Arial"/>
          <w:sz w:val="24"/>
          <w:szCs w:val="22"/>
          <w:lang w:val="es-MX" w:eastAsia="en-US"/>
        </w:rPr>
      </w:pPr>
      <w:r w:rsidRPr="0084548C">
        <w:rPr>
          <w:rFonts w:ascii="Arial" w:eastAsiaTheme="minorHAnsi" w:hAnsi="Arial" w:cs="Arial"/>
          <w:sz w:val="24"/>
          <w:szCs w:val="22"/>
          <w:lang w:val="es-MX" w:eastAsia="en-US"/>
        </w:rPr>
        <w:t xml:space="preserve">Aportar documentos y/o soportes completos y de forma oportuna atendiendo los cronogramas establecidos por la entidad, que permitan en cada seguimiento </w:t>
      </w:r>
      <w:r w:rsidRPr="0084548C">
        <w:rPr>
          <w:rFonts w:ascii="Arial" w:eastAsiaTheme="minorHAnsi" w:hAnsi="Arial" w:cs="Arial"/>
          <w:sz w:val="24"/>
          <w:szCs w:val="22"/>
          <w:lang w:val="es-MX" w:eastAsia="en-US"/>
        </w:rPr>
        <w:lastRenderedPageBreak/>
        <w:t xml:space="preserve">establecer el cumplimiento de cada una de las acciones que son formuladas en el PAAC </w:t>
      </w:r>
    </w:p>
    <w:p w14:paraId="0659F04E" w14:textId="77777777" w:rsidR="00EC778C" w:rsidRPr="0084548C" w:rsidRDefault="00EC778C" w:rsidP="0084548C">
      <w:pPr>
        <w:numPr>
          <w:ilvl w:val="0"/>
          <w:numId w:val="13"/>
        </w:numPr>
        <w:suppressAutoHyphens/>
        <w:overflowPunct/>
        <w:autoSpaceDE/>
        <w:autoSpaceDN/>
        <w:adjustRightInd/>
        <w:spacing w:before="60" w:after="60"/>
        <w:ind w:left="284"/>
        <w:contextualSpacing/>
        <w:jc w:val="both"/>
        <w:textAlignment w:val="auto"/>
        <w:rPr>
          <w:rFonts w:ascii="Arial" w:eastAsiaTheme="minorHAnsi" w:hAnsi="Arial" w:cs="Arial"/>
          <w:b/>
          <w:sz w:val="24"/>
          <w:szCs w:val="24"/>
          <w:lang w:val="es-CO" w:eastAsia="en-US"/>
        </w:rPr>
      </w:pPr>
      <w:r w:rsidRPr="0084548C">
        <w:rPr>
          <w:rFonts w:ascii="Arial" w:eastAsiaTheme="minorHAnsi" w:hAnsi="Arial" w:cs="Arial"/>
          <w:sz w:val="24"/>
          <w:szCs w:val="22"/>
          <w:lang w:val="es-MX" w:eastAsia="en-US"/>
        </w:rPr>
        <w:t xml:space="preserve">Seguir fortaleciendo el conocimiento de los lineamientos en la ejecución de las actividades formuladas en el PAAC a los responsables de su cumplimiento, en cada dependencia. </w:t>
      </w:r>
    </w:p>
    <w:p w14:paraId="3C581527" w14:textId="77777777" w:rsidR="00EC778C" w:rsidRPr="0084548C" w:rsidRDefault="00EC778C" w:rsidP="0084548C">
      <w:pPr>
        <w:ind w:left="284" w:right="-234"/>
        <w:rPr>
          <w:sz w:val="22"/>
          <w:lang w:val="es-MX" w:eastAsia="ar-SA"/>
        </w:rPr>
      </w:pPr>
    </w:p>
    <w:p w14:paraId="67E32932" w14:textId="77777777" w:rsidR="001358F1" w:rsidRPr="0084548C" w:rsidRDefault="001358F1" w:rsidP="0084548C">
      <w:pPr>
        <w:ind w:left="284" w:right="-234"/>
        <w:rPr>
          <w:sz w:val="22"/>
          <w:lang w:eastAsia="ar-SA"/>
        </w:rPr>
      </w:pPr>
    </w:p>
    <w:sectPr w:rsidR="001358F1" w:rsidRPr="0084548C">
      <w:headerReference w:type="default" r:id="rId16"/>
      <w:footerReference w:type="default" r:id="rId17"/>
      <w:pgSz w:w="12240" w:h="15840"/>
      <w:pgMar w:top="851" w:right="1134" w:bottom="851" w:left="1701" w:header="567" w:footer="62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C1375" w14:textId="77777777" w:rsidR="00E826E4" w:rsidRDefault="00E826E4">
      <w:r>
        <w:separator/>
      </w:r>
    </w:p>
  </w:endnote>
  <w:endnote w:type="continuationSeparator" w:id="0">
    <w:p w14:paraId="7D30B39D" w14:textId="77777777" w:rsidR="00E826E4" w:rsidRDefault="00E8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Merriweather">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de3of9">
    <w:altName w:val="Times New Roman"/>
    <w:panose1 w:val="00000000000000000000"/>
    <w:charset w:val="00"/>
    <w:family w:val="auto"/>
    <w:pitch w:val="variable"/>
    <w:sig w:usb0="00000003" w:usb1="00000000" w:usb2="00000000" w:usb3="00000000" w:csb0="00000001" w:csb1="00000000"/>
  </w:font>
  <w:font w:name="Andale Sans UI">
    <w:panose1 w:val="00000000000000000000"/>
    <w:charset w:val="00"/>
    <w:family w:val="roman"/>
    <w:notTrueType/>
    <w:pitch w:val="default"/>
  </w:font>
  <w:font w:name="Lucidasans, '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53655" w14:textId="77777777" w:rsidR="00A31A99" w:rsidRDefault="00A31A99">
    <w:pPr>
      <w:jc w:val="center"/>
      <w:rPr>
        <w:rFonts w:ascii="Arial" w:eastAsia="Arial" w:hAnsi="Arial" w:cs="Arial"/>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3F456" w14:textId="77777777" w:rsidR="00E826E4" w:rsidRDefault="00E826E4">
      <w:r>
        <w:separator/>
      </w:r>
    </w:p>
  </w:footnote>
  <w:footnote w:type="continuationSeparator" w:id="0">
    <w:p w14:paraId="271C40A9" w14:textId="77777777" w:rsidR="00E826E4" w:rsidRDefault="00E82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0A0A2" w14:textId="77777777" w:rsidR="00A31A99" w:rsidRDefault="00A31A99">
    <w:pPr>
      <w:pBdr>
        <w:top w:val="nil"/>
        <w:left w:val="nil"/>
        <w:bottom w:val="nil"/>
        <w:right w:val="nil"/>
        <w:between w:val="nil"/>
      </w:pBdr>
      <w:tabs>
        <w:tab w:val="center" w:pos="4252"/>
        <w:tab w:val="right" w:pos="8504"/>
      </w:tabs>
      <w:jc w:val="both"/>
      <w:rPr>
        <w:rFonts w:ascii="Arial" w:eastAsia="Arial" w:hAnsi="Arial" w:cs="Arial"/>
        <w:b/>
        <w:color w:val="000000"/>
        <w:sz w:val="16"/>
        <w:szCs w:val="16"/>
      </w:rPr>
    </w:pPr>
  </w:p>
  <w:tbl>
    <w:tblPr>
      <w:tblStyle w:val="Tablaconcuadrcula1"/>
      <w:tblW w:w="5357" w:type="pct"/>
      <w:tblInd w:w="-289" w:type="dxa"/>
      <w:tblLayout w:type="fixed"/>
      <w:tblLook w:val="04A0" w:firstRow="1" w:lastRow="0" w:firstColumn="1" w:lastColumn="0" w:noHBand="0" w:noVBand="1"/>
    </w:tblPr>
    <w:tblGrid>
      <w:gridCol w:w="1560"/>
      <w:gridCol w:w="4820"/>
      <w:gridCol w:w="3686"/>
    </w:tblGrid>
    <w:tr w:rsidR="00A31A99" w:rsidRPr="00D3529C" w14:paraId="4B89EF4F" w14:textId="77777777" w:rsidTr="006B6CFD">
      <w:trPr>
        <w:trHeight w:val="280"/>
      </w:trPr>
      <w:tc>
        <w:tcPr>
          <w:tcW w:w="775" w:type="pct"/>
          <w:vMerge w:val="restart"/>
          <w:vAlign w:val="center"/>
        </w:tcPr>
        <w:p w14:paraId="6E3BD76D" w14:textId="77777777" w:rsidR="00A31A99" w:rsidRPr="00D3529C" w:rsidRDefault="00A31A99" w:rsidP="006B6CFD">
          <w:pPr>
            <w:tabs>
              <w:tab w:val="center" w:pos="4252"/>
              <w:tab w:val="right" w:pos="8504"/>
            </w:tabs>
            <w:jc w:val="center"/>
          </w:pPr>
          <w:r w:rsidRPr="00D3529C">
            <w:rPr>
              <w:noProof/>
              <w:lang w:val="es-CO" w:eastAsia="es-CO"/>
            </w:rPr>
            <w:drawing>
              <wp:inline distT="0" distB="0" distL="0" distR="0" wp14:anchorId="7FA6FC72" wp14:editId="442F8BF6">
                <wp:extent cx="775970" cy="672465"/>
                <wp:effectExtent l="0" t="0" r="0" b="635"/>
                <wp:docPr id="3" name="image1.jpg" descr="Descripción: IDPCBYN"/>
                <wp:cNvGraphicFramePr/>
                <a:graphic xmlns:a="http://schemas.openxmlformats.org/drawingml/2006/main">
                  <a:graphicData uri="http://schemas.openxmlformats.org/drawingml/2006/picture">
                    <pic:pic xmlns:pic="http://schemas.openxmlformats.org/drawingml/2006/picture">
                      <pic:nvPicPr>
                        <pic:cNvPr id="0" name="image1.jpg" descr="Descripción: IDPCBYN"/>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75970" cy="672465"/>
                        </a:xfrm>
                        <a:prstGeom prst="rect">
                          <a:avLst/>
                        </a:prstGeom>
                        <a:ln/>
                      </pic:spPr>
                    </pic:pic>
                  </a:graphicData>
                </a:graphic>
              </wp:inline>
            </w:drawing>
          </w:r>
        </w:p>
      </w:tc>
      <w:tc>
        <w:tcPr>
          <w:tcW w:w="2394" w:type="pct"/>
          <w:vAlign w:val="center"/>
        </w:tcPr>
        <w:p w14:paraId="08C455E8" w14:textId="77777777" w:rsidR="00A31A99" w:rsidRPr="00D3529C" w:rsidRDefault="00A31A99" w:rsidP="006B6CFD">
          <w:pPr>
            <w:tabs>
              <w:tab w:val="center" w:pos="4252"/>
              <w:tab w:val="right" w:pos="8504"/>
            </w:tabs>
            <w:jc w:val="center"/>
            <w:rPr>
              <w:rFonts w:ascii="Arial" w:hAnsi="Arial" w:cs="Arial"/>
              <w:b/>
              <w:bCs/>
              <w:sz w:val="18"/>
              <w:szCs w:val="18"/>
            </w:rPr>
          </w:pPr>
          <w:r w:rsidRPr="00D3529C">
            <w:rPr>
              <w:rFonts w:ascii="Arial" w:hAnsi="Arial" w:cs="Arial"/>
              <w:b/>
              <w:bCs/>
              <w:sz w:val="18"/>
              <w:szCs w:val="18"/>
            </w:rPr>
            <w:t>INSTITUTO DISTRITAL DE PATRIMONIO CULTURAL</w:t>
          </w:r>
        </w:p>
      </w:tc>
      <w:tc>
        <w:tcPr>
          <w:tcW w:w="1831" w:type="pct"/>
          <w:vMerge w:val="restart"/>
          <w:vAlign w:val="center"/>
        </w:tcPr>
        <w:p w14:paraId="6F204892" w14:textId="77777777" w:rsidR="00A31A99" w:rsidRPr="00D3529C" w:rsidRDefault="00A31A99" w:rsidP="006B6CFD">
          <w:pPr>
            <w:widowControl w:val="0"/>
            <w:tabs>
              <w:tab w:val="center" w:pos="4252"/>
              <w:tab w:val="right" w:pos="8504"/>
            </w:tabs>
            <w:suppressAutoHyphens/>
            <w:spacing w:line="100" w:lineRule="atLeast"/>
            <w:jc w:val="right"/>
            <w:rPr>
              <w:rFonts w:ascii="Code3of9" w:eastAsia="Andale Sans UI" w:hAnsi="Code3of9" w:cs="Lucidasans, 'Times New Roman'"/>
              <w:color w:val="00000A"/>
              <w:sz w:val="28"/>
              <w:szCs w:val="28"/>
              <w:lang w:val="en-US" w:eastAsia="es-CO"/>
            </w:rPr>
          </w:pPr>
          <w:r w:rsidRPr="00D3529C">
            <w:rPr>
              <w:rFonts w:ascii="Code3of9" w:eastAsia="Andale Sans UI" w:hAnsi="Code3of9" w:cs="Lucidasans, 'Times New Roman'"/>
              <w:color w:val="00000A"/>
              <w:sz w:val="28"/>
              <w:szCs w:val="28"/>
              <w:lang w:val="en-US" w:eastAsia="es-CO"/>
            </w:rPr>
            <w:t>*20221200126643*</w:t>
          </w:r>
        </w:p>
        <w:p w14:paraId="448CF815" w14:textId="77777777" w:rsidR="00A31A99" w:rsidRPr="00D3529C" w:rsidRDefault="00A31A99" w:rsidP="006B6CFD">
          <w:pPr>
            <w:jc w:val="right"/>
            <w:rPr>
              <w:sz w:val="16"/>
              <w:szCs w:val="16"/>
              <w:lang w:val="en-US"/>
            </w:rPr>
          </w:pPr>
          <w:r w:rsidRPr="00D3529C">
            <w:rPr>
              <w:rFonts w:ascii="Arial" w:hAnsi="Arial"/>
              <w:sz w:val="16"/>
              <w:szCs w:val="16"/>
              <w:lang w:val="en-US"/>
            </w:rPr>
            <w:t>Radicado:</w:t>
          </w:r>
          <w:r w:rsidRPr="00D3529C">
            <w:rPr>
              <w:sz w:val="16"/>
              <w:szCs w:val="16"/>
              <w:lang w:val="en-US"/>
            </w:rPr>
            <w:t xml:space="preserve"> </w:t>
          </w:r>
          <w:r w:rsidRPr="00D3529C">
            <w:rPr>
              <w:rFonts w:ascii="Arial" w:hAnsi="Arial"/>
              <w:b/>
              <w:bCs/>
              <w:lang w:val="en-US"/>
            </w:rPr>
            <w:t>20221200126643</w:t>
          </w:r>
        </w:p>
        <w:p w14:paraId="6F161EF5" w14:textId="77777777" w:rsidR="00A31A99" w:rsidRPr="00D3529C" w:rsidRDefault="00A31A99" w:rsidP="006B6CFD">
          <w:pPr>
            <w:jc w:val="right"/>
            <w:rPr>
              <w:rFonts w:ascii="Arial" w:hAnsi="Arial"/>
              <w:lang w:val="en-US"/>
            </w:rPr>
          </w:pPr>
          <w:r w:rsidRPr="00D3529C">
            <w:rPr>
              <w:rFonts w:ascii="Arial" w:hAnsi="Arial"/>
              <w:sz w:val="16"/>
              <w:szCs w:val="16"/>
              <w:lang w:val="en-US"/>
            </w:rPr>
            <w:t xml:space="preserve">Fecha: </w:t>
          </w:r>
          <w:r w:rsidRPr="00D3529C">
            <w:rPr>
              <w:rFonts w:ascii="Arial" w:hAnsi="Arial"/>
              <w:lang w:val="en-US"/>
            </w:rPr>
            <w:t>14-09-2022</w:t>
          </w:r>
        </w:p>
        <w:p w14:paraId="3EAE9B55" w14:textId="77777777" w:rsidR="00A31A99" w:rsidRPr="00D3529C" w:rsidRDefault="00A31A99" w:rsidP="006B6CFD">
          <w:pPr>
            <w:tabs>
              <w:tab w:val="center" w:pos="4252"/>
              <w:tab w:val="right" w:pos="8504"/>
            </w:tabs>
            <w:jc w:val="right"/>
          </w:pPr>
          <w:r w:rsidRPr="00D3529C">
            <w:rPr>
              <w:sz w:val="18"/>
              <w:szCs w:val="18"/>
              <w:lang w:val="en-US"/>
            </w:rPr>
            <w:t xml:space="preserve">Pág. </w:t>
          </w:r>
          <w:r w:rsidRPr="00D3529C">
            <w:rPr>
              <w:sz w:val="18"/>
              <w:szCs w:val="18"/>
              <w:lang w:val="en-US"/>
            </w:rPr>
            <w:fldChar w:fldCharType="begin"/>
          </w:r>
          <w:r w:rsidRPr="00D3529C">
            <w:rPr>
              <w:sz w:val="18"/>
              <w:szCs w:val="18"/>
            </w:rPr>
            <w:instrText>PAGE</w:instrText>
          </w:r>
          <w:r w:rsidRPr="00D3529C">
            <w:rPr>
              <w:sz w:val="18"/>
              <w:szCs w:val="18"/>
            </w:rPr>
            <w:fldChar w:fldCharType="separate"/>
          </w:r>
          <w:r w:rsidR="00DC03B5">
            <w:rPr>
              <w:noProof/>
              <w:sz w:val="18"/>
              <w:szCs w:val="18"/>
            </w:rPr>
            <w:t>2</w:t>
          </w:r>
          <w:r w:rsidRPr="00D3529C">
            <w:rPr>
              <w:sz w:val="18"/>
              <w:szCs w:val="18"/>
            </w:rPr>
            <w:fldChar w:fldCharType="end"/>
          </w:r>
          <w:r w:rsidRPr="00D3529C">
            <w:rPr>
              <w:sz w:val="18"/>
              <w:szCs w:val="18"/>
              <w:lang w:val="en-US"/>
            </w:rPr>
            <w:t xml:space="preserve"> de </w:t>
          </w:r>
          <w:r w:rsidRPr="00D3529C">
            <w:rPr>
              <w:sz w:val="18"/>
              <w:szCs w:val="18"/>
              <w:lang w:val="en-US"/>
            </w:rPr>
            <w:fldChar w:fldCharType="begin"/>
          </w:r>
          <w:r w:rsidRPr="00D3529C">
            <w:rPr>
              <w:sz w:val="18"/>
              <w:szCs w:val="18"/>
            </w:rPr>
            <w:instrText>NUMPAGES</w:instrText>
          </w:r>
          <w:r w:rsidRPr="00D3529C">
            <w:rPr>
              <w:sz w:val="18"/>
              <w:szCs w:val="18"/>
            </w:rPr>
            <w:fldChar w:fldCharType="separate"/>
          </w:r>
          <w:r w:rsidR="00DC03B5">
            <w:rPr>
              <w:noProof/>
              <w:sz w:val="18"/>
              <w:szCs w:val="18"/>
            </w:rPr>
            <w:t>11</w:t>
          </w:r>
          <w:r w:rsidRPr="00D3529C">
            <w:rPr>
              <w:sz w:val="18"/>
              <w:szCs w:val="18"/>
            </w:rPr>
            <w:fldChar w:fldCharType="end"/>
          </w:r>
        </w:p>
      </w:tc>
    </w:tr>
    <w:tr w:rsidR="00A31A99" w:rsidRPr="00D3529C" w14:paraId="6AC19125" w14:textId="77777777" w:rsidTr="006B6CFD">
      <w:trPr>
        <w:trHeight w:val="412"/>
      </w:trPr>
      <w:tc>
        <w:tcPr>
          <w:tcW w:w="775" w:type="pct"/>
          <w:vMerge/>
          <w:vAlign w:val="center"/>
        </w:tcPr>
        <w:p w14:paraId="05AE84F7" w14:textId="77777777" w:rsidR="00A31A99" w:rsidRPr="00D3529C" w:rsidRDefault="00A31A99" w:rsidP="006B6CFD">
          <w:pPr>
            <w:tabs>
              <w:tab w:val="center" w:pos="4252"/>
              <w:tab w:val="right" w:pos="8504"/>
            </w:tabs>
            <w:jc w:val="center"/>
          </w:pPr>
        </w:p>
      </w:tc>
      <w:tc>
        <w:tcPr>
          <w:tcW w:w="2394" w:type="pct"/>
          <w:vAlign w:val="center"/>
        </w:tcPr>
        <w:p w14:paraId="132FB45A" w14:textId="77777777" w:rsidR="00A31A99" w:rsidRPr="00D3529C" w:rsidRDefault="00A31A99" w:rsidP="006B6CFD">
          <w:pPr>
            <w:tabs>
              <w:tab w:val="center" w:pos="4252"/>
              <w:tab w:val="right" w:pos="8504"/>
            </w:tabs>
            <w:jc w:val="center"/>
            <w:rPr>
              <w:rFonts w:ascii="Arial" w:hAnsi="Arial" w:cs="Arial"/>
              <w:b/>
              <w:bCs/>
              <w:sz w:val="18"/>
              <w:szCs w:val="18"/>
            </w:rPr>
          </w:pPr>
          <w:r w:rsidRPr="00D3529C">
            <w:rPr>
              <w:rFonts w:ascii="Arial" w:hAnsi="Arial" w:cs="Arial"/>
              <w:b/>
              <w:bCs/>
              <w:sz w:val="18"/>
              <w:szCs w:val="18"/>
            </w:rPr>
            <w:t>SEGUIMIENTO Y EVALUACIÓN</w:t>
          </w:r>
        </w:p>
      </w:tc>
      <w:tc>
        <w:tcPr>
          <w:tcW w:w="1831" w:type="pct"/>
          <w:vMerge/>
          <w:vAlign w:val="center"/>
        </w:tcPr>
        <w:p w14:paraId="28269226" w14:textId="77777777" w:rsidR="00A31A99" w:rsidRPr="00D3529C" w:rsidRDefault="00A31A99" w:rsidP="006B6CFD">
          <w:pPr>
            <w:tabs>
              <w:tab w:val="center" w:pos="4252"/>
              <w:tab w:val="right" w:pos="8504"/>
            </w:tabs>
            <w:jc w:val="center"/>
          </w:pPr>
        </w:p>
      </w:tc>
    </w:tr>
    <w:tr w:rsidR="00A31A99" w:rsidRPr="00D3529C" w14:paraId="1D026344" w14:textId="77777777" w:rsidTr="006B6CFD">
      <w:trPr>
        <w:trHeight w:val="561"/>
      </w:trPr>
      <w:tc>
        <w:tcPr>
          <w:tcW w:w="775" w:type="pct"/>
          <w:vMerge/>
          <w:vAlign w:val="center"/>
        </w:tcPr>
        <w:p w14:paraId="1EEA3460" w14:textId="77777777" w:rsidR="00A31A99" w:rsidRPr="00D3529C" w:rsidRDefault="00A31A99" w:rsidP="006B6CFD">
          <w:pPr>
            <w:tabs>
              <w:tab w:val="center" w:pos="4252"/>
              <w:tab w:val="right" w:pos="8504"/>
            </w:tabs>
            <w:jc w:val="center"/>
          </w:pPr>
        </w:p>
      </w:tc>
      <w:tc>
        <w:tcPr>
          <w:tcW w:w="2394" w:type="pct"/>
          <w:vAlign w:val="center"/>
        </w:tcPr>
        <w:p w14:paraId="19E80AFD" w14:textId="394AE9B6" w:rsidR="00A31A99" w:rsidRPr="00D3529C" w:rsidRDefault="00A31A99" w:rsidP="006B6CFD">
          <w:pPr>
            <w:tabs>
              <w:tab w:val="center" w:pos="4252"/>
              <w:tab w:val="right" w:pos="8504"/>
            </w:tabs>
            <w:jc w:val="center"/>
            <w:rPr>
              <w:rFonts w:ascii="Arial" w:hAnsi="Arial" w:cs="Arial"/>
              <w:b/>
              <w:bCs/>
              <w:sz w:val="18"/>
              <w:szCs w:val="18"/>
            </w:rPr>
          </w:pPr>
          <w:r w:rsidRPr="00C54591">
            <w:rPr>
              <w:rFonts w:ascii="Arial" w:hAnsi="Arial" w:cs="Arial"/>
              <w:b/>
              <w:bCs/>
              <w:sz w:val="18"/>
              <w:szCs w:val="18"/>
            </w:rPr>
            <w:t xml:space="preserve">INFORME DE </w:t>
          </w:r>
          <w:r w:rsidRPr="006B6CFD">
            <w:rPr>
              <w:rFonts w:ascii="Arial" w:hAnsi="Arial" w:cs="Arial"/>
              <w:b/>
              <w:bCs/>
              <w:sz w:val="18"/>
              <w:szCs w:val="18"/>
            </w:rPr>
            <w:t>INFORME DE SEGUIMIENTO Y/O EVALUACIÓN</w:t>
          </w:r>
        </w:p>
      </w:tc>
      <w:tc>
        <w:tcPr>
          <w:tcW w:w="1831" w:type="pct"/>
          <w:vMerge/>
          <w:vAlign w:val="center"/>
        </w:tcPr>
        <w:p w14:paraId="75FA43A7" w14:textId="77777777" w:rsidR="00A31A99" w:rsidRPr="00D3529C" w:rsidRDefault="00A31A99" w:rsidP="006B6CFD">
          <w:pPr>
            <w:tabs>
              <w:tab w:val="center" w:pos="4252"/>
              <w:tab w:val="right" w:pos="8504"/>
            </w:tabs>
            <w:jc w:val="center"/>
          </w:pPr>
        </w:p>
      </w:tc>
    </w:tr>
  </w:tbl>
  <w:p w14:paraId="65EDBF01" w14:textId="77777777" w:rsidR="00A31A99" w:rsidRDefault="00A31A99">
    <w:pPr>
      <w:pBdr>
        <w:top w:val="nil"/>
        <w:left w:val="nil"/>
        <w:bottom w:val="nil"/>
        <w:right w:val="nil"/>
        <w:between w:val="nil"/>
      </w:pBdr>
      <w:tabs>
        <w:tab w:val="center" w:pos="4252"/>
        <w:tab w:val="right" w:pos="8504"/>
      </w:tabs>
      <w:jc w:val="both"/>
      <w:rPr>
        <w:rFonts w:ascii="Arial" w:eastAsia="Arial" w:hAnsi="Arial" w:cs="Arial"/>
        <w:b/>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56A2"/>
    <w:multiLevelType w:val="hybridMultilevel"/>
    <w:tmpl w:val="9836B5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376557B"/>
    <w:multiLevelType w:val="hybridMultilevel"/>
    <w:tmpl w:val="564C26A8"/>
    <w:lvl w:ilvl="0" w:tplc="240A0001">
      <w:start w:val="1"/>
      <w:numFmt w:val="bullet"/>
      <w:lvlText w:val=""/>
      <w:lvlJc w:val="left"/>
      <w:pPr>
        <w:ind w:left="720" w:hanging="360"/>
      </w:pPr>
      <w:rPr>
        <w:rFonts w:ascii="Symbol" w:hAnsi="Symbol" w:hint="default"/>
      </w:rPr>
    </w:lvl>
    <w:lvl w:ilvl="1" w:tplc="1D4C2E28">
      <w:numFmt w:val="bullet"/>
      <w:lvlText w:val="•"/>
      <w:lvlJc w:val="left"/>
      <w:pPr>
        <w:ind w:left="1785" w:hanging="705"/>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833481"/>
    <w:multiLevelType w:val="hybridMultilevel"/>
    <w:tmpl w:val="B950A2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CD01449"/>
    <w:multiLevelType w:val="hybridMultilevel"/>
    <w:tmpl w:val="AB62533A"/>
    <w:lvl w:ilvl="0" w:tplc="E0FE113C">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4">
    <w:nsid w:val="35217DE9"/>
    <w:multiLevelType w:val="hybridMultilevel"/>
    <w:tmpl w:val="4CB08B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CDF4736"/>
    <w:multiLevelType w:val="hybridMultilevel"/>
    <w:tmpl w:val="8FD2DB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9EB47F6"/>
    <w:multiLevelType w:val="multilevel"/>
    <w:tmpl w:val="E4727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36F5411"/>
    <w:multiLevelType w:val="multilevel"/>
    <w:tmpl w:val="9678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53711C"/>
    <w:multiLevelType w:val="multilevel"/>
    <w:tmpl w:val="28440BB6"/>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ACA1308"/>
    <w:multiLevelType w:val="hybridMultilevel"/>
    <w:tmpl w:val="0DCEDFEE"/>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2AD3795"/>
    <w:multiLevelType w:val="hybridMultilevel"/>
    <w:tmpl w:val="361090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32A6576"/>
    <w:multiLevelType w:val="hybridMultilevel"/>
    <w:tmpl w:val="4E9E77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FCD391C"/>
    <w:multiLevelType w:val="hybridMultilevel"/>
    <w:tmpl w:val="F336EE5C"/>
    <w:lvl w:ilvl="0" w:tplc="061A8630">
      <w:start w:val="1"/>
      <w:numFmt w:val="decimal"/>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3"/>
  </w:num>
  <w:num w:numId="5">
    <w:abstractNumId w:val="5"/>
  </w:num>
  <w:num w:numId="6">
    <w:abstractNumId w:val="11"/>
  </w:num>
  <w:num w:numId="7">
    <w:abstractNumId w:val="10"/>
  </w:num>
  <w:num w:numId="8">
    <w:abstractNumId w:val="0"/>
  </w:num>
  <w:num w:numId="9">
    <w:abstractNumId w:val="4"/>
  </w:num>
  <w:num w:numId="10">
    <w:abstractNumId w:val="1"/>
  </w:num>
  <w:num w:numId="11">
    <w:abstractNumId w:val="2"/>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80"/>
    <w:rsid w:val="00016566"/>
    <w:rsid w:val="00040256"/>
    <w:rsid w:val="000741C5"/>
    <w:rsid w:val="000A653B"/>
    <w:rsid w:val="000E24A7"/>
    <w:rsid w:val="001358F1"/>
    <w:rsid w:val="001519CE"/>
    <w:rsid w:val="00151DEA"/>
    <w:rsid w:val="001A5E9C"/>
    <w:rsid w:val="001E7F41"/>
    <w:rsid w:val="0020549A"/>
    <w:rsid w:val="00227C7C"/>
    <w:rsid w:val="00234312"/>
    <w:rsid w:val="00260A73"/>
    <w:rsid w:val="00262387"/>
    <w:rsid w:val="002942AA"/>
    <w:rsid w:val="002A6770"/>
    <w:rsid w:val="002D0BC6"/>
    <w:rsid w:val="003038A6"/>
    <w:rsid w:val="0031003D"/>
    <w:rsid w:val="00380CB4"/>
    <w:rsid w:val="00385BE1"/>
    <w:rsid w:val="003B506A"/>
    <w:rsid w:val="003E0FE9"/>
    <w:rsid w:val="003E6CBF"/>
    <w:rsid w:val="003F7048"/>
    <w:rsid w:val="004625B1"/>
    <w:rsid w:val="00472778"/>
    <w:rsid w:val="0048217B"/>
    <w:rsid w:val="00482F73"/>
    <w:rsid w:val="004A5188"/>
    <w:rsid w:val="004B66BC"/>
    <w:rsid w:val="004C5D2D"/>
    <w:rsid w:val="004D3F00"/>
    <w:rsid w:val="00506C7A"/>
    <w:rsid w:val="00583A52"/>
    <w:rsid w:val="005B45A1"/>
    <w:rsid w:val="00617092"/>
    <w:rsid w:val="00634BBE"/>
    <w:rsid w:val="00634C71"/>
    <w:rsid w:val="00642CA9"/>
    <w:rsid w:val="00673DC9"/>
    <w:rsid w:val="00683756"/>
    <w:rsid w:val="006B6CFD"/>
    <w:rsid w:val="006C5CD6"/>
    <w:rsid w:val="006D1902"/>
    <w:rsid w:val="006E7450"/>
    <w:rsid w:val="007137BC"/>
    <w:rsid w:val="007233A8"/>
    <w:rsid w:val="00735C15"/>
    <w:rsid w:val="00737CE0"/>
    <w:rsid w:val="00743167"/>
    <w:rsid w:val="0074479F"/>
    <w:rsid w:val="007932E4"/>
    <w:rsid w:val="007972B6"/>
    <w:rsid w:val="007C3141"/>
    <w:rsid w:val="007D1413"/>
    <w:rsid w:val="007D311E"/>
    <w:rsid w:val="00812089"/>
    <w:rsid w:val="0084548C"/>
    <w:rsid w:val="008563AA"/>
    <w:rsid w:val="008605B2"/>
    <w:rsid w:val="0088568D"/>
    <w:rsid w:val="0089262C"/>
    <w:rsid w:val="00896BC9"/>
    <w:rsid w:val="008B05FA"/>
    <w:rsid w:val="008C2DA3"/>
    <w:rsid w:val="008D056E"/>
    <w:rsid w:val="00906580"/>
    <w:rsid w:val="00932042"/>
    <w:rsid w:val="00937FC3"/>
    <w:rsid w:val="00943FAC"/>
    <w:rsid w:val="00965EEB"/>
    <w:rsid w:val="009823FE"/>
    <w:rsid w:val="009A1ECF"/>
    <w:rsid w:val="009B4B78"/>
    <w:rsid w:val="00A272E8"/>
    <w:rsid w:val="00A31A99"/>
    <w:rsid w:val="00A40BC5"/>
    <w:rsid w:val="00A53F3A"/>
    <w:rsid w:val="00A84216"/>
    <w:rsid w:val="00AA5A79"/>
    <w:rsid w:val="00AE5125"/>
    <w:rsid w:val="00AF1454"/>
    <w:rsid w:val="00B313A4"/>
    <w:rsid w:val="00B363BC"/>
    <w:rsid w:val="00B91C43"/>
    <w:rsid w:val="00BA04D3"/>
    <w:rsid w:val="00BB69FC"/>
    <w:rsid w:val="00C11037"/>
    <w:rsid w:val="00C34097"/>
    <w:rsid w:val="00C47AE3"/>
    <w:rsid w:val="00C7684B"/>
    <w:rsid w:val="00C8369B"/>
    <w:rsid w:val="00C94F30"/>
    <w:rsid w:val="00CB3E24"/>
    <w:rsid w:val="00CB697D"/>
    <w:rsid w:val="00D009C1"/>
    <w:rsid w:val="00D01DAE"/>
    <w:rsid w:val="00D20BC2"/>
    <w:rsid w:val="00D3283D"/>
    <w:rsid w:val="00D71DE5"/>
    <w:rsid w:val="00D7572E"/>
    <w:rsid w:val="00DC03B5"/>
    <w:rsid w:val="00DD3B5D"/>
    <w:rsid w:val="00E01655"/>
    <w:rsid w:val="00E14844"/>
    <w:rsid w:val="00E36C98"/>
    <w:rsid w:val="00E82474"/>
    <w:rsid w:val="00E826E4"/>
    <w:rsid w:val="00EA168D"/>
    <w:rsid w:val="00EB5CEA"/>
    <w:rsid w:val="00EC778C"/>
    <w:rsid w:val="00EE1535"/>
    <w:rsid w:val="00EE517D"/>
    <w:rsid w:val="00EF34D5"/>
    <w:rsid w:val="00F44D17"/>
    <w:rsid w:val="00F44F77"/>
    <w:rsid w:val="00F466FE"/>
    <w:rsid w:val="00F657DD"/>
    <w:rsid w:val="00F71C2B"/>
    <w:rsid w:val="00F74873"/>
    <w:rsid w:val="00F973FA"/>
    <w:rsid w:val="00FA4153"/>
    <w:rsid w:val="00FC5D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5DCA9"/>
  <w15:docId w15:val="{9BEBF297-8EFE-4954-BDAA-EF9EE299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EB"/>
    <w:pPr>
      <w:overflowPunct w:val="0"/>
      <w:autoSpaceDE w:val="0"/>
      <w:autoSpaceDN w:val="0"/>
      <w:adjustRightInd w:val="0"/>
      <w:textAlignment w:val="baseline"/>
    </w:pPr>
    <w:rPr>
      <w:lang w:val="es-ES_tradnl" w:eastAsia="es-ES"/>
    </w:rPr>
  </w:style>
  <w:style w:type="paragraph" w:styleId="Ttulo1">
    <w:name w:val="heading 1"/>
    <w:basedOn w:val="Normal"/>
    <w:next w:val="Normal"/>
    <w:link w:val="Ttulo1Car"/>
    <w:uiPriority w:val="9"/>
    <w:qFormat/>
    <w:rsid w:val="00AD0B0A"/>
    <w:pPr>
      <w:keepNext/>
      <w:suppressAutoHyphens/>
      <w:autoSpaceDN/>
      <w:adjustRightInd/>
      <w:spacing w:line="480" w:lineRule="auto"/>
      <w:jc w:val="center"/>
      <w:outlineLvl w:val="0"/>
    </w:pPr>
    <w:rPr>
      <w:rFonts w:ascii="Arial" w:hAnsi="Arial"/>
      <w:b/>
      <w:sz w:val="24"/>
      <w:lang w:eastAsia="ar-SA"/>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rsid w:val="00E07CCB"/>
    <w:pPr>
      <w:tabs>
        <w:tab w:val="center" w:pos="4252"/>
        <w:tab w:val="right" w:pos="8504"/>
      </w:tabs>
    </w:pPr>
  </w:style>
  <w:style w:type="paragraph" w:styleId="Piedepgina">
    <w:name w:val="footer"/>
    <w:basedOn w:val="Normal"/>
    <w:link w:val="PiedepginaCar"/>
    <w:uiPriority w:val="99"/>
    <w:rsid w:val="00E07CCB"/>
    <w:pPr>
      <w:tabs>
        <w:tab w:val="center" w:pos="4252"/>
        <w:tab w:val="right" w:pos="8504"/>
      </w:tabs>
    </w:pPr>
  </w:style>
  <w:style w:type="character" w:styleId="Nmerodepgina">
    <w:name w:val="page number"/>
    <w:basedOn w:val="Fuentedeprrafopredeter"/>
    <w:rsid w:val="00E07CCB"/>
  </w:style>
  <w:style w:type="paragraph" w:customStyle="1" w:styleId="CarCarCarCarCarCarCarCarCarCarCar">
    <w:name w:val="Car Car Car Car Car Car Car Car Car Car Car"/>
    <w:basedOn w:val="Normal"/>
    <w:rsid w:val="00E07CCB"/>
    <w:pPr>
      <w:overflowPunct/>
      <w:autoSpaceDE/>
      <w:autoSpaceDN/>
      <w:adjustRightInd/>
      <w:spacing w:after="160" w:line="240" w:lineRule="exact"/>
      <w:textAlignment w:val="auto"/>
    </w:pPr>
    <w:rPr>
      <w:rFonts w:ascii="Verdana" w:hAnsi="Verdana"/>
      <w:lang w:val="en-US" w:eastAsia="en-US"/>
    </w:rPr>
  </w:style>
  <w:style w:type="paragraph" w:styleId="Textodeglobo">
    <w:name w:val="Balloon Text"/>
    <w:basedOn w:val="Normal"/>
    <w:semiHidden/>
    <w:rsid w:val="00650944"/>
    <w:rPr>
      <w:rFonts w:ascii="Tahoma" w:hAnsi="Tahoma" w:cs="Tahoma"/>
      <w:sz w:val="16"/>
      <w:szCs w:val="16"/>
    </w:rPr>
  </w:style>
  <w:style w:type="paragraph" w:customStyle="1" w:styleId="CarCarCarCarCar">
    <w:name w:val="Car Car Car Car Car"/>
    <w:basedOn w:val="Normal"/>
    <w:rsid w:val="005E635A"/>
    <w:pPr>
      <w:suppressAutoHyphens/>
      <w:overflowPunct/>
      <w:autoSpaceDE/>
      <w:adjustRightInd/>
      <w:spacing w:after="160" w:line="240" w:lineRule="exact"/>
      <w:textAlignment w:val="auto"/>
    </w:pPr>
    <w:rPr>
      <w:rFonts w:ascii="Verdana" w:hAnsi="Verdana" w:cs="Verdana"/>
      <w:lang w:val="en-US" w:eastAsia="en-US"/>
    </w:rPr>
  </w:style>
  <w:style w:type="character" w:customStyle="1" w:styleId="EncabezadoCar">
    <w:name w:val="Encabezado Car"/>
    <w:link w:val="Encabezado"/>
    <w:uiPriority w:val="99"/>
    <w:rsid w:val="00AE4069"/>
    <w:rPr>
      <w:lang w:val="es-ES_tradnl" w:eastAsia="es-ES"/>
    </w:rPr>
  </w:style>
  <w:style w:type="character" w:styleId="Hipervnculo">
    <w:name w:val="Hyperlink"/>
    <w:rsid w:val="007B7CDD"/>
    <w:rPr>
      <w:color w:val="000080"/>
      <w:u w:val="single"/>
    </w:rPr>
  </w:style>
  <w:style w:type="paragraph" w:styleId="NormalWeb">
    <w:name w:val="Normal (Web)"/>
    <w:basedOn w:val="Normal"/>
    <w:uiPriority w:val="99"/>
    <w:unhideWhenUsed/>
    <w:rsid w:val="0078305E"/>
    <w:pPr>
      <w:overflowPunct/>
      <w:autoSpaceDE/>
      <w:autoSpaceDN/>
      <w:adjustRightInd/>
      <w:spacing w:before="100" w:beforeAutospacing="1" w:after="100" w:afterAutospacing="1"/>
      <w:textAlignment w:val="auto"/>
    </w:pPr>
    <w:rPr>
      <w:sz w:val="24"/>
      <w:szCs w:val="24"/>
      <w:lang w:val="es-CO" w:eastAsia="es-CO"/>
    </w:rPr>
  </w:style>
  <w:style w:type="character" w:styleId="Nmerodelnea">
    <w:name w:val="line number"/>
    <w:basedOn w:val="Fuentedeprrafopredeter"/>
    <w:rsid w:val="00D30899"/>
  </w:style>
  <w:style w:type="character" w:customStyle="1" w:styleId="PiedepginaCar">
    <w:name w:val="Pie de página Car"/>
    <w:link w:val="Piedepgina"/>
    <w:uiPriority w:val="99"/>
    <w:rsid w:val="006B0ADF"/>
    <w:rPr>
      <w:lang w:val="es-ES_tradnl" w:eastAsia="es-ES"/>
    </w:rPr>
  </w:style>
  <w:style w:type="character" w:customStyle="1" w:styleId="apple-style-span">
    <w:name w:val="apple-style-span"/>
    <w:basedOn w:val="Fuentedeprrafopredeter"/>
    <w:rsid w:val="00B60B62"/>
  </w:style>
  <w:style w:type="paragraph" w:styleId="Textonotapie">
    <w:name w:val="footnote text"/>
    <w:basedOn w:val="Normal"/>
    <w:link w:val="TextonotapieCar"/>
    <w:rsid w:val="00546664"/>
    <w:pPr>
      <w:overflowPunct/>
      <w:autoSpaceDE/>
      <w:autoSpaceDN/>
      <w:adjustRightInd/>
      <w:jc w:val="both"/>
      <w:textAlignment w:val="auto"/>
    </w:pPr>
    <w:rPr>
      <w:rFonts w:ascii="Arial" w:hAnsi="Arial"/>
      <w:lang w:val="x-none"/>
    </w:rPr>
  </w:style>
  <w:style w:type="character" w:customStyle="1" w:styleId="TextonotapieCar">
    <w:name w:val="Texto nota pie Car"/>
    <w:link w:val="Textonotapie"/>
    <w:rsid w:val="00546664"/>
    <w:rPr>
      <w:rFonts w:ascii="Arial" w:hAnsi="Arial"/>
      <w:lang w:val="x-none" w:eastAsia="es-ES"/>
    </w:rPr>
  </w:style>
  <w:style w:type="character" w:styleId="Refdenotaalpie">
    <w:name w:val="footnote reference"/>
    <w:rsid w:val="00546664"/>
    <w:rPr>
      <w:vertAlign w:val="superscript"/>
    </w:rPr>
  </w:style>
  <w:style w:type="paragraph" w:styleId="Prrafodelista">
    <w:name w:val="List Paragraph"/>
    <w:aliases w:val="Bullet List,FooterText,numbered,List Paragraph1,Paragraphe de liste1,lp1,List Paragraph"/>
    <w:basedOn w:val="Normal"/>
    <w:link w:val="PrrafodelistaCar"/>
    <w:uiPriority w:val="34"/>
    <w:qFormat/>
    <w:rsid w:val="00546664"/>
    <w:pPr>
      <w:overflowPunct/>
      <w:autoSpaceDE/>
      <w:autoSpaceDN/>
      <w:adjustRightInd/>
      <w:ind w:left="720"/>
      <w:contextualSpacing/>
      <w:jc w:val="both"/>
      <w:textAlignment w:val="auto"/>
    </w:pPr>
    <w:rPr>
      <w:rFonts w:ascii="Arial" w:hAnsi="Arial"/>
      <w:sz w:val="22"/>
      <w:lang w:val="es-ES"/>
    </w:rPr>
  </w:style>
  <w:style w:type="paragraph" w:styleId="Sinespaciado">
    <w:name w:val="No Spacing"/>
    <w:uiPriority w:val="1"/>
    <w:qFormat/>
    <w:rsid w:val="00546664"/>
    <w:pPr>
      <w:jc w:val="both"/>
    </w:pPr>
    <w:rPr>
      <w:rFonts w:ascii="Arial" w:hAnsi="Arial"/>
      <w:sz w:val="22"/>
      <w:lang w:val="es-ES" w:eastAsia="es-ES"/>
    </w:rPr>
  </w:style>
  <w:style w:type="paragraph" w:styleId="Subttulo">
    <w:name w:val="Subtitle"/>
    <w:basedOn w:val="Normal"/>
    <w:next w:val="Normal"/>
    <w:link w:val="SubttuloCar"/>
    <w:uiPriority w:val="11"/>
    <w:qFormat/>
    <w:pPr>
      <w:spacing w:after="60"/>
      <w:jc w:val="center"/>
    </w:pPr>
    <w:rPr>
      <w:rFonts w:ascii="Cambria" w:eastAsia="Cambria" w:hAnsi="Cambria" w:cs="Cambria"/>
      <w:sz w:val="24"/>
      <w:szCs w:val="24"/>
    </w:rPr>
  </w:style>
  <w:style w:type="character" w:customStyle="1" w:styleId="SubttuloCar">
    <w:name w:val="Subtítulo Car"/>
    <w:link w:val="Subttulo"/>
    <w:uiPriority w:val="11"/>
    <w:rsid w:val="007A7139"/>
    <w:rPr>
      <w:rFonts w:ascii="Cambria" w:eastAsia="Times New Roman" w:hAnsi="Cambria" w:cs="Times New Roman"/>
      <w:sz w:val="24"/>
      <w:szCs w:val="24"/>
      <w:lang w:val="es-ES_tradnl" w:eastAsia="es-ES"/>
    </w:rPr>
  </w:style>
  <w:style w:type="character" w:styleId="Textoennegrita">
    <w:name w:val="Strong"/>
    <w:qFormat/>
    <w:rsid w:val="007A7139"/>
    <w:rPr>
      <w:b/>
      <w:bCs/>
    </w:rPr>
  </w:style>
  <w:style w:type="character" w:styleId="nfasis">
    <w:name w:val="Emphasis"/>
    <w:qFormat/>
    <w:rsid w:val="007A7139"/>
    <w:rPr>
      <w:i/>
      <w:iCs/>
    </w:rPr>
  </w:style>
  <w:style w:type="table" w:styleId="Tablaconcuadrcula">
    <w:name w:val="Table Grid"/>
    <w:basedOn w:val="Tablanormal"/>
    <w:rsid w:val="008E2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4672A4"/>
    <w:rPr>
      <w:rFonts w:ascii="Arial" w:hAnsi="Arial"/>
      <w:b/>
      <w:sz w:val="24"/>
      <w:lang w:val="es-ES_tradnl" w:eastAsia="ar-SA"/>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6B6CFD"/>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Bullet List Car,FooterText Car,numbered Car,List Paragraph1 Car,Paragraphe de liste1 Car,lp1 Car,List Paragraph Car"/>
    <w:link w:val="Prrafodelista"/>
    <w:uiPriority w:val="34"/>
    <w:locked/>
    <w:rsid w:val="00937FC3"/>
    <w:rPr>
      <w:rFonts w:ascii="Arial" w:hAnsi="Arial"/>
      <w:sz w:val="22"/>
      <w:lang w:val="es-ES" w:eastAsia="es-ES"/>
    </w:rPr>
  </w:style>
  <w:style w:type="character" w:customStyle="1" w:styleId="Mencinsinresolver1">
    <w:name w:val="Mención sin resolver1"/>
    <w:basedOn w:val="Fuentedeprrafopredeter"/>
    <w:uiPriority w:val="99"/>
    <w:semiHidden/>
    <w:unhideWhenUsed/>
    <w:rsid w:val="00A53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06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ajuridica.gov.co/sisjur/normas/Norma1.jsp?i=56882"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pc.gov.co/%25taxonomyeracterizacion-de-procesos-y-procedimientos" TargetMode="Externa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M6RMvk/Eg5FfhYwSzVzxwrgjA==">AMUW2mUPJxXylyMXEqqXIERyt0c5RNQUZrn0KPxqa9wrUq/C+5Qn3qPrDT1+PancuM4R/E/7yGNeqJycv5gC0HDdezKICfTuhHYe9vgE9kCwDKdk8IeqjpE=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2473</Words>
  <Characters>13604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juridica4</dc:creator>
  <cp:lastModifiedBy>INES</cp:lastModifiedBy>
  <cp:revision>2</cp:revision>
  <cp:lastPrinted>2022-09-10T00:29:00Z</cp:lastPrinted>
  <dcterms:created xsi:type="dcterms:W3CDTF">2022-09-14T22:03:00Z</dcterms:created>
  <dcterms:modified xsi:type="dcterms:W3CDTF">2022-09-14T22:03:00Z</dcterms:modified>
</cp:coreProperties>
</file>