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44" w:rsidRDefault="00762244">
      <w:pPr>
        <w:widowControl w:val="0"/>
        <w:pBdr>
          <w:top w:val="nil"/>
          <w:left w:val="nil"/>
          <w:bottom w:val="nil"/>
          <w:right w:val="nil"/>
          <w:between w:val="nil"/>
        </w:pBdr>
        <w:spacing w:line="276" w:lineRule="auto"/>
        <w:rPr>
          <w:color w:val="000000"/>
        </w:rPr>
      </w:pPr>
      <w:bookmarkStart w:id="0" w:name="_GoBack"/>
      <w:bookmarkEnd w:id="0"/>
    </w:p>
    <w:tbl>
      <w:tblPr>
        <w:tblStyle w:val="a"/>
        <w:tblW w:w="88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4"/>
        <w:gridCol w:w="834"/>
        <w:gridCol w:w="833"/>
        <w:gridCol w:w="833"/>
        <w:gridCol w:w="833"/>
        <w:gridCol w:w="833"/>
        <w:gridCol w:w="837"/>
      </w:tblGrid>
      <w:tr w:rsidR="00762244" w:rsidTr="00512A4A">
        <w:tc>
          <w:tcPr>
            <w:tcW w:w="3825" w:type="dxa"/>
            <w:shd w:val="clear" w:color="auto" w:fill="F2F2F2"/>
            <w:vAlign w:val="center"/>
          </w:tcPr>
          <w:p w:rsidR="00762244" w:rsidRDefault="00A20CD2">
            <w:pPr>
              <w:jc w:val="both"/>
              <w:rPr>
                <w:b/>
                <w:color w:val="000000"/>
                <w:sz w:val="20"/>
                <w:szCs w:val="20"/>
              </w:rPr>
            </w:pPr>
            <w:r>
              <w:rPr>
                <w:b/>
                <w:color w:val="000000"/>
                <w:sz w:val="20"/>
                <w:szCs w:val="20"/>
              </w:rPr>
              <w:t>FECHA DE EMISIÓN DEL INFORME</w:t>
            </w:r>
          </w:p>
        </w:tc>
        <w:tc>
          <w:tcPr>
            <w:tcW w:w="834" w:type="dxa"/>
            <w:shd w:val="clear" w:color="auto" w:fill="F2F2F2"/>
            <w:vAlign w:val="center"/>
          </w:tcPr>
          <w:p w:rsidR="00762244" w:rsidRDefault="00A20CD2">
            <w:pPr>
              <w:jc w:val="center"/>
              <w:rPr>
                <w:b/>
                <w:color w:val="000000"/>
              </w:rPr>
            </w:pPr>
            <w:r>
              <w:rPr>
                <w:b/>
                <w:color w:val="000000"/>
              </w:rPr>
              <w:t>DÍA</w:t>
            </w:r>
          </w:p>
        </w:tc>
        <w:tc>
          <w:tcPr>
            <w:tcW w:w="833" w:type="dxa"/>
            <w:vAlign w:val="center"/>
          </w:tcPr>
          <w:p w:rsidR="00762244" w:rsidRDefault="00CE18DD">
            <w:pPr>
              <w:jc w:val="center"/>
              <w:rPr>
                <w:color w:val="000000"/>
              </w:rPr>
            </w:pPr>
            <w:r>
              <w:rPr>
                <w:color w:val="000000"/>
              </w:rPr>
              <w:t>1</w:t>
            </w:r>
            <w:r w:rsidR="00067D64">
              <w:rPr>
                <w:color w:val="000000"/>
              </w:rPr>
              <w:t>4</w:t>
            </w:r>
          </w:p>
        </w:tc>
        <w:tc>
          <w:tcPr>
            <w:tcW w:w="833" w:type="dxa"/>
            <w:shd w:val="clear" w:color="auto" w:fill="F2F2F2"/>
            <w:vAlign w:val="center"/>
          </w:tcPr>
          <w:p w:rsidR="00762244" w:rsidRDefault="00A20CD2">
            <w:pPr>
              <w:jc w:val="center"/>
              <w:rPr>
                <w:b/>
                <w:color w:val="000000"/>
              </w:rPr>
            </w:pPr>
            <w:r>
              <w:rPr>
                <w:b/>
                <w:color w:val="000000"/>
              </w:rPr>
              <w:t>MES</w:t>
            </w:r>
          </w:p>
        </w:tc>
        <w:tc>
          <w:tcPr>
            <w:tcW w:w="833" w:type="dxa"/>
            <w:vAlign w:val="center"/>
          </w:tcPr>
          <w:p w:rsidR="00762244" w:rsidRDefault="00067D64">
            <w:pPr>
              <w:jc w:val="center"/>
              <w:rPr>
                <w:color w:val="000000"/>
              </w:rPr>
            </w:pPr>
            <w:r>
              <w:rPr>
                <w:color w:val="000000"/>
              </w:rPr>
              <w:t>02</w:t>
            </w:r>
          </w:p>
        </w:tc>
        <w:tc>
          <w:tcPr>
            <w:tcW w:w="833" w:type="dxa"/>
            <w:shd w:val="clear" w:color="auto" w:fill="F2F2F2"/>
            <w:vAlign w:val="center"/>
          </w:tcPr>
          <w:p w:rsidR="00762244" w:rsidRDefault="00A20CD2">
            <w:pPr>
              <w:jc w:val="center"/>
              <w:rPr>
                <w:b/>
                <w:color w:val="000000"/>
              </w:rPr>
            </w:pPr>
            <w:r>
              <w:rPr>
                <w:b/>
                <w:color w:val="000000"/>
              </w:rPr>
              <w:t>AÑO</w:t>
            </w:r>
          </w:p>
        </w:tc>
        <w:tc>
          <w:tcPr>
            <w:tcW w:w="837" w:type="dxa"/>
            <w:vAlign w:val="center"/>
          </w:tcPr>
          <w:p w:rsidR="00762244" w:rsidRDefault="00A20CD2">
            <w:pPr>
              <w:jc w:val="center"/>
              <w:rPr>
                <w:color w:val="000000"/>
              </w:rPr>
            </w:pPr>
            <w:r>
              <w:rPr>
                <w:color w:val="000000"/>
              </w:rPr>
              <w:t>202</w:t>
            </w:r>
            <w:r w:rsidR="006D0C72">
              <w:rPr>
                <w:color w:val="000000"/>
              </w:rPr>
              <w:t>2</w:t>
            </w:r>
          </w:p>
        </w:tc>
      </w:tr>
      <w:tr w:rsidR="00762244" w:rsidTr="00512A4A">
        <w:trPr>
          <w:trHeight w:val="799"/>
        </w:trPr>
        <w:tc>
          <w:tcPr>
            <w:tcW w:w="3825" w:type="dxa"/>
            <w:shd w:val="clear" w:color="auto" w:fill="F2F2F2"/>
            <w:vAlign w:val="center"/>
          </w:tcPr>
          <w:p w:rsidR="00762244" w:rsidRDefault="00A20CD2">
            <w:pPr>
              <w:jc w:val="both"/>
              <w:rPr>
                <w:b/>
                <w:sz w:val="20"/>
                <w:szCs w:val="20"/>
              </w:rPr>
            </w:pPr>
            <w:r>
              <w:rPr>
                <w:b/>
                <w:sz w:val="20"/>
                <w:szCs w:val="20"/>
              </w:rPr>
              <w:t>PROCESO, PROCEDIMIENTO O ACTIVIDAD EVALUADA</w:t>
            </w:r>
          </w:p>
        </w:tc>
        <w:tc>
          <w:tcPr>
            <w:tcW w:w="5003" w:type="dxa"/>
            <w:gridSpan w:val="6"/>
            <w:vAlign w:val="center"/>
          </w:tcPr>
          <w:p w:rsidR="00762244" w:rsidRDefault="00067D64">
            <w:pPr>
              <w:pBdr>
                <w:top w:val="nil"/>
                <w:left w:val="nil"/>
                <w:bottom w:val="nil"/>
                <w:right w:val="nil"/>
                <w:between w:val="nil"/>
              </w:pBdr>
              <w:ind w:left="31"/>
              <w:jc w:val="both"/>
              <w:rPr>
                <w:color w:val="000000"/>
              </w:rPr>
            </w:pPr>
            <w:r>
              <w:rPr>
                <w:color w:val="000000"/>
              </w:rPr>
              <w:t xml:space="preserve">Alcance </w:t>
            </w:r>
            <w:r w:rsidR="00A20CD2">
              <w:rPr>
                <w:color w:val="000000"/>
              </w:rPr>
              <w:t>Informe Evaluación Anual por Dependencias 202</w:t>
            </w:r>
            <w:r w:rsidR="006D0C72">
              <w:rPr>
                <w:color w:val="000000"/>
              </w:rPr>
              <w:t>1</w:t>
            </w:r>
          </w:p>
        </w:tc>
      </w:tr>
      <w:tr w:rsidR="00762244" w:rsidTr="00512A4A">
        <w:trPr>
          <w:trHeight w:val="929"/>
        </w:trPr>
        <w:tc>
          <w:tcPr>
            <w:tcW w:w="3825" w:type="dxa"/>
            <w:shd w:val="clear" w:color="auto" w:fill="F2F2F2"/>
            <w:vAlign w:val="center"/>
          </w:tcPr>
          <w:p w:rsidR="00762244" w:rsidRDefault="00A20CD2">
            <w:pPr>
              <w:jc w:val="both"/>
              <w:rPr>
                <w:b/>
                <w:sz w:val="20"/>
                <w:szCs w:val="20"/>
              </w:rPr>
            </w:pPr>
            <w:r>
              <w:rPr>
                <w:b/>
                <w:sz w:val="20"/>
                <w:szCs w:val="20"/>
              </w:rPr>
              <w:t>RESPONSABLE DEL PROCESO, PROCEDIMIENTO O ACTIVIDAD EVALUADA</w:t>
            </w:r>
          </w:p>
        </w:tc>
        <w:tc>
          <w:tcPr>
            <w:tcW w:w="5003" w:type="dxa"/>
            <w:gridSpan w:val="6"/>
            <w:vAlign w:val="center"/>
          </w:tcPr>
          <w:p w:rsidR="00762244" w:rsidRDefault="00A20CD2">
            <w:pPr>
              <w:pBdr>
                <w:top w:val="nil"/>
                <w:left w:val="nil"/>
                <w:bottom w:val="nil"/>
                <w:right w:val="nil"/>
                <w:between w:val="nil"/>
              </w:pBdr>
              <w:ind w:left="31"/>
              <w:jc w:val="both"/>
              <w:rPr>
                <w:color w:val="000000"/>
              </w:rPr>
            </w:pPr>
            <w:r>
              <w:rPr>
                <w:color w:val="000000"/>
              </w:rPr>
              <w:t>Todas las dependencias del IDPC</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OBJETIVO GENERAL</w:t>
            </w:r>
          </w:p>
        </w:tc>
        <w:tc>
          <w:tcPr>
            <w:tcW w:w="5003" w:type="dxa"/>
            <w:gridSpan w:val="6"/>
            <w:vAlign w:val="center"/>
          </w:tcPr>
          <w:p w:rsidR="00762244" w:rsidRDefault="006D0C72" w:rsidP="006D0C72">
            <w:pPr>
              <w:pBdr>
                <w:top w:val="nil"/>
                <w:left w:val="nil"/>
                <w:bottom w:val="nil"/>
                <w:right w:val="nil"/>
                <w:between w:val="nil"/>
              </w:pBdr>
              <w:jc w:val="both"/>
              <w:rPr>
                <w:color w:val="000000"/>
              </w:rPr>
            </w:pPr>
            <w:r>
              <w:t xml:space="preserve">Evaluar la gestión adelantada por las </w:t>
            </w:r>
            <w:r w:rsidR="00A0622A">
              <w:t xml:space="preserve">15 </w:t>
            </w:r>
            <w:r>
              <w:t>dependencia</w:t>
            </w:r>
            <w:r w:rsidR="00A0622A">
              <w:t xml:space="preserve">s del Instituto Distrital de Patrimonio Cultural – IDPC </w:t>
            </w:r>
            <w:r>
              <w:t>en la vigencia 202</w:t>
            </w:r>
            <w:r w:rsidR="00A0622A">
              <w:t>1</w:t>
            </w:r>
            <w:r>
              <w:t>, en observancia del artículo 39 de la Ley 909 de 2004 y dar a conocer a los evaluadores el resultado, para que se tenga en cuenta como uno de los criterios en la concertación de los compromisos del siguiente período de evaluación</w:t>
            </w:r>
            <w:r w:rsidR="008662F3">
              <w:rPr>
                <w:color w:val="000000"/>
              </w:rPr>
              <w:t>.</w:t>
            </w:r>
          </w:p>
        </w:tc>
      </w:tr>
      <w:tr w:rsidR="00762244" w:rsidTr="00512A4A">
        <w:trPr>
          <w:trHeight w:val="559"/>
        </w:trPr>
        <w:tc>
          <w:tcPr>
            <w:tcW w:w="3825" w:type="dxa"/>
            <w:shd w:val="clear" w:color="auto" w:fill="F2F2F2"/>
            <w:vAlign w:val="center"/>
          </w:tcPr>
          <w:p w:rsidR="00762244" w:rsidRDefault="00A20CD2">
            <w:pPr>
              <w:jc w:val="both"/>
              <w:rPr>
                <w:b/>
                <w:sz w:val="20"/>
                <w:szCs w:val="20"/>
              </w:rPr>
            </w:pPr>
            <w:r>
              <w:rPr>
                <w:b/>
                <w:sz w:val="20"/>
                <w:szCs w:val="20"/>
              </w:rPr>
              <w:t>ALCANCE</w:t>
            </w:r>
          </w:p>
        </w:tc>
        <w:tc>
          <w:tcPr>
            <w:tcW w:w="5003" w:type="dxa"/>
            <w:gridSpan w:val="6"/>
            <w:vAlign w:val="center"/>
          </w:tcPr>
          <w:p w:rsidR="00762244" w:rsidRDefault="007F497C">
            <w:pPr>
              <w:pBdr>
                <w:top w:val="nil"/>
                <w:left w:val="nil"/>
                <w:bottom w:val="nil"/>
                <w:right w:val="nil"/>
                <w:between w:val="nil"/>
              </w:pBdr>
              <w:ind w:left="31"/>
              <w:jc w:val="both"/>
              <w:rPr>
                <w:color w:val="000000"/>
              </w:rPr>
            </w:pPr>
            <w:r>
              <w:t xml:space="preserve">Verificar el grado de cumplimiento de la gestión desarrollada por las 15 dependencias del Instituto Distrital de Patrimonio Cultural – IDPC durante la vigencia 2021, con fundamento en la evaluación cuantitativa y cualitativa del nivel de ejecución de los compromisos establecidos en los planes operativos anuales, liderado por la Oficina Asesora de Planeación y registrada por cada una de las Dependencias, para ello, se tuvo en cuenta los datos de la ejecución del presupuesto correspondiente a los proyectos de inversión con corte a 31 de diciembre 2021. </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CRITERIOS</w:t>
            </w:r>
          </w:p>
        </w:tc>
        <w:tc>
          <w:tcPr>
            <w:tcW w:w="5003" w:type="dxa"/>
            <w:gridSpan w:val="6"/>
            <w:vAlign w:val="center"/>
          </w:tcPr>
          <w:p w:rsidR="00762244" w:rsidRDefault="00A20CD2">
            <w:pPr>
              <w:numPr>
                <w:ilvl w:val="0"/>
                <w:numId w:val="8"/>
              </w:numPr>
              <w:pBdr>
                <w:top w:val="nil"/>
                <w:left w:val="nil"/>
                <w:bottom w:val="nil"/>
                <w:right w:val="nil"/>
                <w:between w:val="nil"/>
              </w:pBdr>
              <w:ind w:left="361"/>
              <w:jc w:val="both"/>
              <w:rPr>
                <w:color w:val="000000"/>
              </w:rPr>
            </w:pPr>
            <w:r>
              <w:rPr>
                <w:color w:val="000000"/>
              </w:rPr>
              <w:t xml:space="preserve">Ley 909 de 2004, “Por la cual se expiden normas que regulan el empleo público, la carrera administrativa, gerencia pública y se dictan otras disposiciones”, en su artículo 39 establece: “Obligación de evaluar. Los empleados que sean responsables de evaluar el desempeño laboral del personal, entre quienes, en todo caso, habrá un funcionario de libre nombramiento y remoción, deberán hacerlo siguiendo la metodología contenida en el instrumento y en los términos que señale el reglamento que para el efecto se expida. El incumplimiento de este deber constituye falta grave y será sancionable disciplinariamente, sin perjuicio de que se cumpla con la obligación de evaluar y aplicar rigurosamente el procedimiento señalado. El Jefe de Control Interno o quien haga sus </w:t>
            </w:r>
            <w:r>
              <w:rPr>
                <w:color w:val="000000"/>
              </w:rPr>
              <w:lastRenderedPageBreak/>
              <w:t>veces en las entidades u organismos a los cuales se les aplica la presente ley, tendrá la obligación de remitir las evaluaciones de gestión de cada una de las dependencias, con el fin de que sean tomadas como criterio para la evaluación de los empleados, aspecto sobre el cual hará seguimiento para verificar su estricto cumplimiento”.</w:t>
            </w:r>
          </w:p>
          <w:p w:rsidR="00762244" w:rsidRDefault="00A20CD2" w:rsidP="00226784">
            <w:pPr>
              <w:numPr>
                <w:ilvl w:val="0"/>
                <w:numId w:val="8"/>
              </w:numPr>
              <w:pBdr>
                <w:top w:val="nil"/>
                <w:left w:val="nil"/>
                <w:bottom w:val="nil"/>
                <w:right w:val="nil"/>
                <w:between w:val="nil"/>
              </w:pBdr>
              <w:ind w:left="361"/>
              <w:jc w:val="both"/>
              <w:rPr>
                <w:color w:val="000000"/>
              </w:rPr>
            </w:pPr>
            <w:r>
              <w:rPr>
                <w:color w:val="000000"/>
              </w:rPr>
              <w:t xml:space="preserve">Decreto 648 de 2017, “Por el cual se modifica y adiciona el Decreto 1083 de 2015, Reglamentario Único del Sector de la Función Pública. Administración de personal y situaciones administrativas de los empleados públicos de las entidades de los órdenes nacional y territorial” </w:t>
            </w:r>
          </w:p>
        </w:tc>
      </w:tr>
      <w:tr w:rsidR="00762244" w:rsidTr="00512A4A">
        <w:trPr>
          <w:trHeight w:val="487"/>
        </w:trPr>
        <w:tc>
          <w:tcPr>
            <w:tcW w:w="3825" w:type="dxa"/>
            <w:shd w:val="clear" w:color="auto" w:fill="F2F2F2"/>
            <w:vAlign w:val="center"/>
          </w:tcPr>
          <w:p w:rsidR="00762244" w:rsidRDefault="00A20CD2">
            <w:pPr>
              <w:jc w:val="both"/>
              <w:rPr>
                <w:b/>
                <w:sz w:val="20"/>
                <w:szCs w:val="20"/>
              </w:rPr>
            </w:pPr>
            <w:r>
              <w:rPr>
                <w:b/>
                <w:sz w:val="20"/>
                <w:szCs w:val="20"/>
              </w:rPr>
              <w:lastRenderedPageBreak/>
              <w:t>PRUEBAS DE AUDITORÍA</w:t>
            </w:r>
          </w:p>
        </w:tc>
        <w:tc>
          <w:tcPr>
            <w:tcW w:w="5003" w:type="dxa"/>
            <w:gridSpan w:val="6"/>
            <w:vAlign w:val="center"/>
          </w:tcPr>
          <w:p w:rsidR="00762244" w:rsidRDefault="007820DD">
            <w:pPr>
              <w:pBdr>
                <w:top w:val="nil"/>
                <w:left w:val="nil"/>
                <w:bottom w:val="nil"/>
                <w:right w:val="nil"/>
                <w:between w:val="nil"/>
              </w:pBdr>
              <w:ind w:left="31"/>
              <w:jc w:val="both"/>
              <w:rPr>
                <w:color w:val="000000"/>
                <w:sz w:val="20"/>
                <w:szCs w:val="20"/>
              </w:rPr>
            </w:pPr>
            <w:r>
              <w:t>Para la verificación de la evaluación de la gestión de las 15 dependencias, se aplicaron las técnicas de auditoria internacionalmente aceptadas mediante la evaluación de la información objeto de análisis suministrada por la Oficina Asesora de Planeación y la validación de los soportes alojados en las carpetas compartidas en Google Driv</w:t>
            </w:r>
            <w:r w:rsidR="00494AEC">
              <w:t xml:space="preserve">e dispuestas por la entidad para tal fin. </w:t>
            </w:r>
          </w:p>
        </w:tc>
      </w:tr>
      <w:tr w:rsidR="00762244" w:rsidTr="00512A4A">
        <w:trPr>
          <w:trHeight w:val="881"/>
        </w:trPr>
        <w:tc>
          <w:tcPr>
            <w:tcW w:w="3825" w:type="dxa"/>
            <w:shd w:val="clear" w:color="auto" w:fill="F2F2F2"/>
            <w:vAlign w:val="center"/>
          </w:tcPr>
          <w:p w:rsidR="00762244" w:rsidRDefault="00A20CD2">
            <w:pPr>
              <w:jc w:val="both"/>
              <w:rPr>
                <w:b/>
                <w:sz w:val="20"/>
                <w:szCs w:val="20"/>
              </w:rPr>
            </w:pPr>
            <w:r>
              <w:rPr>
                <w:b/>
                <w:sz w:val="20"/>
                <w:szCs w:val="20"/>
              </w:rPr>
              <w:t>EQUIPO AUDITOR</w:t>
            </w:r>
          </w:p>
        </w:tc>
        <w:tc>
          <w:tcPr>
            <w:tcW w:w="5003" w:type="dxa"/>
            <w:gridSpan w:val="6"/>
            <w:vAlign w:val="center"/>
          </w:tcPr>
          <w:p w:rsidR="00C9435F" w:rsidRDefault="00C9435F" w:rsidP="00C9435F">
            <w:pPr>
              <w:pBdr>
                <w:top w:val="nil"/>
                <w:left w:val="nil"/>
                <w:bottom w:val="nil"/>
                <w:right w:val="nil"/>
                <w:between w:val="nil"/>
              </w:pBdr>
              <w:jc w:val="both"/>
              <w:rPr>
                <w:color w:val="000000"/>
              </w:rPr>
            </w:pPr>
            <w:r>
              <w:rPr>
                <w:color w:val="000000"/>
              </w:rPr>
              <w:t xml:space="preserve">Eleana Marcela Páez Urrego </w:t>
            </w:r>
          </w:p>
          <w:p w:rsidR="00762244" w:rsidRDefault="00C9435F" w:rsidP="00C9435F">
            <w:pPr>
              <w:jc w:val="both"/>
              <w:rPr>
                <w:sz w:val="20"/>
                <w:szCs w:val="20"/>
              </w:rPr>
            </w:pPr>
            <w:r>
              <w:t>Edith Janneth Abella Sánchez</w:t>
            </w:r>
          </w:p>
        </w:tc>
      </w:tr>
      <w:tr w:rsidR="00762244" w:rsidTr="00512A4A">
        <w:trPr>
          <w:trHeight w:val="709"/>
        </w:trPr>
        <w:tc>
          <w:tcPr>
            <w:tcW w:w="3825" w:type="dxa"/>
            <w:shd w:val="clear" w:color="auto" w:fill="F2F2F2"/>
            <w:vAlign w:val="center"/>
          </w:tcPr>
          <w:p w:rsidR="00762244" w:rsidRDefault="00A20CD2">
            <w:pPr>
              <w:jc w:val="both"/>
              <w:rPr>
                <w:b/>
                <w:sz w:val="20"/>
                <w:szCs w:val="20"/>
              </w:rPr>
            </w:pPr>
            <w:r>
              <w:rPr>
                <w:b/>
                <w:sz w:val="20"/>
                <w:szCs w:val="20"/>
              </w:rPr>
              <w:t>FECHA DE EJECUCIÓN DE LA AUDITORÍA</w:t>
            </w:r>
          </w:p>
        </w:tc>
        <w:tc>
          <w:tcPr>
            <w:tcW w:w="5003" w:type="dxa"/>
            <w:gridSpan w:val="6"/>
            <w:vAlign w:val="center"/>
          </w:tcPr>
          <w:p w:rsidR="00762244" w:rsidRDefault="00A20CD2">
            <w:pPr>
              <w:pBdr>
                <w:top w:val="nil"/>
                <w:left w:val="nil"/>
                <w:bottom w:val="nil"/>
                <w:right w:val="nil"/>
                <w:between w:val="nil"/>
              </w:pBdr>
              <w:ind w:left="31"/>
              <w:jc w:val="both"/>
              <w:rPr>
                <w:color w:val="000000"/>
                <w:sz w:val="20"/>
                <w:szCs w:val="20"/>
              </w:rPr>
            </w:pPr>
            <w:r>
              <w:rPr>
                <w:color w:val="000000"/>
              </w:rPr>
              <w:t xml:space="preserve">Del </w:t>
            </w:r>
            <w:r w:rsidR="00BE1768">
              <w:rPr>
                <w:color w:val="000000"/>
              </w:rPr>
              <w:t>24</w:t>
            </w:r>
            <w:r>
              <w:rPr>
                <w:color w:val="000000"/>
              </w:rPr>
              <w:t xml:space="preserve"> al </w:t>
            </w:r>
            <w:r w:rsidR="00BE1768">
              <w:rPr>
                <w:color w:val="000000"/>
              </w:rPr>
              <w:t>31</w:t>
            </w:r>
            <w:r>
              <w:rPr>
                <w:color w:val="000000"/>
              </w:rPr>
              <w:t>de enero de 202</w:t>
            </w:r>
            <w:r w:rsidR="00BE1768">
              <w:rPr>
                <w:color w:val="000000"/>
              </w:rPr>
              <w:t>2</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INSUMOS</w:t>
            </w:r>
          </w:p>
        </w:tc>
        <w:tc>
          <w:tcPr>
            <w:tcW w:w="5003" w:type="dxa"/>
            <w:gridSpan w:val="6"/>
            <w:vAlign w:val="center"/>
          </w:tcPr>
          <w:p w:rsidR="00762244" w:rsidRDefault="00A20CD2" w:rsidP="00A20CD2">
            <w:pPr>
              <w:pBdr>
                <w:top w:val="nil"/>
                <w:left w:val="nil"/>
                <w:bottom w:val="nil"/>
                <w:right w:val="nil"/>
                <w:between w:val="nil"/>
              </w:pBdr>
              <w:ind w:left="31"/>
              <w:jc w:val="both"/>
              <w:rPr>
                <w:color w:val="000000"/>
                <w:sz w:val="20"/>
                <w:szCs w:val="20"/>
              </w:rPr>
            </w:pPr>
            <w:r>
              <w:rPr>
                <w:color w:val="000000"/>
              </w:rPr>
              <w:t xml:space="preserve">Los resultados, se fundamentan </w:t>
            </w:r>
            <w:r w:rsidR="00D26512">
              <w:t>evaluación de la información objeto de análisis suministrada por la Oficina Asesora de Planeación y la validación de los soportes alojados en las carpetas compartidas en Google Drive dispuestas por la entidad para tal fin.</w:t>
            </w:r>
          </w:p>
        </w:tc>
      </w:tr>
      <w:tr w:rsidR="00762244" w:rsidTr="00512A4A">
        <w:trPr>
          <w:trHeight w:val="1134"/>
        </w:trPr>
        <w:tc>
          <w:tcPr>
            <w:tcW w:w="3825" w:type="dxa"/>
            <w:shd w:val="clear" w:color="auto" w:fill="F2F2F2"/>
            <w:vAlign w:val="center"/>
          </w:tcPr>
          <w:p w:rsidR="00762244" w:rsidRDefault="00A20CD2">
            <w:pPr>
              <w:jc w:val="both"/>
              <w:rPr>
                <w:b/>
                <w:sz w:val="20"/>
                <w:szCs w:val="20"/>
              </w:rPr>
            </w:pPr>
            <w:r>
              <w:rPr>
                <w:b/>
                <w:sz w:val="20"/>
                <w:szCs w:val="20"/>
              </w:rPr>
              <w:t>LIMITACIONES DE LA EVALUACIÓN Y/O SEGUIMIENTO</w:t>
            </w:r>
          </w:p>
        </w:tc>
        <w:tc>
          <w:tcPr>
            <w:tcW w:w="5003" w:type="dxa"/>
            <w:gridSpan w:val="6"/>
            <w:vAlign w:val="center"/>
          </w:tcPr>
          <w:p w:rsidR="00663CF3" w:rsidRPr="00663CF3" w:rsidRDefault="00D26512" w:rsidP="00663CF3">
            <w:pPr>
              <w:pBdr>
                <w:top w:val="nil"/>
                <w:left w:val="nil"/>
                <w:bottom w:val="nil"/>
                <w:right w:val="nil"/>
                <w:between w:val="nil"/>
              </w:pBdr>
              <w:ind w:left="31"/>
              <w:jc w:val="both"/>
            </w:pPr>
            <w:r>
              <w:t>Los soportes documentales</w:t>
            </w:r>
            <w:r w:rsidR="00663CF3">
              <w:t xml:space="preserve"> alojados en las carpetas compartidas algunos no se </w:t>
            </w:r>
            <w:r w:rsidR="00A20CD2" w:rsidRPr="0046395C">
              <w:t>encuentra</w:t>
            </w:r>
            <w:r w:rsidR="00663CF3">
              <w:t>n</w:t>
            </w:r>
            <w:r w:rsidR="00A20CD2" w:rsidRPr="0046395C">
              <w:t xml:space="preserve"> organizad</w:t>
            </w:r>
            <w:r w:rsidR="00663CF3">
              <w:t xml:space="preserve">os, debidamente identificados </w:t>
            </w:r>
            <w:r w:rsidR="00A20CD2" w:rsidRPr="0046395C">
              <w:t>o complet</w:t>
            </w:r>
            <w:r w:rsidR="00663CF3">
              <w:t>os</w:t>
            </w:r>
            <w:r w:rsidR="00A20CD2" w:rsidRPr="0046395C">
              <w:t>, lo cual dificulta la revisión.</w:t>
            </w:r>
          </w:p>
        </w:tc>
      </w:tr>
    </w:tbl>
    <w:p w:rsidR="00762244" w:rsidRDefault="00762244">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360"/>
        <w:rPr>
          <w:b/>
          <w:color w:val="000000"/>
        </w:rPr>
      </w:pPr>
    </w:p>
    <w:p w:rsidR="00624F91" w:rsidRDefault="00624F91" w:rsidP="00624F91">
      <w:pPr>
        <w:pBdr>
          <w:top w:val="nil"/>
          <w:left w:val="nil"/>
          <w:bottom w:val="nil"/>
          <w:right w:val="nil"/>
          <w:between w:val="nil"/>
        </w:pBdr>
        <w:ind w:left="720"/>
        <w:rPr>
          <w:b/>
          <w:color w:val="000000"/>
        </w:rPr>
      </w:pPr>
    </w:p>
    <w:p w:rsidR="00624F91" w:rsidRDefault="00624F91" w:rsidP="00624F91">
      <w:pPr>
        <w:pBdr>
          <w:top w:val="nil"/>
          <w:left w:val="nil"/>
          <w:bottom w:val="nil"/>
          <w:right w:val="nil"/>
          <w:between w:val="nil"/>
        </w:pBdr>
        <w:ind w:left="360"/>
        <w:rPr>
          <w:b/>
          <w:color w:val="000000"/>
        </w:rPr>
      </w:pPr>
    </w:p>
    <w:p w:rsidR="00624F91" w:rsidRDefault="00624F91" w:rsidP="00624F91">
      <w:pPr>
        <w:pBdr>
          <w:top w:val="nil"/>
          <w:left w:val="nil"/>
          <w:bottom w:val="nil"/>
          <w:right w:val="nil"/>
          <w:between w:val="nil"/>
        </w:pBdr>
        <w:ind w:left="720"/>
        <w:rPr>
          <w:b/>
          <w:color w:val="000000"/>
        </w:rPr>
      </w:pPr>
    </w:p>
    <w:p w:rsidR="00762244" w:rsidRDefault="00A20CD2">
      <w:pPr>
        <w:numPr>
          <w:ilvl w:val="0"/>
          <w:numId w:val="5"/>
        </w:numPr>
        <w:pBdr>
          <w:top w:val="nil"/>
          <w:left w:val="nil"/>
          <w:bottom w:val="nil"/>
          <w:right w:val="nil"/>
          <w:between w:val="nil"/>
        </w:pBdr>
        <w:jc w:val="center"/>
        <w:rPr>
          <w:b/>
          <w:color w:val="000000"/>
        </w:rPr>
      </w:pPr>
      <w:r>
        <w:rPr>
          <w:b/>
          <w:color w:val="000000"/>
        </w:rPr>
        <w:t>RESULTADOS DE LA EVALUACIÓN Y/O SEGUIMIENTO</w:t>
      </w:r>
    </w:p>
    <w:p w:rsidR="00762244" w:rsidRDefault="00762244">
      <w:pPr>
        <w:tabs>
          <w:tab w:val="left" w:pos="540"/>
        </w:tabs>
        <w:jc w:val="both"/>
        <w:rPr>
          <w:b/>
        </w:rPr>
      </w:pPr>
    </w:p>
    <w:p w:rsidR="00C9435F" w:rsidRPr="00ED34A8" w:rsidRDefault="00C9435F" w:rsidP="00C9435F">
      <w:pPr>
        <w:pStyle w:val="Prrafodelista"/>
        <w:numPr>
          <w:ilvl w:val="1"/>
          <w:numId w:val="5"/>
        </w:numPr>
        <w:pBdr>
          <w:top w:val="nil"/>
          <w:left w:val="nil"/>
          <w:bottom w:val="nil"/>
          <w:right w:val="nil"/>
          <w:between w:val="nil"/>
        </w:pBdr>
        <w:tabs>
          <w:tab w:val="left" w:pos="540"/>
        </w:tabs>
        <w:jc w:val="both"/>
        <w:rPr>
          <w:b/>
          <w:color w:val="000000"/>
        </w:rPr>
      </w:pPr>
      <w:r w:rsidRPr="00ED34A8">
        <w:rPr>
          <w:b/>
          <w:color w:val="000000"/>
        </w:rPr>
        <w:t>CUMPLIMIENTO DE METAS PROYECTOS DE INVERSIÓN PRO</w:t>
      </w:r>
      <w:r>
        <w:rPr>
          <w:b/>
          <w:color w:val="000000"/>
        </w:rPr>
        <w:t>GRAMADAS PARA LA VIGENCIA 2021</w:t>
      </w:r>
    </w:p>
    <w:p w:rsidR="00624F91" w:rsidRDefault="00624F91">
      <w:pPr>
        <w:pBdr>
          <w:top w:val="nil"/>
          <w:left w:val="nil"/>
          <w:bottom w:val="nil"/>
          <w:right w:val="nil"/>
          <w:between w:val="nil"/>
        </w:pBdr>
        <w:tabs>
          <w:tab w:val="left" w:pos="540"/>
        </w:tabs>
        <w:ind w:left="426"/>
        <w:jc w:val="both"/>
        <w:rPr>
          <w:b/>
          <w:color w:val="000000"/>
        </w:rPr>
      </w:pPr>
    </w:p>
    <w:tbl>
      <w:tblPr>
        <w:tblW w:w="10348" w:type="dxa"/>
        <w:tblInd w:w="-714" w:type="dxa"/>
        <w:tblLayout w:type="fixed"/>
        <w:tblCellMar>
          <w:left w:w="70" w:type="dxa"/>
          <w:right w:w="70" w:type="dxa"/>
        </w:tblCellMar>
        <w:tblLook w:val="04A0" w:firstRow="1" w:lastRow="0" w:firstColumn="1" w:lastColumn="0" w:noHBand="0" w:noVBand="1"/>
      </w:tblPr>
      <w:tblGrid>
        <w:gridCol w:w="1135"/>
        <w:gridCol w:w="944"/>
        <w:gridCol w:w="1182"/>
        <w:gridCol w:w="1984"/>
        <w:gridCol w:w="1134"/>
        <w:gridCol w:w="1117"/>
        <w:gridCol w:w="868"/>
        <w:gridCol w:w="906"/>
        <w:gridCol w:w="1078"/>
      </w:tblGrid>
      <w:tr w:rsidR="000B5BFC" w:rsidRPr="000B5BFC" w:rsidTr="00C9435F">
        <w:trPr>
          <w:trHeight w:val="255"/>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PROPÓSITO</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PROGRAMA</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PROYECTO DE INVERSIÓN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jc w:val="center"/>
              <w:rPr>
                <w:rFonts w:ascii="Arial Narrow" w:eastAsia="Times New Roman" w:hAnsi="Arial Narrow" w:cs="Calibri"/>
                <w:b/>
                <w:bCs/>
                <w:color w:val="000000"/>
                <w:sz w:val="16"/>
                <w:szCs w:val="18"/>
                <w:lang w:eastAsia="es-CO"/>
              </w:rPr>
            </w:pPr>
            <w:r w:rsidRPr="000B5BFC">
              <w:rPr>
                <w:rFonts w:ascii="Arial Narrow" w:eastAsia="Times New Roman" w:hAnsi="Arial Narrow" w:cs="Calibri"/>
                <w:b/>
                <w:bCs/>
                <w:color w:val="000000"/>
                <w:sz w:val="16"/>
                <w:szCs w:val="18"/>
                <w:lang w:eastAsia="es-CO"/>
              </w:rPr>
              <w:t>META 2020-2024</w:t>
            </w:r>
          </w:p>
        </w:tc>
        <w:tc>
          <w:tcPr>
            <w:tcW w:w="5103" w:type="dxa"/>
            <w:gridSpan w:val="5"/>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META FÍSICA</w:t>
            </w:r>
          </w:p>
        </w:tc>
      </w:tr>
      <w:tr w:rsidR="000B5BFC" w:rsidRPr="000B5BFC" w:rsidTr="00C9435F">
        <w:trPr>
          <w:trHeight w:val="839"/>
          <w:tblHeader/>
        </w:trPr>
        <w:tc>
          <w:tcPr>
            <w:tcW w:w="1135"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94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1182"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198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B5BFC" w:rsidRPr="000B5BFC" w:rsidRDefault="000B5BFC" w:rsidP="000B5BFC">
            <w:pPr>
              <w:rPr>
                <w:rFonts w:ascii="Arial Narrow" w:eastAsia="Times New Roman" w:hAnsi="Arial Narrow" w:cs="Calibri"/>
                <w:b/>
                <w:bCs/>
                <w:color w:val="000000"/>
                <w:sz w:val="18"/>
                <w:szCs w:val="18"/>
                <w:lang w:eastAsia="es-CO"/>
              </w:rPr>
            </w:pP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PROGRAMADO ACUMULADO 2020-2024</w:t>
            </w:r>
          </w:p>
        </w:tc>
        <w:tc>
          <w:tcPr>
            <w:tcW w:w="1117"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xml:space="preserve"> PROGRAMADO  2021 </w:t>
            </w:r>
          </w:p>
        </w:tc>
        <w:tc>
          <w:tcPr>
            <w:tcW w:w="868"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xml:space="preserve"> EJECUTADO 2021 </w:t>
            </w:r>
          </w:p>
        </w:tc>
        <w:tc>
          <w:tcPr>
            <w:tcW w:w="906"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EJECUCIÓN 2021</w:t>
            </w:r>
          </w:p>
        </w:tc>
        <w:tc>
          <w:tcPr>
            <w:tcW w:w="1078" w:type="dxa"/>
            <w:tcBorders>
              <w:top w:val="nil"/>
              <w:left w:val="nil"/>
              <w:bottom w:val="single" w:sz="4" w:space="0" w:color="auto"/>
              <w:right w:val="single" w:sz="4" w:space="0" w:color="auto"/>
            </w:tcBorders>
            <w:shd w:val="clear" w:color="auto" w:fill="E2EFD9" w:themeFill="accent6" w:themeFillTint="33"/>
            <w:vAlign w:val="center"/>
            <w:hideMark/>
          </w:tcPr>
          <w:p w:rsidR="000B5BFC" w:rsidRPr="000B5BFC" w:rsidRDefault="000B5BFC" w:rsidP="000B5BFC">
            <w:pPr>
              <w:jc w:val="center"/>
              <w:rPr>
                <w:rFonts w:ascii="Arial Narrow" w:eastAsia="Times New Roman" w:hAnsi="Arial Narrow" w:cs="Calibri"/>
                <w:b/>
                <w:bCs/>
                <w:color w:val="000000"/>
                <w:sz w:val="14"/>
                <w:szCs w:val="14"/>
                <w:lang w:eastAsia="es-CO"/>
              </w:rPr>
            </w:pPr>
            <w:r w:rsidRPr="000B5BFC">
              <w:rPr>
                <w:rFonts w:ascii="Arial Narrow" w:eastAsia="Times New Roman" w:hAnsi="Arial Narrow" w:cs="Calibri"/>
                <w:b/>
                <w:bCs/>
                <w:color w:val="000000"/>
                <w:sz w:val="14"/>
                <w:szCs w:val="14"/>
                <w:lang w:eastAsia="es-CO"/>
              </w:rPr>
              <w:t>% EJECUCIÓN TOTAL PDD</w:t>
            </w:r>
          </w:p>
        </w:tc>
      </w:tr>
      <w:tr w:rsidR="000B5BFC" w:rsidRPr="000B5BFC" w:rsidTr="000B5BFC">
        <w:trPr>
          <w:trHeight w:val="69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6"/>
                <w:szCs w:val="18"/>
                <w:lang w:eastAsia="es-CO"/>
              </w:rPr>
            </w:pPr>
            <w:r w:rsidRPr="000B5BFC">
              <w:rPr>
                <w:rFonts w:ascii="Arial Narrow" w:eastAsia="Times New Roman" w:hAnsi="Arial Narrow" w:cs="Calibri"/>
                <w:color w:val="000000"/>
                <w:sz w:val="16"/>
                <w:szCs w:val="18"/>
                <w:lang w:eastAsia="es-CO"/>
              </w:rPr>
              <w:t>Hacer un nuevo contrato social con igualdad de oportunidades para la inclusión social, productiva y política</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Formación integral: más y mejor tiempo en los colegios</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7601 - Formación en patrimonio cultural en el ciclo integral de educación para la vida en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1. Beneficiar a 6800 personas en Procesos Integrales de Formación en Patrimonio Cultural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6.800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883</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864</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97,85%</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12,71%</w:t>
            </w:r>
          </w:p>
        </w:tc>
      </w:tr>
      <w:tr w:rsidR="000B5BFC" w:rsidRPr="000B5BFC" w:rsidTr="000B5BFC">
        <w:trPr>
          <w:trHeight w:val="933"/>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2. Beneficiar a 200 personas en el Proceso de Formación a Formadores en Patrimonio Cultural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200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32</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32,00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16,00%</w:t>
            </w:r>
          </w:p>
        </w:tc>
      </w:tr>
      <w:tr w:rsidR="000B5BFC" w:rsidRPr="000B5BFC" w:rsidTr="000B5BFC">
        <w:trPr>
          <w:trHeight w:val="70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Creación y vida cotidiana: Apropiación ciudadana del arte, la cultura y el patrimonio, para la democracia cultural</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7611 - Desarrollo de acciones integrales de valoración y recuperación de Bienes y Sectores de Interés Cultural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1. Realizar 700 Intervenciones en Bienes de Interés Cultural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700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340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344</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101,21%</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49,16%</w:t>
            </w:r>
          </w:p>
        </w:tc>
      </w:tr>
      <w:tr w:rsidR="000B5BFC" w:rsidRPr="000B5BFC" w:rsidTr="000B5BFC">
        <w:trPr>
          <w:trHeight w:val="984"/>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2. Realizar 1 Proceso de Identificación, Valoración y Documentación de Bienes de Interés Cultural y Espacios Públicos Patrimoniales</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0,10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0,10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w:t>
            </w:r>
          </w:p>
        </w:tc>
      </w:tr>
      <w:tr w:rsidR="000B5BFC" w:rsidRPr="000B5BFC" w:rsidTr="000B5BFC">
        <w:trPr>
          <w:trHeight w:val="984"/>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3. Orientar y Atender el 100 por ciento de las Solicitudes de Recuperación, Protección y Conservación del Patrimonio Cultural del Distrito Capital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r w:rsidR="000B5BFC" w:rsidRPr="000B5BFC" w:rsidTr="000B5BFC">
        <w:trPr>
          <w:trHeight w:val="433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7639 - Consolidación de la capacidad institucional y ciudadana para la territorialización, apropiación, fomento, salvaguardia y divulgación del Patrimonio Cultural en Bogotá</w:t>
            </w:r>
          </w:p>
          <w:p w:rsidR="001F6F85" w:rsidRDefault="001F6F85" w:rsidP="000B5BFC">
            <w:pPr>
              <w:rPr>
                <w:rFonts w:ascii="Arial Narrow" w:eastAsia="Times New Roman" w:hAnsi="Arial Narrow" w:cs="Calibri"/>
                <w:color w:val="000000"/>
                <w:sz w:val="14"/>
                <w:szCs w:val="14"/>
                <w:lang w:eastAsia="es-CO"/>
              </w:rPr>
            </w:pPr>
          </w:p>
          <w:p w:rsidR="001F6F85" w:rsidRDefault="001F6F85" w:rsidP="000B5BFC">
            <w:pPr>
              <w:rPr>
                <w:rFonts w:ascii="Arial Narrow" w:eastAsia="Times New Roman" w:hAnsi="Arial Narrow" w:cs="Calibri"/>
                <w:color w:val="000000"/>
                <w:sz w:val="14"/>
                <w:szCs w:val="14"/>
                <w:lang w:eastAsia="es-CO"/>
              </w:rPr>
            </w:pPr>
          </w:p>
          <w:p w:rsidR="001F6F85" w:rsidRDefault="001F6F85" w:rsidP="000B5BFC">
            <w:pPr>
              <w:rPr>
                <w:rFonts w:ascii="Arial Narrow" w:eastAsia="Times New Roman" w:hAnsi="Arial Narrow" w:cs="Calibri"/>
                <w:color w:val="000000"/>
                <w:sz w:val="14"/>
                <w:szCs w:val="14"/>
                <w:lang w:eastAsia="es-CO"/>
              </w:rPr>
            </w:pPr>
          </w:p>
          <w:p w:rsidR="001F6F85" w:rsidRDefault="001F6F85" w:rsidP="000B5BFC">
            <w:pPr>
              <w:rPr>
                <w:rFonts w:ascii="Arial Narrow" w:eastAsia="Times New Roman" w:hAnsi="Arial Narrow" w:cs="Calibri"/>
                <w:color w:val="000000"/>
                <w:sz w:val="14"/>
                <w:szCs w:val="14"/>
                <w:lang w:eastAsia="es-CO"/>
              </w:rPr>
            </w:pPr>
          </w:p>
          <w:p w:rsidR="001F6F85" w:rsidRPr="000B5BFC" w:rsidRDefault="001F6F85"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Implementar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p w:rsidR="001F6F85" w:rsidRPr="000B5BFC" w:rsidRDefault="001F6F85" w:rsidP="000B5BFC">
            <w:pPr>
              <w:rPr>
                <w:rFonts w:ascii="Arial Narrow" w:eastAsia="Times New Roman" w:hAnsi="Arial Narrow" w:cs="Calibri"/>
                <w:color w:val="000000"/>
                <w:sz w:val="14"/>
                <w:szCs w:val="14"/>
                <w:lang w:eastAsia="es-CO"/>
              </w:rPr>
            </w:pPr>
          </w:p>
        </w:tc>
        <w:tc>
          <w:tcPr>
            <w:tcW w:w="1134" w:type="dxa"/>
            <w:tcBorders>
              <w:top w:val="nil"/>
              <w:left w:val="nil"/>
              <w:bottom w:val="single" w:sz="4" w:space="0" w:color="auto"/>
              <w:right w:val="single" w:sz="4" w:space="0" w:color="auto"/>
            </w:tcBorders>
            <w:shd w:val="clear" w:color="000000" w:fill="DDEBF7"/>
            <w:vAlign w:val="center"/>
            <w:hideMark/>
          </w:tcPr>
          <w:p w:rsidR="001F6F85" w:rsidRPr="000B5BFC" w:rsidRDefault="000B5BFC" w:rsidP="001F6F85">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0B5BFC">
        <w:trPr>
          <w:trHeight w:val="5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8"/>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 xml:space="preserve">2. Otorgar 250 Estímulos Apoyos Concertados y Alianzas Estratégicas para dinamizar la Estrategia Sectorial dirigida a </w:t>
            </w:r>
            <w:r w:rsidRPr="000B5BFC">
              <w:rPr>
                <w:rFonts w:ascii="Arial Narrow" w:eastAsia="Times New Roman" w:hAnsi="Arial Narrow" w:cs="Calibri"/>
                <w:color w:val="000000"/>
                <w:sz w:val="14"/>
                <w:szCs w:val="14"/>
                <w:lang w:eastAsia="es-CO"/>
              </w:rPr>
              <w:lastRenderedPageBreak/>
              <w:t>Fomentar los procesos Patrimoniales de la ciudad</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lastRenderedPageBreak/>
              <w:t>250,00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43</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42</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97,67%</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16,80%</w:t>
            </w:r>
          </w:p>
        </w:tc>
      </w:tr>
      <w:tr w:rsidR="000B5BFC" w:rsidRPr="000B5BFC" w:rsidTr="000B5BFC">
        <w:trPr>
          <w:trHeight w:val="637"/>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3. Gestionar 3 declaratorias de Patrimonio Cultural Inmaterial del Orden Distrital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1C5A8F">
        <w:trPr>
          <w:trHeight w:val="5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4. Realizar 1 proceso de Diagnóstico, Identificación y Documentación de Manifestaciones de Patrimonio Cultural Inmaterial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0B5BFC">
        <w:trPr>
          <w:trHeight w:val="91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Cambiar nuestros hábitos de vida para reverdecer a Bogotá y adaptarnos y mitigar la crisis climática</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Protección y valoración del patrimonio tangible e intangible en Bogotá y la región</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7649 - Consolidación de los patrimonios como referente de ordenamiento territorial en la ciudad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Generar la activación de 1 Parque Arqueológico de la Hacienda El Carmen (Usme) integrando borde Urbano y Rural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0,21</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0,21</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21,00%</w:t>
            </w:r>
          </w:p>
        </w:tc>
      </w:tr>
      <w:tr w:rsidR="000B5BFC" w:rsidRPr="000B5BFC" w:rsidTr="000B5BFC">
        <w:trPr>
          <w:trHeight w:val="1020"/>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2. Formular 4 Instrumentos de Planeación Territorial en Entornos Patrimoniales como determinante del Ordenamiento Territorial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4</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0,65</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0,64</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98,46%</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16,00%</w:t>
            </w:r>
          </w:p>
        </w:tc>
      </w:tr>
      <w:tr w:rsidR="000B5BFC" w:rsidRPr="000B5BFC" w:rsidTr="000B5BFC">
        <w:trPr>
          <w:trHeight w:val="765"/>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3. Gestionar 1 declaratoria de Sumapaz como Patrimonio de la Humanidad por la Unesco</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0B5BFC">
        <w:trPr>
          <w:trHeight w:val="926"/>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4. Activar 7 Entornos con presencia representativa de Patrimonio Cultural Material e Inmaterial, a través de procesos de Interacción Social, Artística y Cultural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7</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1,70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1,70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24,29%</w:t>
            </w:r>
          </w:p>
        </w:tc>
      </w:tr>
      <w:tr w:rsidR="000B5BFC" w:rsidRPr="000B5BFC" w:rsidTr="001C5A8F">
        <w:trPr>
          <w:trHeight w:val="733"/>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5. Gestionar 1 etapa de la implementación del Plan Especial de Manejo y Protección PEMP del Centro Histórico de Bogotá</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r w:rsidR="000B5BFC" w:rsidRPr="000B5BFC" w:rsidTr="000B5BFC">
        <w:trPr>
          <w:trHeight w:val="703"/>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Inspirar confianza y legitimidad para vivir sin miedo y ser epicentro de cultura ciudadana, paz y reconciliación</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Conciencia y cultura ciudadana para la seguridad, la convivencia y la construcción de confianza</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7612 - Recuperación de Columbarios ubicados en el Globo B del Cementerio Central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Crear 1 espacio que integre Dimensiones Patrimoniales y de Memoria en la ciudad</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0,29</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0,26</w:t>
            </w:r>
          </w:p>
        </w:tc>
        <w:tc>
          <w:tcPr>
            <w:tcW w:w="906" w:type="dxa"/>
            <w:tcBorders>
              <w:top w:val="nil"/>
              <w:left w:val="nil"/>
              <w:bottom w:val="single" w:sz="4" w:space="0" w:color="auto"/>
              <w:right w:val="single" w:sz="4" w:space="0" w:color="auto"/>
            </w:tcBorders>
            <w:shd w:val="clear" w:color="000000" w:fill="FFE699"/>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89,66%</w:t>
            </w:r>
          </w:p>
        </w:tc>
        <w:tc>
          <w:tcPr>
            <w:tcW w:w="1078" w:type="dxa"/>
            <w:tcBorders>
              <w:top w:val="nil"/>
              <w:left w:val="nil"/>
              <w:bottom w:val="single" w:sz="4" w:space="0" w:color="auto"/>
              <w:right w:val="single" w:sz="4" w:space="0" w:color="auto"/>
            </w:tcBorders>
            <w:shd w:val="clear" w:color="000000" w:fill="FFE699"/>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26,00%</w:t>
            </w:r>
          </w:p>
        </w:tc>
      </w:tr>
      <w:tr w:rsidR="000B5BFC" w:rsidRPr="000B5BFC" w:rsidTr="000B5BFC">
        <w:trPr>
          <w:trHeight w:val="698"/>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4"/>
                <w:szCs w:val="14"/>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2. Realizar 50 talleres participativos con la comunidad y actores sociales</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50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20,00%</w:t>
            </w:r>
          </w:p>
        </w:tc>
      </w:tr>
      <w:tr w:rsidR="000B5BFC" w:rsidRPr="000B5BFC" w:rsidTr="001C5A8F">
        <w:trPr>
          <w:trHeight w:val="75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Construir Bogotá Región con gobierno abierto, transparente y ciudadanía consciente</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jc w:val="cente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Gestión Pública Efectiva</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7597 - Fortalecimiento de la gestión del Instituto Distrital de Patrimonio Cultural de Bogotá</w:t>
            </w: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4"/>
                <w:lang w:eastAsia="es-CO"/>
              </w:rPr>
            </w:pPr>
            <w:r w:rsidRPr="000B5BFC">
              <w:rPr>
                <w:rFonts w:ascii="Arial Narrow" w:eastAsia="Times New Roman" w:hAnsi="Arial Narrow" w:cs="Calibri"/>
                <w:color w:val="000000"/>
                <w:sz w:val="14"/>
                <w:szCs w:val="14"/>
                <w:lang w:eastAsia="es-CO"/>
              </w:rPr>
              <w:t>1. Aumentar en 10 puntos el Índice de Desempeño Institucional, mediante la implementación del Modelo Integrado de Planeación y Gestión- MIPG</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3,03</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3,03</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30,30%</w:t>
            </w:r>
          </w:p>
        </w:tc>
      </w:tr>
      <w:tr w:rsidR="000B5BFC" w:rsidRPr="000B5BFC" w:rsidTr="001C5A8F">
        <w:trPr>
          <w:trHeight w:val="732"/>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2. Realizar el 100 por ciento de la Administración, Mantenimiento y Adecuación de la Infraestructura Institucional</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r w:rsidR="000B5BFC" w:rsidRPr="000B5BFC" w:rsidTr="000B5BFC">
        <w:trPr>
          <w:trHeight w:val="1020"/>
        </w:trPr>
        <w:tc>
          <w:tcPr>
            <w:tcW w:w="1135"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944"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182" w:type="dxa"/>
            <w:vMerge/>
            <w:tcBorders>
              <w:top w:val="nil"/>
              <w:left w:val="single" w:sz="4" w:space="0" w:color="auto"/>
              <w:bottom w:val="single" w:sz="4" w:space="0" w:color="auto"/>
              <w:right w:val="single" w:sz="4" w:space="0" w:color="auto"/>
            </w:tcBorders>
            <w:vAlign w:val="center"/>
            <w:hideMark/>
          </w:tcPr>
          <w:p w:rsidR="000B5BFC" w:rsidRPr="000B5BFC" w:rsidRDefault="000B5BFC" w:rsidP="000B5BFC">
            <w:pPr>
              <w:rPr>
                <w:rFonts w:ascii="Arial Narrow" w:eastAsia="Times New Roman" w:hAnsi="Arial Narrow" w:cs="Calibri"/>
                <w:color w:val="000000"/>
                <w:sz w:val="16"/>
                <w:szCs w:val="18"/>
                <w:lang w:eastAsia="es-CO"/>
              </w:rPr>
            </w:pPr>
          </w:p>
        </w:tc>
        <w:tc>
          <w:tcPr>
            <w:tcW w:w="1984" w:type="dxa"/>
            <w:tcBorders>
              <w:top w:val="nil"/>
              <w:left w:val="nil"/>
              <w:bottom w:val="single" w:sz="4" w:space="0" w:color="auto"/>
              <w:right w:val="single" w:sz="4" w:space="0" w:color="auto"/>
            </w:tcBorders>
            <w:shd w:val="clear" w:color="000000" w:fill="FFFFFF"/>
            <w:vAlign w:val="center"/>
            <w:hideMark/>
          </w:tcPr>
          <w:p w:rsidR="000B5BFC" w:rsidRPr="000B5BFC" w:rsidRDefault="000B5BFC" w:rsidP="000B5BFC">
            <w:pPr>
              <w:rPr>
                <w:rFonts w:ascii="Arial Narrow" w:eastAsia="Times New Roman" w:hAnsi="Arial Narrow" w:cs="Calibri"/>
                <w:color w:val="000000"/>
                <w:sz w:val="14"/>
                <w:szCs w:val="18"/>
                <w:lang w:eastAsia="es-CO"/>
              </w:rPr>
            </w:pPr>
            <w:r w:rsidRPr="000B5BFC">
              <w:rPr>
                <w:rFonts w:ascii="Arial Narrow" w:eastAsia="Times New Roman" w:hAnsi="Arial Narrow" w:cs="Calibri"/>
                <w:color w:val="000000"/>
                <w:sz w:val="14"/>
                <w:szCs w:val="18"/>
                <w:lang w:eastAsia="es-CO"/>
              </w:rPr>
              <w:t>3. Implementar el 100 por ciento de las Estrategias de Fortalecimiento de la Comunicación Pública</w:t>
            </w:r>
          </w:p>
        </w:tc>
        <w:tc>
          <w:tcPr>
            <w:tcW w:w="1134"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w:t>
            </w:r>
          </w:p>
        </w:tc>
        <w:tc>
          <w:tcPr>
            <w:tcW w:w="1117"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868" w:type="dxa"/>
            <w:tcBorders>
              <w:top w:val="nil"/>
              <w:left w:val="nil"/>
              <w:bottom w:val="single" w:sz="4" w:space="0" w:color="auto"/>
              <w:right w:val="single" w:sz="4" w:space="0" w:color="auto"/>
            </w:tcBorders>
            <w:shd w:val="clear" w:color="000000" w:fill="DDEBF7"/>
            <w:vAlign w:val="center"/>
            <w:hideMark/>
          </w:tcPr>
          <w:p w:rsidR="000B5BFC" w:rsidRPr="000B5BFC" w:rsidRDefault="000B5BFC" w:rsidP="000B5BFC">
            <w:pPr>
              <w:jc w:val="center"/>
              <w:rPr>
                <w:rFonts w:ascii="Arial Narrow" w:eastAsia="Times New Roman" w:hAnsi="Arial Narrow" w:cs="Calibri"/>
                <w:color w:val="000000"/>
                <w:sz w:val="18"/>
                <w:szCs w:val="18"/>
                <w:lang w:eastAsia="es-CO"/>
              </w:rPr>
            </w:pPr>
            <w:r w:rsidRPr="000B5BFC">
              <w:rPr>
                <w:rFonts w:ascii="Arial Narrow" w:eastAsia="Times New Roman" w:hAnsi="Arial Narrow" w:cs="Calibri"/>
                <w:color w:val="000000"/>
                <w:sz w:val="18"/>
                <w:szCs w:val="18"/>
                <w:lang w:eastAsia="es-CO"/>
              </w:rPr>
              <w:t>100,00</w:t>
            </w:r>
          </w:p>
        </w:tc>
        <w:tc>
          <w:tcPr>
            <w:tcW w:w="906"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c>
          <w:tcPr>
            <w:tcW w:w="1078" w:type="dxa"/>
            <w:tcBorders>
              <w:top w:val="nil"/>
              <w:left w:val="nil"/>
              <w:bottom w:val="single" w:sz="4" w:space="0" w:color="auto"/>
              <w:right w:val="single" w:sz="4" w:space="0" w:color="auto"/>
            </w:tcBorders>
            <w:shd w:val="clear" w:color="000000" w:fill="92D050"/>
            <w:vAlign w:val="center"/>
            <w:hideMark/>
          </w:tcPr>
          <w:p w:rsidR="000B5BFC" w:rsidRPr="000B5BFC" w:rsidRDefault="000B5BFC" w:rsidP="000B5BFC">
            <w:pPr>
              <w:jc w:val="center"/>
              <w:rPr>
                <w:rFonts w:ascii="Arial Narrow" w:eastAsia="Times New Roman" w:hAnsi="Arial Narrow" w:cs="Calibri"/>
                <w:b/>
                <w:bCs/>
                <w:color w:val="000000"/>
                <w:sz w:val="18"/>
                <w:szCs w:val="18"/>
                <w:lang w:eastAsia="es-CO"/>
              </w:rPr>
            </w:pPr>
            <w:r w:rsidRPr="000B5BFC">
              <w:rPr>
                <w:rFonts w:ascii="Arial Narrow" w:eastAsia="Times New Roman" w:hAnsi="Arial Narrow" w:cs="Calibri"/>
                <w:b/>
                <w:bCs/>
                <w:color w:val="000000"/>
                <w:sz w:val="18"/>
                <w:szCs w:val="18"/>
                <w:lang w:eastAsia="es-CO"/>
              </w:rPr>
              <w:t>100,00%</w:t>
            </w:r>
          </w:p>
        </w:tc>
      </w:tr>
    </w:tbl>
    <w:p w:rsidR="00624F91" w:rsidRPr="001F6F85" w:rsidRDefault="001F6F85" w:rsidP="001C5A8F">
      <w:pPr>
        <w:pBdr>
          <w:top w:val="nil"/>
          <w:left w:val="nil"/>
          <w:bottom w:val="nil"/>
          <w:right w:val="nil"/>
          <w:between w:val="nil"/>
        </w:pBdr>
        <w:tabs>
          <w:tab w:val="left" w:pos="540"/>
        </w:tabs>
        <w:ind w:left="426"/>
        <w:jc w:val="both"/>
        <w:rPr>
          <w:i/>
          <w:color w:val="000000"/>
          <w:sz w:val="16"/>
        </w:rPr>
      </w:pPr>
      <w:r w:rsidRPr="001F6F85">
        <w:rPr>
          <w:i/>
          <w:color w:val="000000"/>
          <w:sz w:val="16"/>
        </w:rPr>
        <w:t>Fuente: Reporte S</w:t>
      </w:r>
      <w:r w:rsidR="00686DF8">
        <w:rPr>
          <w:i/>
          <w:color w:val="000000"/>
          <w:sz w:val="16"/>
        </w:rPr>
        <w:t>EGPLAN</w:t>
      </w:r>
      <w:r w:rsidRPr="001F6F85">
        <w:rPr>
          <w:i/>
          <w:color w:val="000000"/>
          <w:sz w:val="16"/>
        </w:rPr>
        <w:t xml:space="preserve"> </w:t>
      </w:r>
      <w:r>
        <w:rPr>
          <w:i/>
          <w:color w:val="000000"/>
          <w:sz w:val="16"/>
        </w:rPr>
        <w:t>31 de diciembre 2021</w:t>
      </w:r>
    </w:p>
    <w:p w:rsidR="00624F91" w:rsidRDefault="00624F91" w:rsidP="001C5A8F">
      <w:pPr>
        <w:pBdr>
          <w:top w:val="nil"/>
          <w:left w:val="nil"/>
          <w:bottom w:val="nil"/>
          <w:right w:val="nil"/>
          <w:between w:val="nil"/>
        </w:pBdr>
        <w:tabs>
          <w:tab w:val="left" w:pos="540"/>
        </w:tabs>
        <w:ind w:left="426"/>
        <w:jc w:val="both"/>
        <w:rPr>
          <w:b/>
          <w:color w:val="000000"/>
        </w:rPr>
      </w:pPr>
    </w:p>
    <w:p w:rsidR="00A409AC" w:rsidRDefault="00A409AC" w:rsidP="001C5A8F">
      <w:pPr>
        <w:pBdr>
          <w:top w:val="nil"/>
          <w:left w:val="nil"/>
          <w:bottom w:val="nil"/>
          <w:right w:val="nil"/>
          <w:between w:val="nil"/>
        </w:pBdr>
        <w:tabs>
          <w:tab w:val="left" w:pos="540"/>
        </w:tabs>
        <w:ind w:left="426"/>
        <w:jc w:val="both"/>
        <w:rPr>
          <w:b/>
          <w:color w:val="000000"/>
        </w:rPr>
      </w:pPr>
    </w:p>
    <w:p w:rsidR="00A409AC" w:rsidRDefault="00A409AC" w:rsidP="00C9435F">
      <w:pPr>
        <w:pBdr>
          <w:top w:val="nil"/>
          <w:left w:val="nil"/>
          <w:bottom w:val="nil"/>
          <w:right w:val="nil"/>
          <w:between w:val="nil"/>
        </w:pBdr>
        <w:tabs>
          <w:tab w:val="left" w:pos="540"/>
        </w:tabs>
        <w:jc w:val="both"/>
        <w:rPr>
          <w:b/>
          <w:color w:val="000000"/>
        </w:rPr>
      </w:pPr>
    </w:p>
    <w:p w:rsidR="00A409AC" w:rsidRDefault="00A409AC" w:rsidP="001C5A8F">
      <w:pPr>
        <w:pBdr>
          <w:top w:val="nil"/>
          <w:left w:val="nil"/>
          <w:bottom w:val="nil"/>
          <w:right w:val="nil"/>
          <w:between w:val="nil"/>
        </w:pBdr>
        <w:tabs>
          <w:tab w:val="left" w:pos="540"/>
        </w:tabs>
        <w:ind w:left="426"/>
        <w:jc w:val="both"/>
        <w:rPr>
          <w:b/>
          <w:color w:val="000000"/>
        </w:rPr>
      </w:pPr>
    </w:p>
    <w:p w:rsidR="00A409AC" w:rsidRDefault="00A409AC" w:rsidP="00A409AC">
      <w:pPr>
        <w:pBdr>
          <w:top w:val="nil"/>
          <w:left w:val="nil"/>
          <w:bottom w:val="nil"/>
          <w:right w:val="nil"/>
          <w:between w:val="nil"/>
        </w:pBdr>
        <w:tabs>
          <w:tab w:val="left" w:pos="540"/>
        </w:tabs>
        <w:jc w:val="both"/>
        <w:rPr>
          <w:highlight w:val="yellow"/>
        </w:rPr>
      </w:pPr>
    </w:p>
    <w:p w:rsidR="00C9435F" w:rsidRDefault="00C9435F" w:rsidP="00C9435F">
      <w:pPr>
        <w:pStyle w:val="Prrafodelista"/>
        <w:numPr>
          <w:ilvl w:val="1"/>
          <w:numId w:val="5"/>
        </w:numPr>
        <w:pBdr>
          <w:top w:val="nil"/>
          <w:left w:val="nil"/>
          <w:bottom w:val="nil"/>
          <w:right w:val="nil"/>
          <w:between w:val="nil"/>
        </w:pBdr>
        <w:tabs>
          <w:tab w:val="left" w:pos="540"/>
        </w:tabs>
        <w:jc w:val="both"/>
        <w:rPr>
          <w:b/>
          <w:color w:val="000000"/>
        </w:rPr>
      </w:pPr>
      <w:r>
        <w:rPr>
          <w:b/>
          <w:color w:val="000000"/>
        </w:rPr>
        <w:t>EJECUCIÓN PRESUPUESTAL VIGENCIA 2021</w:t>
      </w:r>
    </w:p>
    <w:p w:rsidR="00A409AC" w:rsidRDefault="00A409AC" w:rsidP="00A409AC">
      <w:pPr>
        <w:pBdr>
          <w:top w:val="nil"/>
          <w:left w:val="nil"/>
          <w:bottom w:val="nil"/>
          <w:right w:val="nil"/>
          <w:between w:val="nil"/>
        </w:pBdr>
        <w:tabs>
          <w:tab w:val="left" w:pos="540"/>
        </w:tabs>
        <w:jc w:val="both"/>
        <w:rPr>
          <w:b/>
          <w:color w:val="000000"/>
        </w:rPr>
      </w:pPr>
    </w:p>
    <w:p w:rsidR="00A409AC" w:rsidRDefault="00A409AC" w:rsidP="00E44624">
      <w:pPr>
        <w:pBdr>
          <w:top w:val="nil"/>
          <w:left w:val="nil"/>
          <w:bottom w:val="nil"/>
          <w:right w:val="nil"/>
          <w:between w:val="nil"/>
        </w:pBdr>
        <w:tabs>
          <w:tab w:val="left" w:pos="540"/>
        </w:tabs>
        <w:ind w:left="1701" w:firstLine="142"/>
        <w:jc w:val="both"/>
        <w:rPr>
          <w:b/>
          <w:color w:val="000000"/>
        </w:rPr>
      </w:pPr>
      <w:r>
        <w:rPr>
          <w:b/>
          <w:noProof/>
          <w:color w:val="000000"/>
          <w:lang w:val="es-MX" w:eastAsia="es-MX"/>
        </w:rPr>
        <w:drawing>
          <wp:inline distT="0" distB="0" distL="0" distR="0" wp14:anchorId="6A70D497">
            <wp:extent cx="3167660" cy="20233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6960" cy="2029262"/>
                    </a:xfrm>
                    <a:prstGeom prst="rect">
                      <a:avLst/>
                    </a:prstGeom>
                    <a:noFill/>
                  </pic:spPr>
                </pic:pic>
              </a:graphicData>
            </a:graphic>
          </wp:inline>
        </w:drawing>
      </w:r>
    </w:p>
    <w:p w:rsidR="00A409AC" w:rsidRPr="00A409AC" w:rsidRDefault="00A409AC" w:rsidP="00A409AC">
      <w:pPr>
        <w:pBdr>
          <w:top w:val="nil"/>
          <w:left w:val="nil"/>
          <w:bottom w:val="nil"/>
          <w:right w:val="nil"/>
          <w:between w:val="nil"/>
        </w:pBdr>
        <w:tabs>
          <w:tab w:val="left" w:pos="540"/>
        </w:tabs>
        <w:jc w:val="both"/>
        <w:rPr>
          <w:i/>
          <w:color w:val="000000"/>
          <w:sz w:val="14"/>
        </w:rPr>
      </w:pPr>
      <w:r>
        <w:rPr>
          <w:i/>
          <w:color w:val="000000"/>
          <w:sz w:val="14"/>
        </w:rPr>
        <w:t xml:space="preserve">                                  </w:t>
      </w:r>
      <w:r w:rsidR="00E44624">
        <w:rPr>
          <w:i/>
          <w:color w:val="000000"/>
          <w:sz w:val="14"/>
        </w:rPr>
        <w:t xml:space="preserve">            </w:t>
      </w:r>
      <w:r>
        <w:rPr>
          <w:i/>
          <w:color w:val="000000"/>
          <w:sz w:val="14"/>
        </w:rPr>
        <w:t xml:space="preserve">  </w:t>
      </w:r>
      <w:r w:rsidRPr="00A409AC">
        <w:rPr>
          <w:i/>
          <w:color w:val="000000"/>
          <w:sz w:val="14"/>
        </w:rPr>
        <w:t>Fuente Ejecución presupuestal 31 diciembre 2021</w:t>
      </w:r>
    </w:p>
    <w:p w:rsidR="00A409AC" w:rsidRDefault="00A409AC" w:rsidP="00A409AC">
      <w:pPr>
        <w:pBdr>
          <w:top w:val="nil"/>
          <w:left w:val="nil"/>
          <w:bottom w:val="nil"/>
          <w:right w:val="nil"/>
          <w:between w:val="nil"/>
        </w:pBdr>
        <w:tabs>
          <w:tab w:val="left" w:pos="540"/>
        </w:tabs>
        <w:jc w:val="both"/>
        <w:rPr>
          <w:b/>
          <w:color w:val="000000"/>
        </w:rPr>
      </w:pPr>
    </w:p>
    <w:p w:rsidR="00A409AC" w:rsidRDefault="00A409AC" w:rsidP="00674D3B">
      <w:pPr>
        <w:tabs>
          <w:tab w:val="left" w:pos="540"/>
        </w:tabs>
        <w:jc w:val="both"/>
      </w:pPr>
      <w:r w:rsidRPr="00A409AC">
        <w:rPr>
          <w:noProof/>
          <w:lang w:val="es-MX" w:eastAsia="es-MX"/>
        </w:rPr>
        <w:drawing>
          <wp:inline distT="0" distB="0" distL="0" distR="0">
            <wp:extent cx="5612130" cy="7250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25023"/>
                    </a:xfrm>
                    <a:prstGeom prst="rect">
                      <a:avLst/>
                    </a:prstGeom>
                    <a:noFill/>
                    <a:ln>
                      <a:noFill/>
                    </a:ln>
                  </pic:spPr>
                </pic:pic>
              </a:graphicData>
            </a:graphic>
          </wp:inline>
        </w:drawing>
      </w:r>
    </w:p>
    <w:p w:rsidR="00A409AC" w:rsidRPr="00A409AC" w:rsidRDefault="00A409AC" w:rsidP="00674D3B">
      <w:pPr>
        <w:tabs>
          <w:tab w:val="left" w:pos="540"/>
        </w:tabs>
        <w:jc w:val="both"/>
        <w:rPr>
          <w:i/>
          <w:sz w:val="14"/>
        </w:rPr>
      </w:pPr>
      <w:r w:rsidRPr="00A409AC">
        <w:rPr>
          <w:i/>
          <w:sz w:val="14"/>
        </w:rPr>
        <w:t>Miles de millones de pesos</w:t>
      </w:r>
    </w:p>
    <w:p w:rsidR="00A409AC" w:rsidRDefault="00A409AC" w:rsidP="00674D3B">
      <w:pPr>
        <w:tabs>
          <w:tab w:val="left" w:pos="540"/>
        </w:tabs>
        <w:jc w:val="both"/>
      </w:pPr>
    </w:p>
    <w:p w:rsidR="00A409AC" w:rsidRDefault="00A409AC" w:rsidP="00A409AC">
      <w:pPr>
        <w:tabs>
          <w:tab w:val="left" w:pos="540"/>
        </w:tabs>
        <w:ind w:left="851"/>
        <w:jc w:val="both"/>
      </w:pPr>
      <w:r>
        <w:rPr>
          <w:noProof/>
          <w:lang w:val="es-MX" w:eastAsia="es-MX"/>
        </w:rPr>
        <w:drawing>
          <wp:inline distT="0" distB="0" distL="0" distR="0" wp14:anchorId="24EB6EDB">
            <wp:extent cx="4373420" cy="3237576"/>
            <wp:effectExtent l="0" t="0" r="825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9385" cy="3241991"/>
                    </a:xfrm>
                    <a:prstGeom prst="rect">
                      <a:avLst/>
                    </a:prstGeom>
                    <a:noFill/>
                  </pic:spPr>
                </pic:pic>
              </a:graphicData>
            </a:graphic>
          </wp:inline>
        </w:drawing>
      </w:r>
    </w:p>
    <w:p w:rsidR="00A409AC" w:rsidRDefault="00A409AC" w:rsidP="00674D3B">
      <w:pPr>
        <w:tabs>
          <w:tab w:val="left" w:pos="540"/>
        </w:tabs>
        <w:jc w:val="both"/>
      </w:pPr>
    </w:p>
    <w:p w:rsidR="00A409AC" w:rsidRDefault="00A409AC" w:rsidP="00674D3B">
      <w:pPr>
        <w:tabs>
          <w:tab w:val="left" w:pos="540"/>
        </w:tabs>
        <w:jc w:val="both"/>
      </w:pPr>
    </w:p>
    <w:p w:rsidR="00A409AC" w:rsidRDefault="00A409AC" w:rsidP="00674D3B">
      <w:pPr>
        <w:tabs>
          <w:tab w:val="left" w:pos="540"/>
        </w:tabs>
        <w:jc w:val="both"/>
      </w:pPr>
    </w:p>
    <w:p w:rsidR="00D72957" w:rsidRPr="00674D3B" w:rsidRDefault="00A20CD2" w:rsidP="00674D3B">
      <w:pPr>
        <w:tabs>
          <w:tab w:val="left" w:pos="540"/>
        </w:tabs>
        <w:jc w:val="both"/>
      </w:pPr>
      <w:r>
        <w:lastRenderedPageBreak/>
        <w:t>El presupuesto de gastos del IDPC asignado para el 202</w:t>
      </w:r>
      <w:r w:rsidR="00686DF8">
        <w:t>1</w:t>
      </w:r>
      <w:r>
        <w:t xml:space="preserve"> fue de $</w:t>
      </w:r>
      <w:r w:rsidR="00D72957" w:rsidRPr="00674D3B">
        <w:t xml:space="preserve"> 31.025.138.000 apropiación inicial, se presentó una modificación por valor de $ 439.999.362, quedando una apropiación vigente de $ 31.465.137.362, de los cuales se comprometió un total de $ 31.133.113.230 que corresponde al 98,94%</w:t>
      </w:r>
      <w:r w:rsidR="00674D3B" w:rsidRPr="00674D3B">
        <w:t>, presentando giros por valor de $ 27.462.774.374 lo que representa el 87,28%.</w:t>
      </w:r>
    </w:p>
    <w:p w:rsidR="003709F9" w:rsidRDefault="003709F9" w:rsidP="003709F9">
      <w:pPr>
        <w:pBdr>
          <w:top w:val="nil"/>
          <w:left w:val="nil"/>
          <w:bottom w:val="nil"/>
          <w:right w:val="nil"/>
          <w:between w:val="nil"/>
        </w:pBdr>
        <w:tabs>
          <w:tab w:val="left" w:pos="540"/>
        </w:tabs>
        <w:jc w:val="both"/>
        <w:rPr>
          <w:b/>
          <w:color w:val="000000"/>
        </w:rPr>
      </w:pPr>
    </w:p>
    <w:p w:rsidR="00C9435F" w:rsidRPr="00561A91" w:rsidRDefault="00C9435F" w:rsidP="00C9435F">
      <w:pPr>
        <w:pStyle w:val="Prrafodelista"/>
        <w:numPr>
          <w:ilvl w:val="1"/>
          <w:numId w:val="5"/>
        </w:numPr>
        <w:pBdr>
          <w:top w:val="nil"/>
          <w:left w:val="nil"/>
          <w:bottom w:val="nil"/>
          <w:right w:val="nil"/>
          <w:between w:val="nil"/>
        </w:pBdr>
        <w:tabs>
          <w:tab w:val="left" w:pos="540"/>
        </w:tabs>
        <w:jc w:val="both"/>
        <w:rPr>
          <w:b/>
          <w:color w:val="000000"/>
        </w:rPr>
      </w:pPr>
      <w:r w:rsidRPr="00561A91">
        <w:rPr>
          <w:b/>
          <w:color w:val="000000"/>
        </w:rPr>
        <w:t xml:space="preserve">GASTOS PROYECTOS DE </w:t>
      </w:r>
      <w:r>
        <w:rPr>
          <w:b/>
          <w:color w:val="000000"/>
        </w:rPr>
        <w:t>INVERSIÓN</w:t>
      </w:r>
    </w:p>
    <w:p w:rsidR="00762244" w:rsidRPr="00EF60A0" w:rsidRDefault="00A20CD2">
      <w:pPr>
        <w:tabs>
          <w:tab w:val="left" w:pos="540"/>
        </w:tabs>
        <w:jc w:val="right"/>
        <w:rPr>
          <w:i/>
          <w:sz w:val="16"/>
        </w:rPr>
      </w:pPr>
      <w:r w:rsidRPr="00EF60A0">
        <w:rPr>
          <w:i/>
          <w:sz w:val="16"/>
        </w:rPr>
        <w:t>Cifras en miles de pesos</w:t>
      </w:r>
    </w:p>
    <w:p w:rsidR="00674D3B" w:rsidRDefault="003709F9" w:rsidP="003709F9">
      <w:pPr>
        <w:tabs>
          <w:tab w:val="left" w:pos="540"/>
        </w:tabs>
        <w:ind w:left="-993"/>
        <w:jc w:val="both"/>
      </w:pPr>
      <w:r w:rsidRPr="003709F9">
        <w:rPr>
          <w:noProof/>
          <w:lang w:val="es-MX" w:eastAsia="es-MX"/>
        </w:rPr>
        <w:drawing>
          <wp:inline distT="0" distB="0" distL="0" distR="0">
            <wp:extent cx="7151370" cy="5277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5066" cy="5309847"/>
                    </a:xfrm>
                    <a:prstGeom prst="rect">
                      <a:avLst/>
                    </a:prstGeom>
                    <a:noFill/>
                    <a:ln>
                      <a:noFill/>
                    </a:ln>
                  </pic:spPr>
                </pic:pic>
              </a:graphicData>
            </a:graphic>
          </wp:inline>
        </w:drawing>
      </w:r>
    </w:p>
    <w:p w:rsidR="00674D3B" w:rsidRDefault="00674D3B">
      <w:pPr>
        <w:tabs>
          <w:tab w:val="left" w:pos="540"/>
        </w:tabs>
        <w:jc w:val="both"/>
      </w:pPr>
    </w:p>
    <w:p w:rsidR="009E2788" w:rsidRDefault="00A20CD2" w:rsidP="00CD1136">
      <w:pPr>
        <w:tabs>
          <w:tab w:val="left" w:pos="540"/>
        </w:tabs>
        <w:ind w:right="-801"/>
        <w:jc w:val="both"/>
      </w:pPr>
      <w:r>
        <w:t xml:space="preserve">La apropiación </w:t>
      </w:r>
      <w:r w:rsidR="009E2788">
        <w:t>correspondiente a proyectos de</w:t>
      </w:r>
      <w:r>
        <w:t xml:space="preserve"> inversión fue de $</w:t>
      </w:r>
      <w:r w:rsidR="009E2788">
        <w:t xml:space="preserve">24.304.000.000, se comprometió un total de $ 24.561.868.355 que corresponde al 99,3%, pendiente por comprometer $ 182.131.007 que corresponde al 0,7%, se presentaron giros frente a lo comprometido por valor de $ 21.070.547.661 que representa el 85,15% quedando pendiente por girar $ 3.491.320.694 lo que representa el 14,2%. </w:t>
      </w:r>
    </w:p>
    <w:p w:rsidR="00762244" w:rsidRDefault="00762244" w:rsidP="00CD1136">
      <w:pPr>
        <w:tabs>
          <w:tab w:val="left" w:pos="540"/>
        </w:tabs>
        <w:ind w:right="-801"/>
        <w:jc w:val="both"/>
        <w:rPr>
          <w:b/>
          <w:highlight w:val="yellow"/>
        </w:rPr>
      </w:pPr>
    </w:p>
    <w:p w:rsidR="00C9435F" w:rsidRPr="00561A91" w:rsidRDefault="00C9435F" w:rsidP="00C9435F">
      <w:pPr>
        <w:pStyle w:val="Prrafodelista"/>
        <w:numPr>
          <w:ilvl w:val="1"/>
          <w:numId w:val="5"/>
        </w:numPr>
        <w:pBdr>
          <w:top w:val="nil"/>
          <w:left w:val="nil"/>
          <w:bottom w:val="nil"/>
          <w:right w:val="nil"/>
          <w:between w:val="nil"/>
        </w:pBdr>
        <w:tabs>
          <w:tab w:val="left" w:pos="540"/>
        </w:tabs>
        <w:jc w:val="both"/>
        <w:rPr>
          <w:b/>
          <w:color w:val="000000"/>
        </w:rPr>
      </w:pPr>
      <w:r w:rsidRPr="00561A91">
        <w:rPr>
          <w:b/>
          <w:color w:val="000000"/>
        </w:rPr>
        <w:lastRenderedPageBreak/>
        <w:t>EVALUACIÓN POR DEPENDENCIAS</w:t>
      </w:r>
    </w:p>
    <w:p w:rsidR="00762244" w:rsidRDefault="00762244" w:rsidP="00CD1136">
      <w:pPr>
        <w:tabs>
          <w:tab w:val="left" w:pos="540"/>
        </w:tabs>
        <w:ind w:right="-801"/>
        <w:jc w:val="both"/>
      </w:pPr>
    </w:p>
    <w:p w:rsidR="00762244" w:rsidRDefault="00A20CD2" w:rsidP="00CD1136">
      <w:pPr>
        <w:tabs>
          <w:tab w:val="left" w:pos="540"/>
        </w:tabs>
        <w:ind w:right="-801"/>
        <w:jc w:val="both"/>
      </w:pPr>
      <w:r>
        <w:t>Los rangos de medición del indicador de eficacia (cumplimiento de metas) en la evaluación de todas las dependencias y áreas son las siguientes, de acuerdo a lo establecido por la Oficina Asesora de Planeación, en los POA por dependencias:</w:t>
      </w:r>
    </w:p>
    <w:p w:rsidR="004B1BFF" w:rsidRDefault="004B1BFF">
      <w:pPr>
        <w:tabs>
          <w:tab w:val="left" w:pos="540"/>
        </w:tabs>
        <w:jc w:val="both"/>
      </w:pPr>
    </w:p>
    <w:p w:rsidR="00762244" w:rsidRDefault="00A20CD2">
      <w:pPr>
        <w:tabs>
          <w:tab w:val="left" w:pos="540"/>
        </w:tabs>
        <w:jc w:val="both"/>
      </w:pPr>
      <w:r>
        <w:t>Entre</w:t>
      </w:r>
      <w:r>
        <w:tab/>
      </w:r>
      <w:r>
        <w:tab/>
        <w:t xml:space="preserve">  0 – 69 </w:t>
      </w:r>
      <w:r>
        <w:tab/>
        <w:t>Deficiente</w:t>
      </w:r>
    </w:p>
    <w:p w:rsidR="00762244" w:rsidRDefault="00A20CD2">
      <w:pPr>
        <w:tabs>
          <w:tab w:val="left" w:pos="540"/>
        </w:tabs>
        <w:jc w:val="both"/>
      </w:pPr>
      <w:r>
        <w:t>Entre</w:t>
      </w:r>
      <w:r>
        <w:tab/>
      </w:r>
      <w:r>
        <w:tab/>
        <w:t>70 – 89</w:t>
      </w:r>
      <w:r>
        <w:tab/>
        <w:t>Aceptable</w:t>
      </w:r>
    </w:p>
    <w:p w:rsidR="00762244" w:rsidRDefault="00A20CD2">
      <w:pPr>
        <w:tabs>
          <w:tab w:val="left" w:pos="540"/>
        </w:tabs>
        <w:jc w:val="both"/>
      </w:pPr>
      <w:r>
        <w:t>Entre</w:t>
      </w:r>
      <w:r>
        <w:tab/>
      </w:r>
      <w:r>
        <w:tab/>
        <w:t>90 – 100</w:t>
      </w:r>
      <w:r>
        <w:tab/>
        <w:t>Óptimo</w:t>
      </w:r>
    </w:p>
    <w:p w:rsidR="00762244" w:rsidRDefault="00762244">
      <w:pPr>
        <w:tabs>
          <w:tab w:val="left" w:pos="540"/>
        </w:tabs>
        <w:jc w:val="both"/>
        <w:rPr>
          <w:highlight w:val="yellow"/>
        </w:rPr>
      </w:pPr>
    </w:p>
    <w:p w:rsidR="00762244" w:rsidRDefault="00A20CD2">
      <w:pPr>
        <w:tabs>
          <w:tab w:val="left" w:pos="540"/>
        </w:tabs>
        <w:jc w:val="both"/>
      </w:pPr>
      <w:r>
        <w:t>Evaluados los P</w:t>
      </w:r>
      <w:r w:rsidR="004B1BFF">
        <w:t xml:space="preserve">lanes </w:t>
      </w:r>
      <w:r>
        <w:t>O</w:t>
      </w:r>
      <w:r w:rsidR="004B1BFF">
        <w:t xml:space="preserve">perativos </w:t>
      </w:r>
      <w:r>
        <w:t>A</w:t>
      </w:r>
      <w:r w:rsidR="004B1BFF">
        <w:t xml:space="preserve">nuales </w:t>
      </w:r>
      <w:r>
        <w:t xml:space="preserve">de las </w:t>
      </w:r>
      <w:r w:rsidR="004B1BFF">
        <w:t>15 l</w:t>
      </w:r>
      <w:r>
        <w:t>os resultados generales fueron los siguientes:</w:t>
      </w:r>
    </w:p>
    <w:p w:rsidR="00330D82" w:rsidRDefault="00330D82">
      <w:pPr>
        <w:tabs>
          <w:tab w:val="left" w:pos="540"/>
        </w:tabs>
        <w:jc w:val="both"/>
      </w:pPr>
    </w:p>
    <w:p w:rsidR="00330D82" w:rsidRDefault="00F70CD3">
      <w:pPr>
        <w:tabs>
          <w:tab w:val="left" w:pos="540"/>
        </w:tabs>
        <w:jc w:val="both"/>
      </w:pPr>
      <w:r w:rsidRPr="00F70CD3">
        <w:rPr>
          <w:noProof/>
          <w:lang w:val="es-MX" w:eastAsia="es-MX"/>
        </w:rPr>
        <w:drawing>
          <wp:inline distT="0" distB="0" distL="0" distR="0">
            <wp:extent cx="5612130" cy="259139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591393"/>
                    </a:xfrm>
                    <a:prstGeom prst="rect">
                      <a:avLst/>
                    </a:prstGeom>
                    <a:noFill/>
                    <a:ln>
                      <a:noFill/>
                    </a:ln>
                  </pic:spPr>
                </pic:pic>
              </a:graphicData>
            </a:graphic>
          </wp:inline>
        </w:drawing>
      </w:r>
    </w:p>
    <w:p w:rsidR="00330D82" w:rsidRPr="00330D82" w:rsidRDefault="00330D82">
      <w:pPr>
        <w:tabs>
          <w:tab w:val="left" w:pos="540"/>
        </w:tabs>
        <w:jc w:val="both"/>
        <w:rPr>
          <w:i/>
          <w:sz w:val="16"/>
        </w:rPr>
      </w:pPr>
      <w:r w:rsidRPr="00330D82">
        <w:rPr>
          <w:i/>
          <w:sz w:val="16"/>
        </w:rPr>
        <w:t>Fuente: Seguimiento POA 31 de diciembre 2021 - OA</w:t>
      </w:r>
      <w:r>
        <w:rPr>
          <w:i/>
          <w:sz w:val="16"/>
        </w:rPr>
        <w:t>P</w:t>
      </w:r>
    </w:p>
    <w:p w:rsidR="00330D82" w:rsidRDefault="00330D82">
      <w:pPr>
        <w:tabs>
          <w:tab w:val="left" w:pos="540"/>
        </w:tabs>
        <w:jc w:val="both"/>
      </w:pPr>
    </w:p>
    <w:p w:rsidR="00C02146" w:rsidRDefault="00C02146">
      <w:pPr>
        <w:jc w:val="both"/>
        <w:rPr>
          <w:b/>
        </w:rPr>
      </w:pPr>
    </w:p>
    <w:p w:rsidR="00762244" w:rsidRDefault="00A20CD2" w:rsidP="00C9435F">
      <w:pPr>
        <w:numPr>
          <w:ilvl w:val="0"/>
          <w:numId w:val="5"/>
        </w:numPr>
        <w:pBdr>
          <w:top w:val="nil"/>
          <w:left w:val="nil"/>
          <w:bottom w:val="nil"/>
          <w:right w:val="nil"/>
          <w:between w:val="nil"/>
        </w:pBdr>
        <w:jc w:val="center"/>
        <w:rPr>
          <w:b/>
          <w:color w:val="000000"/>
        </w:rPr>
      </w:pPr>
      <w:r>
        <w:rPr>
          <w:b/>
          <w:color w:val="000000"/>
        </w:rPr>
        <w:t>FORTALEZAS EVIDENCIADAS</w:t>
      </w:r>
    </w:p>
    <w:p w:rsidR="00762244" w:rsidRDefault="00762244">
      <w:pPr>
        <w:pBdr>
          <w:top w:val="nil"/>
          <w:left w:val="nil"/>
          <w:bottom w:val="nil"/>
          <w:right w:val="nil"/>
          <w:between w:val="nil"/>
        </w:pBdr>
        <w:ind w:left="720"/>
        <w:rPr>
          <w:b/>
          <w:color w:val="000000"/>
        </w:rPr>
      </w:pPr>
    </w:p>
    <w:p w:rsidR="00762244" w:rsidRPr="00E930ED" w:rsidRDefault="00A20CD2" w:rsidP="00EF60A0">
      <w:pPr>
        <w:numPr>
          <w:ilvl w:val="0"/>
          <w:numId w:val="22"/>
        </w:numPr>
        <w:spacing w:before="23"/>
        <w:ind w:left="567"/>
        <w:jc w:val="both"/>
      </w:pPr>
      <w:r w:rsidRPr="00E930ED">
        <w:t>En la mayoría de los casos se evidenció disposición para atender las recomendaciones efectuadas por Control Interno</w:t>
      </w:r>
    </w:p>
    <w:p w:rsidR="00762244" w:rsidRDefault="009607B1" w:rsidP="00EF60A0">
      <w:pPr>
        <w:numPr>
          <w:ilvl w:val="0"/>
          <w:numId w:val="22"/>
        </w:numPr>
        <w:spacing w:before="23"/>
        <w:ind w:left="567"/>
        <w:jc w:val="both"/>
      </w:pPr>
      <w:bookmarkStart w:id="1" w:name="_heading=h.gjdgxs" w:colFirst="0" w:colLast="0"/>
      <w:bookmarkEnd w:id="1"/>
      <w:r>
        <w:t>Los planes de acción se encuentran definidos y estructurados en concordancia con los objetivos de cada proceso</w:t>
      </w:r>
    </w:p>
    <w:p w:rsidR="00C9435F" w:rsidRDefault="00C9435F" w:rsidP="00C9435F">
      <w:pPr>
        <w:numPr>
          <w:ilvl w:val="0"/>
          <w:numId w:val="22"/>
        </w:numPr>
        <w:spacing w:before="23"/>
        <w:ind w:left="567"/>
        <w:jc w:val="both"/>
      </w:pPr>
      <w:r>
        <w:t>Se presentó una buena ejecución presupuestal de los proyectos de inversión.</w:t>
      </w:r>
    </w:p>
    <w:p w:rsidR="00C9435F" w:rsidRDefault="00C9435F" w:rsidP="00C9435F">
      <w:pPr>
        <w:numPr>
          <w:ilvl w:val="0"/>
          <w:numId w:val="22"/>
        </w:numPr>
        <w:spacing w:before="23"/>
        <w:ind w:left="567"/>
        <w:jc w:val="both"/>
      </w:pPr>
      <w:r>
        <w:t xml:space="preserve">La ejecución física de metas estuvo por encima del 90%, en la mayoría de ellas. </w:t>
      </w:r>
    </w:p>
    <w:p w:rsidR="00762244" w:rsidRDefault="00762244">
      <w:pPr>
        <w:rPr>
          <w:b/>
        </w:rPr>
      </w:pPr>
    </w:p>
    <w:p w:rsidR="00762244" w:rsidRDefault="00A20CD2" w:rsidP="00C9435F">
      <w:pPr>
        <w:numPr>
          <w:ilvl w:val="0"/>
          <w:numId w:val="5"/>
        </w:numPr>
        <w:pBdr>
          <w:top w:val="nil"/>
          <w:left w:val="nil"/>
          <w:bottom w:val="nil"/>
          <w:right w:val="nil"/>
          <w:between w:val="nil"/>
        </w:pBdr>
        <w:jc w:val="center"/>
        <w:rPr>
          <w:b/>
          <w:color w:val="000000"/>
        </w:rPr>
      </w:pPr>
      <w:r>
        <w:rPr>
          <w:b/>
          <w:color w:val="000000"/>
        </w:rPr>
        <w:t>OBSERVACIONES</w:t>
      </w:r>
    </w:p>
    <w:p w:rsidR="00762244" w:rsidRDefault="00762244">
      <w:pPr>
        <w:pBdr>
          <w:top w:val="nil"/>
          <w:left w:val="nil"/>
          <w:bottom w:val="nil"/>
          <w:right w:val="nil"/>
          <w:between w:val="nil"/>
        </w:pBdr>
        <w:ind w:left="720"/>
        <w:rPr>
          <w:b/>
          <w:color w:val="000000"/>
        </w:rPr>
      </w:pPr>
    </w:p>
    <w:p w:rsidR="004B0EAE" w:rsidRDefault="004B0EAE">
      <w:pPr>
        <w:numPr>
          <w:ilvl w:val="0"/>
          <w:numId w:val="12"/>
        </w:numPr>
        <w:jc w:val="both"/>
      </w:pPr>
      <w:r w:rsidRPr="00BD5A42">
        <w:t>Evitar establecer indicadores que no puedan ser medibles, esto es, en porcentajes de avances.</w:t>
      </w:r>
    </w:p>
    <w:p w:rsidR="00714BA6" w:rsidRDefault="00714BA6">
      <w:pPr>
        <w:numPr>
          <w:ilvl w:val="0"/>
          <w:numId w:val="12"/>
        </w:numPr>
        <w:jc w:val="both"/>
      </w:pPr>
      <w:r w:rsidRPr="00714BA6">
        <w:lastRenderedPageBreak/>
        <w:t>Es necesario registrar en debida forma los resultados del monitoreo que re</w:t>
      </w:r>
      <w:r>
        <w:t>a</w:t>
      </w:r>
      <w:r w:rsidRPr="00714BA6">
        <w:t>liza la OAP como segunda línea de defensa en el instrumento, teniendo en cuenta que la información allí contenida es la base para la evaluación por la tercera línea (OCI)</w:t>
      </w:r>
      <w:r>
        <w:t>.</w:t>
      </w:r>
    </w:p>
    <w:p w:rsidR="00714BA6" w:rsidRDefault="00714BA6">
      <w:pPr>
        <w:numPr>
          <w:ilvl w:val="0"/>
          <w:numId w:val="12"/>
        </w:numPr>
        <w:jc w:val="both"/>
      </w:pPr>
      <w:r>
        <w:t xml:space="preserve">La </w:t>
      </w:r>
      <w:r w:rsidRPr="00714BA6">
        <w:t>información debe ser precisa</w:t>
      </w:r>
      <w:r>
        <w:t xml:space="preserve"> y puntual con relación a los productos establecidos en el Plan y atendiendo el resultado de los indicadores formulados en cada actividad. </w:t>
      </w:r>
    </w:p>
    <w:p w:rsidR="00714BA6" w:rsidRDefault="00714BA6">
      <w:pPr>
        <w:numPr>
          <w:ilvl w:val="0"/>
          <w:numId w:val="12"/>
        </w:numPr>
        <w:jc w:val="both"/>
      </w:pPr>
      <w:r>
        <w:t xml:space="preserve">Es necesario revisar la </w:t>
      </w:r>
      <w:r w:rsidRPr="00714BA6">
        <w:t>unidad de medida</w:t>
      </w:r>
      <w:r>
        <w:t xml:space="preserve"> de los indicadores</w:t>
      </w:r>
    </w:p>
    <w:p w:rsidR="00714BA6" w:rsidRPr="00BD5A42" w:rsidRDefault="00714BA6">
      <w:pPr>
        <w:numPr>
          <w:ilvl w:val="0"/>
          <w:numId w:val="12"/>
        </w:numPr>
        <w:jc w:val="both"/>
      </w:pPr>
      <w:r>
        <w:t xml:space="preserve">El </w:t>
      </w:r>
      <w:r w:rsidRPr="00714BA6">
        <w:t>reporte de las dependencias</w:t>
      </w:r>
      <w:r>
        <w:t xml:space="preserve"> en </w:t>
      </w:r>
      <w:r w:rsidR="0058496C">
        <w:t xml:space="preserve">términos cualitativos, </w:t>
      </w:r>
      <w:r w:rsidRPr="00714BA6">
        <w:t>debe obedecer al producto registrado en el plan y los resultados obedecer a la medición del indicador.</w:t>
      </w:r>
    </w:p>
    <w:p w:rsidR="00A20CD2" w:rsidRPr="00BD5A42" w:rsidRDefault="00A20CD2">
      <w:pPr>
        <w:numPr>
          <w:ilvl w:val="0"/>
          <w:numId w:val="12"/>
        </w:numPr>
        <w:jc w:val="both"/>
      </w:pPr>
      <w:r w:rsidRPr="00BD5A42">
        <w:t>La falta de evidencias en algunos casos, ocasionó que la evaluación en actividades fuera inferior a la de los monitoreos efectuados por las dependencias.</w:t>
      </w:r>
    </w:p>
    <w:p w:rsidR="00762244" w:rsidRPr="00BD5A42" w:rsidRDefault="00A20CD2">
      <w:pPr>
        <w:numPr>
          <w:ilvl w:val="0"/>
          <w:numId w:val="12"/>
        </w:numPr>
        <w:jc w:val="both"/>
      </w:pPr>
      <w:r w:rsidRPr="00BD5A42">
        <w:t>Las evidencias no fueron entregadas en su totalidad dentro de los términos establecidos por Control Interno.</w:t>
      </w:r>
    </w:p>
    <w:p w:rsidR="00762244" w:rsidRDefault="00762244">
      <w:pPr>
        <w:rPr>
          <w:b/>
        </w:rPr>
      </w:pPr>
    </w:p>
    <w:p w:rsidR="00762244" w:rsidRDefault="00A20CD2" w:rsidP="00C9435F">
      <w:pPr>
        <w:numPr>
          <w:ilvl w:val="0"/>
          <w:numId w:val="5"/>
        </w:numPr>
        <w:pBdr>
          <w:top w:val="nil"/>
          <w:left w:val="nil"/>
          <w:bottom w:val="nil"/>
          <w:right w:val="nil"/>
          <w:between w:val="nil"/>
        </w:pBdr>
        <w:jc w:val="center"/>
        <w:rPr>
          <w:b/>
          <w:color w:val="000000"/>
        </w:rPr>
      </w:pPr>
      <w:r>
        <w:rPr>
          <w:b/>
          <w:color w:val="000000"/>
        </w:rPr>
        <w:t>CONCLUSIÓN GENERAL</w:t>
      </w:r>
    </w:p>
    <w:p w:rsidR="008354A4" w:rsidRDefault="008354A4" w:rsidP="008354A4">
      <w:pPr>
        <w:pBdr>
          <w:top w:val="nil"/>
          <w:left w:val="nil"/>
          <w:bottom w:val="nil"/>
          <w:right w:val="nil"/>
          <w:between w:val="nil"/>
        </w:pBdr>
      </w:pPr>
    </w:p>
    <w:p w:rsidR="00762244" w:rsidRDefault="008354A4" w:rsidP="008354A4">
      <w:pPr>
        <w:pBdr>
          <w:top w:val="nil"/>
          <w:left w:val="nil"/>
          <w:bottom w:val="nil"/>
          <w:right w:val="nil"/>
          <w:between w:val="nil"/>
        </w:pBdr>
        <w:rPr>
          <w:b/>
          <w:color w:val="000000"/>
        </w:rPr>
      </w:pPr>
      <w:r>
        <w:t xml:space="preserve">El Instituto Distrital de Patrimonio Cultural alcanzó una calificación promedio en la gestión de las 15 dependencias </w:t>
      </w:r>
      <w:r w:rsidRPr="00920A36">
        <w:t xml:space="preserve">del </w:t>
      </w:r>
      <w:r w:rsidR="0081715F">
        <w:rPr>
          <w:b/>
        </w:rPr>
        <w:t>95,41</w:t>
      </w:r>
      <w:r w:rsidRPr="00920A36">
        <w:rPr>
          <w:b/>
        </w:rPr>
        <w:t>%</w:t>
      </w:r>
      <w:r w:rsidRPr="00920A36">
        <w:t xml:space="preserve"> </w:t>
      </w:r>
      <w:r>
        <w:t>para la vigencia 2021</w:t>
      </w:r>
      <w:r w:rsidR="0081715F">
        <w:t>.</w:t>
      </w:r>
    </w:p>
    <w:p w:rsidR="008354A4" w:rsidRDefault="008354A4">
      <w:pPr>
        <w:jc w:val="both"/>
      </w:pPr>
    </w:p>
    <w:p w:rsidR="00762244" w:rsidRDefault="00A20CD2">
      <w:pPr>
        <w:jc w:val="both"/>
      </w:pPr>
      <w:r w:rsidRPr="00642502">
        <w:t xml:space="preserve">La ejecución y el cumplimiento de metas, planes de acción y ejecución presupuestal del IDPC durante la vigencia </w:t>
      </w:r>
      <w:r w:rsidR="009A0716" w:rsidRPr="00642502">
        <w:t>202</w:t>
      </w:r>
      <w:r w:rsidR="008354A4">
        <w:t>1</w:t>
      </w:r>
      <w:r w:rsidRPr="00642502">
        <w:t>, reporta en general un nivel de cumplimiento satisfactorio, lo que refleja trabajo en equipo, una gestión pública eficiente con sentido de pertenencia por parte de todos los servidores de la Entidad bajo la coordinación y seguimiento de la Alta Dirección.</w:t>
      </w:r>
      <w:r>
        <w:t xml:space="preserve">  </w:t>
      </w:r>
    </w:p>
    <w:p w:rsidR="00226784" w:rsidRDefault="00226784">
      <w:pPr>
        <w:jc w:val="both"/>
      </w:pPr>
    </w:p>
    <w:p w:rsidR="00762244" w:rsidRPr="00561A91" w:rsidRDefault="00A20CD2" w:rsidP="00C9435F">
      <w:pPr>
        <w:numPr>
          <w:ilvl w:val="0"/>
          <w:numId w:val="5"/>
        </w:numPr>
        <w:pBdr>
          <w:top w:val="nil"/>
          <w:left w:val="nil"/>
          <w:bottom w:val="nil"/>
          <w:right w:val="nil"/>
          <w:between w:val="nil"/>
        </w:pBdr>
        <w:jc w:val="center"/>
        <w:rPr>
          <w:b/>
          <w:color w:val="000000"/>
        </w:rPr>
      </w:pPr>
      <w:r w:rsidRPr="00561A91">
        <w:rPr>
          <w:b/>
          <w:color w:val="000000"/>
        </w:rPr>
        <w:t>RECOMENDACIONES</w:t>
      </w:r>
    </w:p>
    <w:p w:rsidR="00D03DB4" w:rsidRDefault="00D03DB4">
      <w:pPr>
        <w:tabs>
          <w:tab w:val="left" w:pos="540"/>
        </w:tabs>
        <w:jc w:val="both"/>
      </w:pPr>
    </w:p>
    <w:p w:rsidR="00762244" w:rsidRPr="00642502" w:rsidRDefault="00226784">
      <w:pPr>
        <w:tabs>
          <w:tab w:val="left" w:pos="540"/>
        </w:tabs>
        <w:jc w:val="both"/>
      </w:pPr>
      <w:r w:rsidRPr="00642502">
        <w:t>Tener</w:t>
      </w:r>
      <w:r w:rsidR="00A20CD2" w:rsidRPr="00642502">
        <w:t xml:space="preserve"> en cuenta que el cumplimiento en exceso de la meta de una actividad no debe arrastrar las no cumplidas, por lo tanto</w:t>
      </w:r>
      <w:r w:rsidRPr="00642502">
        <w:t>,</w:t>
      </w:r>
      <w:r w:rsidR="00A20CD2" w:rsidRPr="00642502">
        <w:t xml:space="preserve"> se recomienda realizar un ajuste en el formato del POA, para que el cálculo de la media ponderada tome como referencia un cumplimiento máximo de 100% por actividad, ya que se evidenció que algunas actividades sobrepasaron este cumplimiento, generando un promedio mayor al real.</w:t>
      </w:r>
    </w:p>
    <w:p w:rsidR="00762244" w:rsidRPr="00642502" w:rsidRDefault="00762244">
      <w:pPr>
        <w:tabs>
          <w:tab w:val="left" w:pos="540"/>
        </w:tabs>
        <w:jc w:val="both"/>
      </w:pPr>
    </w:p>
    <w:p w:rsidR="00762244" w:rsidRPr="00642502" w:rsidRDefault="00226784">
      <w:pPr>
        <w:tabs>
          <w:tab w:val="left" w:pos="540"/>
        </w:tabs>
        <w:jc w:val="both"/>
      </w:pPr>
      <w:r w:rsidRPr="00642502">
        <w:t>A</w:t>
      </w:r>
      <w:r w:rsidR="00A20CD2" w:rsidRPr="00642502">
        <w:t>nalizar las causas que llevaron al no cumplimiento del 100% de algunas actividades del POA, con el propósito de tomar las acciones a que haya lugar, evitando que se vuelvan a presentar en la ejecución de la vigencia actual.</w:t>
      </w:r>
    </w:p>
    <w:p w:rsidR="00762244" w:rsidRPr="00642502" w:rsidRDefault="00762244">
      <w:pPr>
        <w:tabs>
          <w:tab w:val="left" w:pos="540"/>
        </w:tabs>
        <w:jc w:val="both"/>
      </w:pPr>
    </w:p>
    <w:p w:rsidR="00762244" w:rsidRPr="00642502" w:rsidRDefault="00226784">
      <w:pPr>
        <w:tabs>
          <w:tab w:val="left" w:pos="540"/>
        </w:tabs>
        <w:jc w:val="both"/>
      </w:pPr>
      <w:r w:rsidRPr="00642502">
        <w:t>Realizar una revisión a</w:t>
      </w:r>
      <w:r w:rsidR="002877BC">
        <w:t xml:space="preserve"> </w:t>
      </w:r>
      <w:r w:rsidRPr="00642502">
        <w:t>l</w:t>
      </w:r>
      <w:r w:rsidR="002877BC">
        <w:t xml:space="preserve">a formulación de los </w:t>
      </w:r>
      <w:r w:rsidRPr="00642502">
        <w:t>POA vigencia 202</w:t>
      </w:r>
      <w:r w:rsidR="00D03DB4">
        <w:t>2</w:t>
      </w:r>
      <w:r w:rsidRPr="00642502">
        <w:t xml:space="preserve">, </w:t>
      </w:r>
      <w:r w:rsidR="002877BC">
        <w:t>a la luz del Modelo de Operación por procesos de la entidad, con el fin de que las actividades propuestas en los mismos sean únicamente las necesarias para el cumplimiento de los objetivos de cada dependencia</w:t>
      </w:r>
      <w:r w:rsidR="00A20CD2" w:rsidRPr="00642502">
        <w:t>.</w:t>
      </w:r>
    </w:p>
    <w:p w:rsidR="00762244" w:rsidRDefault="00762244">
      <w:pPr>
        <w:tabs>
          <w:tab w:val="left" w:pos="540"/>
        </w:tabs>
        <w:jc w:val="both"/>
      </w:pPr>
    </w:p>
    <w:p w:rsidR="002877BC" w:rsidRDefault="002877BC">
      <w:pPr>
        <w:tabs>
          <w:tab w:val="left" w:pos="540"/>
        </w:tabs>
        <w:jc w:val="both"/>
      </w:pPr>
      <w:r>
        <w:t xml:space="preserve">Es importante realizar un ejercicio de alineación de cada plan a la luz del cumplimiento de los objetivos estratégicos y/o Institucionales definidos por la entidad. </w:t>
      </w:r>
    </w:p>
    <w:p w:rsidR="002877BC" w:rsidRPr="00642502" w:rsidRDefault="002877BC">
      <w:pPr>
        <w:tabs>
          <w:tab w:val="left" w:pos="540"/>
        </w:tabs>
        <w:jc w:val="both"/>
      </w:pPr>
    </w:p>
    <w:p w:rsidR="00762244" w:rsidRPr="00642502" w:rsidRDefault="00226784">
      <w:pPr>
        <w:tabs>
          <w:tab w:val="left" w:pos="540"/>
        </w:tabs>
        <w:jc w:val="both"/>
      </w:pPr>
      <w:r w:rsidRPr="00642502">
        <w:t>M</w:t>
      </w:r>
      <w:r w:rsidR="00A20CD2" w:rsidRPr="00642502">
        <w:t xml:space="preserve">antener un archivo organizado </w:t>
      </w:r>
      <w:r w:rsidR="002877BC">
        <w:t xml:space="preserve">debidamente identificado </w:t>
      </w:r>
      <w:r w:rsidR="00A20CD2" w:rsidRPr="00642502">
        <w:t>de los soportes de cada actividad, lo cual facilita la verificación del cumplimiento de las mismas.</w:t>
      </w:r>
    </w:p>
    <w:p w:rsidR="00762244" w:rsidRPr="00642502" w:rsidRDefault="00762244">
      <w:pPr>
        <w:tabs>
          <w:tab w:val="left" w:pos="540"/>
        </w:tabs>
        <w:jc w:val="both"/>
      </w:pPr>
    </w:p>
    <w:p w:rsidR="00762244" w:rsidRDefault="00226784">
      <w:pPr>
        <w:tabs>
          <w:tab w:val="left" w:pos="540"/>
        </w:tabs>
        <w:jc w:val="both"/>
      </w:pPr>
      <w:r w:rsidRPr="00642502">
        <w:lastRenderedPageBreak/>
        <w:t>O</w:t>
      </w:r>
      <w:r w:rsidR="00A20CD2" w:rsidRPr="00642502">
        <w:t xml:space="preserve">ptimizar los controles de las actividades, con el fin de que los cronogramas establecidos en el marco de la ejecución del POA se cumplan con la oportunidad requerida, mejorando así la gestión de la entidad y </w:t>
      </w:r>
      <w:r w:rsidR="002877BC">
        <w:t xml:space="preserve">de cada dependencia </w:t>
      </w:r>
    </w:p>
    <w:p w:rsidR="00762244" w:rsidRPr="00642502" w:rsidRDefault="00762244">
      <w:pPr>
        <w:tabs>
          <w:tab w:val="left" w:pos="540"/>
        </w:tabs>
        <w:jc w:val="both"/>
      </w:pPr>
    </w:p>
    <w:p w:rsidR="002877BC" w:rsidRDefault="00226784">
      <w:pPr>
        <w:tabs>
          <w:tab w:val="left" w:pos="540"/>
        </w:tabs>
        <w:jc w:val="both"/>
      </w:pPr>
      <w:r w:rsidRPr="00642502">
        <w:t>C</w:t>
      </w:r>
      <w:r w:rsidR="00A20CD2" w:rsidRPr="00642502">
        <w:t xml:space="preserve">ontinuar con el fortalecimiento en la planificación y monitoreo continuo de la ejecución de las actividades programadas, que permitan </w:t>
      </w:r>
      <w:r w:rsidR="002877BC">
        <w:t xml:space="preserve">identificar de forma oportuna las deviaciones y se implementen los correctivos necesarios conducentes al cumplimiento del plan y con ello el cumplimiento d ellos objetivos de la entidad. </w:t>
      </w:r>
    </w:p>
    <w:p w:rsidR="00762244" w:rsidRPr="00642502" w:rsidRDefault="00762244">
      <w:pPr>
        <w:tabs>
          <w:tab w:val="left" w:pos="540"/>
        </w:tabs>
        <w:jc w:val="both"/>
      </w:pPr>
    </w:p>
    <w:p w:rsidR="00762244" w:rsidRPr="00642502" w:rsidRDefault="00226784">
      <w:pPr>
        <w:tabs>
          <w:tab w:val="left" w:pos="540"/>
        </w:tabs>
        <w:jc w:val="both"/>
      </w:pPr>
      <w:r w:rsidRPr="00642502">
        <w:t>Mantener</w:t>
      </w:r>
      <w:r w:rsidR="00A20CD2" w:rsidRPr="00642502">
        <w:t xml:space="preserve"> la oportuna y permanente revisión, actualización, documentación y divulgación de los procesos, procedimientos, formatos e indicadores con una visión sistémica de la Entidad y con base en el principio de "Enfoque por procesos"</w:t>
      </w:r>
    </w:p>
    <w:p w:rsidR="00762244" w:rsidRPr="00642502" w:rsidRDefault="00762244">
      <w:pPr>
        <w:jc w:val="both"/>
        <w:rPr>
          <w:b/>
        </w:rPr>
      </w:pPr>
    </w:p>
    <w:p w:rsidR="00226784" w:rsidRPr="00642502" w:rsidRDefault="00226784" w:rsidP="00226784">
      <w:pPr>
        <w:jc w:val="both"/>
      </w:pPr>
      <w:r w:rsidRPr="00642502">
        <w:t xml:space="preserve">Adoptar </w:t>
      </w:r>
      <w:r w:rsidR="00642502" w:rsidRPr="00642502">
        <w:t xml:space="preserve">el POA </w:t>
      </w:r>
      <w:r w:rsidRPr="00642502">
        <w:t>como herramienta para la toma de decisiones por parte de los líderes de los procesos y la alta dirección.</w:t>
      </w:r>
    </w:p>
    <w:p w:rsidR="00762244" w:rsidRDefault="00762244">
      <w:pPr>
        <w:jc w:val="both"/>
        <w:rPr>
          <w:b/>
        </w:rPr>
      </w:pPr>
    </w:p>
    <w:p w:rsidR="00762244" w:rsidRDefault="00762244">
      <w:pPr>
        <w:jc w:val="both"/>
      </w:pPr>
    </w:p>
    <w:sectPr w:rsidR="00762244">
      <w:headerReference w:type="default" r:id="rId13"/>
      <w:footerReference w:type="default" r:id="rId14"/>
      <w:pgSz w:w="12240" w:h="15840"/>
      <w:pgMar w:top="1134"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B1" w:rsidRDefault="009000B1">
      <w:r>
        <w:separator/>
      </w:r>
    </w:p>
  </w:endnote>
  <w:endnote w:type="continuationSeparator" w:id="0">
    <w:p w:rsidR="009000B1" w:rsidRDefault="0090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72" w:rsidRDefault="006D0C72">
    <w:pPr>
      <w:widowControl w:val="0"/>
      <w:pBdr>
        <w:top w:val="nil"/>
        <w:left w:val="nil"/>
        <w:bottom w:val="nil"/>
        <w:right w:val="nil"/>
        <w:between w:val="nil"/>
      </w:pBdr>
      <w:spacing w:line="276" w:lineRule="auto"/>
      <w:rPr>
        <w:color w:val="000000"/>
      </w:rPr>
    </w:pPr>
  </w:p>
  <w:tbl>
    <w:tblPr>
      <w:tblStyle w:val="a3"/>
      <w:tblW w:w="8828" w:type="dxa"/>
      <w:tblInd w:w="0" w:type="dxa"/>
      <w:tblLayout w:type="fixed"/>
      <w:tblLook w:val="0400" w:firstRow="0" w:lastRow="0" w:firstColumn="0" w:lastColumn="0" w:noHBand="0" w:noVBand="1"/>
    </w:tblPr>
    <w:tblGrid>
      <w:gridCol w:w="2942"/>
      <w:gridCol w:w="2943"/>
      <w:gridCol w:w="2943"/>
    </w:tblGrid>
    <w:tr w:rsidR="006D0C72" w:rsidTr="00512A4A">
      <w:tc>
        <w:tcPr>
          <w:tcW w:w="2942" w:type="dxa"/>
        </w:tcPr>
        <w:p w:rsidR="006D0C72" w:rsidRDefault="006D0C72">
          <w:pPr>
            <w:pBdr>
              <w:top w:val="nil"/>
              <w:left w:val="nil"/>
              <w:bottom w:val="nil"/>
              <w:right w:val="nil"/>
              <w:between w:val="nil"/>
            </w:pBdr>
            <w:tabs>
              <w:tab w:val="center" w:pos="4419"/>
              <w:tab w:val="right" w:pos="8838"/>
            </w:tabs>
            <w:rPr>
              <w:color w:val="000000"/>
              <w:sz w:val="18"/>
              <w:szCs w:val="18"/>
            </w:rPr>
          </w:pPr>
          <w:r>
            <w:rPr>
              <w:color w:val="000000"/>
              <w:sz w:val="18"/>
              <w:szCs w:val="18"/>
            </w:rPr>
            <w:t>Versión 03   31/12/2020</w:t>
          </w:r>
        </w:p>
      </w:tc>
      <w:tc>
        <w:tcPr>
          <w:tcW w:w="2943" w:type="dxa"/>
        </w:tcPr>
        <w:p w:rsidR="006D0C72" w:rsidRDefault="006D0C72">
          <w:pPr>
            <w:pBdr>
              <w:top w:val="nil"/>
              <w:left w:val="nil"/>
              <w:bottom w:val="nil"/>
              <w:right w:val="nil"/>
              <w:between w:val="nil"/>
            </w:pBdr>
            <w:tabs>
              <w:tab w:val="center" w:pos="4419"/>
              <w:tab w:val="right" w:pos="8838"/>
            </w:tabs>
            <w:rPr>
              <w:color w:val="000000"/>
            </w:rPr>
          </w:pPr>
        </w:p>
      </w:tc>
      <w:tc>
        <w:tcPr>
          <w:tcW w:w="2943" w:type="dxa"/>
        </w:tcPr>
        <w:p w:rsidR="006D0C72" w:rsidRDefault="006D0C72">
          <w:pPr>
            <w:pBdr>
              <w:top w:val="nil"/>
              <w:left w:val="nil"/>
              <w:bottom w:val="nil"/>
              <w:right w:val="nil"/>
              <w:between w:val="nil"/>
            </w:pBdr>
            <w:tabs>
              <w:tab w:val="center" w:pos="4419"/>
              <w:tab w:val="right" w:pos="8838"/>
            </w:tabs>
            <w:rPr>
              <w:color w:val="000000"/>
            </w:rPr>
          </w:pPr>
        </w:p>
      </w:tc>
    </w:tr>
  </w:tbl>
  <w:p w:rsidR="006D0C72" w:rsidRDefault="006D0C72">
    <w:pPr>
      <w:pBdr>
        <w:top w:val="nil"/>
        <w:left w:val="nil"/>
        <w:bottom w:val="nil"/>
        <w:right w:val="nil"/>
        <w:between w:val="nil"/>
      </w:pBdr>
      <w:tabs>
        <w:tab w:val="center" w:pos="4419"/>
        <w:tab w:val="right" w:pos="8838"/>
      </w:tabs>
      <w:rPr>
        <w:color w:val="00000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B1" w:rsidRDefault="009000B1">
      <w:r>
        <w:separator/>
      </w:r>
    </w:p>
  </w:footnote>
  <w:footnote w:type="continuationSeparator" w:id="0">
    <w:p w:rsidR="009000B1" w:rsidRDefault="0090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72" w:rsidRDefault="006D0C72">
    <w:pPr>
      <w:widowControl w:val="0"/>
      <w:pBdr>
        <w:top w:val="nil"/>
        <w:left w:val="nil"/>
        <w:bottom w:val="nil"/>
        <w:right w:val="nil"/>
        <w:between w:val="nil"/>
      </w:pBdr>
      <w:spacing w:line="276" w:lineRule="auto"/>
    </w:pPr>
  </w:p>
  <w:tbl>
    <w:tblPr>
      <w:tblStyle w:val="a2"/>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2"/>
      <w:gridCol w:w="4395"/>
      <w:gridCol w:w="3021"/>
    </w:tblGrid>
    <w:tr w:rsidR="006D0C72" w:rsidTr="00512A4A">
      <w:trPr>
        <w:trHeight w:val="268"/>
      </w:trPr>
      <w:tc>
        <w:tcPr>
          <w:tcW w:w="1412" w:type="dxa"/>
          <w:vMerge w:val="restart"/>
          <w:vAlign w:val="center"/>
        </w:tcPr>
        <w:p w:rsidR="006D0C72" w:rsidRDefault="006D0C72">
          <w:pPr>
            <w:pBdr>
              <w:top w:val="nil"/>
              <w:left w:val="nil"/>
              <w:bottom w:val="nil"/>
              <w:right w:val="nil"/>
              <w:between w:val="nil"/>
            </w:pBdr>
            <w:tabs>
              <w:tab w:val="center" w:pos="4419"/>
              <w:tab w:val="right" w:pos="8838"/>
            </w:tabs>
            <w:jc w:val="center"/>
            <w:rPr>
              <w:color w:val="000000"/>
            </w:rPr>
          </w:pPr>
          <w:r>
            <w:rPr>
              <w:noProof/>
              <w:color w:val="000000"/>
              <w:lang w:val="es-MX" w:eastAsia="es-MX"/>
            </w:rPr>
            <w:drawing>
              <wp:inline distT="0" distB="0" distL="0" distR="0" wp14:anchorId="52E62175" wp14:editId="619E67E2">
                <wp:extent cx="775970" cy="672465"/>
                <wp:effectExtent l="0" t="0" r="0" b="0"/>
                <wp:docPr id="7"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srcRect/>
                        <a:stretch>
                          <a:fillRect/>
                        </a:stretch>
                      </pic:blipFill>
                      <pic:spPr>
                        <a:xfrm>
                          <a:off x="0" y="0"/>
                          <a:ext cx="775970" cy="672465"/>
                        </a:xfrm>
                        <a:prstGeom prst="rect">
                          <a:avLst/>
                        </a:prstGeom>
                        <a:ln/>
                      </pic:spPr>
                    </pic:pic>
                  </a:graphicData>
                </a:graphic>
              </wp:inline>
            </w:drawing>
          </w:r>
        </w:p>
      </w:tc>
      <w:tc>
        <w:tcPr>
          <w:tcW w:w="4395" w:type="dxa"/>
          <w:vAlign w:val="center"/>
        </w:tcPr>
        <w:p w:rsidR="006D0C72" w:rsidRDefault="006D0C7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INSTITUTO DISTRITAL DE PATRIMONIO CULTURAL</w:t>
          </w:r>
        </w:p>
      </w:tc>
      <w:tc>
        <w:tcPr>
          <w:tcW w:w="3021" w:type="dxa"/>
          <w:vMerge w:val="restart"/>
          <w:vAlign w:val="center"/>
        </w:tcPr>
        <w:p w:rsidR="006D0C72" w:rsidRDefault="006D0C72">
          <w:pPr>
            <w:widowControl w:val="0"/>
            <w:pBdr>
              <w:top w:val="nil"/>
              <w:left w:val="nil"/>
              <w:bottom w:val="nil"/>
              <w:right w:val="nil"/>
              <w:between w:val="nil"/>
            </w:pBdr>
            <w:tabs>
              <w:tab w:val="center" w:pos="4252"/>
              <w:tab w:val="right" w:pos="8504"/>
            </w:tabs>
            <w:jc w:val="right"/>
            <w:rPr>
              <w:rFonts w:ascii="Code3of9" w:eastAsia="Code3of9" w:hAnsi="Code3of9" w:cs="Code3of9"/>
              <w:color w:val="00000A"/>
              <w:sz w:val="28"/>
              <w:szCs w:val="28"/>
            </w:rPr>
          </w:pPr>
          <w:r>
            <w:rPr>
              <w:rFonts w:ascii="Code3of9" w:eastAsia="Code3of9" w:hAnsi="Code3of9" w:cs="Code3of9"/>
              <w:color w:val="00000A"/>
              <w:sz w:val="28"/>
              <w:szCs w:val="28"/>
            </w:rPr>
            <w:t>*RAD_S*</w:t>
          </w:r>
        </w:p>
        <w:p w:rsidR="006D0C72" w:rsidRDefault="006D0C72">
          <w:pPr>
            <w:pBdr>
              <w:top w:val="nil"/>
              <w:left w:val="nil"/>
              <w:bottom w:val="nil"/>
              <w:right w:val="nil"/>
              <w:between w:val="nil"/>
            </w:pBdr>
            <w:jc w:val="right"/>
            <w:rPr>
              <w:rFonts w:ascii="Times New Roman" w:eastAsia="Times New Roman" w:hAnsi="Times New Roman" w:cs="Times New Roman"/>
              <w:color w:val="00000A"/>
              <w:sz w:val="16"/>
              <w:szCs w:val="16"/>
            </w:rPr>
          </w:pPr>
          <w:r>
            <w:rPr>
              <w:color w:val="00000A"/>
              <w:sz w:val="16"/>
              <w:szCs w:val="16"/>
            </w:rPr>
            <w:t>Radicado:</w:t>
          </w:r>
          <w:r>
            <w:rPr>
              <w:rFonts w:ascii="Times New Roman" w:eastAsia="Times New Roman" w:hAnsi="Times New Roman" w:cs="Times New Roman"/>
              <w:color w:val="00000A"/>
              <w:sz w:val="16"/>
              <w:szCs w:val="16"/>
            </w:rPr>
            <w:t xml:space="preserve"> </w:t>
          </w:r>
          <w:r>
            <w:rPr>
              <w:b/>
              <w:color w:val="00000A"/>
              <w:sz w:val="20"/>
              <w:szCs w:val="20"/>
            </w:rPr>
            <w:t>RAD_S</w:t>
          </w:r>
        </w:p>
        <w:p w:rsidR="006D0C72" w:rsidRDefault="006D0C72">
          <w:pPr>
            <w:pBdr>
              <w:top w:val="nil"/>
              <w:left w:val="nil"/>
              <w:bottom w:val="nil"/>
              <w:right w:val="nil"/>
              <w:between w:val="nil"/>
            </w:pBdr>
            <w:jc w:val="right"/>
            <w:rPr>
              <w:color w:val="00000A"/>
              <w:sz w:val="20"/>
              <w:szCs w:val="20"/>
            </w:rPr>
          </w:pPr>
          <w:r>
            <w:rPr>
              <w:color w:val="00000A"/>
              <w:sz w:val="16"/>
              <w:szCs w:val="16"/>
            </w:rPr>
            <w:t xml:space="preserve">Fecha: </w:t>
          </w:r>
          <w:r>
            <w:rPr>
              <w:color w:val="00000A"/>
              <w:sz w:val="20"/>
              <w:szCs w:val="20"/>
            </w:rPr>
            <w:t>F_RAD_S</w:t>
          </w:r>
        </w:p>
        <w:p w:rsidR="006D0C72" w:rsidRDefault="006D0C72">
          <w:pPr>
            <w:pBdr>
              <w:top w:val="nil"/>
              <w:left w:val="nil"/>
              <w:bottom w:val="nil"/>
              <w:right w:val="nil"/>
              <w:between w:val="nil"/>
            </w:pBdr>
            <w:tabs>
              <w:tab w:val="center" w:pos="4419"/>
              <w:tab w:val="right" w:pos="8838"/>
            </w:tabs>
            <w:jc w:val="right"/>
            <w:rPr>
              <w:color w:val="000000"/>
            </w:rPr>
          </w:pPr>
          <w:r>
            <w:rPr>
              <w:color w:val="000000"/>
              <w:sz w:val="18"/>
              <w:szCs w:val="18"/>
            </w:rPr>
            <w:t xml:space="preserve">Pág. </w:t>
          </w:r>
          <w:r>
            <w:rPr>
              <w:color w:val="000000"/>
              <w:sz w:val="18"/>
              <w:szCs w:val="18"/>
            </w:rPr>
            <w:fldChar w:fldCharType="begin"/>
          </w:r>
          <w:r>
            <w:rPr>
              <w:color w:val="000000"/>
              <w:sz w:val="18"/>
              <w:szCs w:val="18"/>
            </w:rPr>
            <w:instrText>PAGE</w:instrText>
          </w:r>
          <w:r>
            <w:rPr>
              <w:color w:val="000000"/>
              <w:sz w:val="18"/>
              <w:szCs w:val="18"/>
            </w:rPr>
            <w:fldChar w:fldCharType="separate"/>
          </w:r>
          <w:r w:rsidR="001671C0">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1671C0">
            <w:rPr>
              <w:noProof/>
              <w:color w:val="000000"/>
              <w:sz w:val="18"/>
              <w:szCs w:val="18"/>
            </w:rPr>
            <w:t>9</w:t>
          </w:r>
          <w:r>
            <w:rPr>
              <w:color w:val="000000"/>
              <w:sz w:val="18"/>
              <w:szCs w:val="18"/>
            </w:rPr>
            <w:fldChar w:fldCharType="end"/>
          </w:r>
        </w:p>
      </w:tc>
    </w:tr>
    <w:tr w:rsidR="006D0C72" w:rsidTr="00512A4A">
      <w:trPr>
        <w:trHeight w:val="343"/>
      </w:trPr>
      <w:tc>
        <w:tcPr>
          <w:tcW w:w="1412" w:type="dxa"/>
          <w:vMerge/>
          <w:vAlign w:val="center"/>
        </w:tcPr>
        <w:p w:rsidR="006D0C72" w:rsidRDefault="006D0C72">
          <w:pPr>
            <w:widowControl w:val="0"/>
            <w:pBdr>
              <w:top w:val="nil"/>
              <w:left w:val="nil"/>
              <w:bottom w:val="nil"/>
              <w:right w:val="nil"/>
              <w:between w:val="nil"/>
            </w:pBdr>
            <w:spacing w:line="276" w:lineRule="auto"/>
            <w:rPr>
              <w:color w:val="000000"/>
            </w:rPr>
          </w:pPr>
        </w:p>
      </w:tc>
      <w:tc>
        <w:tcPr>
          <w:tcW w:w="4395" w:type="dxa"/>
          <w:vAlign w:val="center"/>
        </w:tcPr>
        <w:p w:rsidR="006D0C72" w:rsidRDefault="006D0C7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PROCESO DE SEGUIMIENTO Y EVALUACIÓN</w:t>
          </w:r>
        </w:p>
      </w:tc>
      <w:tc>
        <w:tcPr>
          <w:tcW w:w="3021" w:type="dxa"/>
          <w:vMerge/>
          <w:vAlign w:val="center"/>
        </w:tcPr>
        <w:p w:rsidR="006D0C72" w:rsidRDefault="006D0C72">
          <w:pPr>
            <w:widowControl w:val="0"/>
            <w:pBdr>
              <w:top w:val="nil"/>
              <w:left w:val="nil"/>
              <w:bottom w:val="nil"/>
              <w:right w:val="nil"/>
              <w:between w:val="nil"/>
            </w:pBdr>
            <w:spacing w:line="276" w:lineRule="auto"/>
            <w:rPr>
              <w:b/>
              <w:color w:val="000000"/>
              <w:sz w:val="18"/>
              <w:szCs w:val="18"/>
            </w:rPr>
          </w:pPr>
        </w:p>
      </w:tc>
    </w:tr>
    <w:tr w:rsidR="006D0C72" w:rsidTr="00512A4A">
      <w:tc>
        <w:tcPr>
          <w:tcW w:w="1412" w:type="dxa"/>
          <w:vMerge/>
          <w:vAlign w:val="center"/>
        </w:tcPr>
        <w:p w:rsidR="006D0C72" w:rsidRDefault="006D0C72">
          <w:pPr>
            <w:widowControl w:val="0"/>
            <w:pBdr>
              <w:top w:val="nil"/>
              <w:left w:val="nil"/>
              <w:bottom w:val="nil"/>
              <w:right w:val="nil"/>
              <w:between w:val="nil"/>
            </w:pBdr>
            <w:spacing w:line="276" w:lineRule="auto"/>
            <w:rPr>
              <w:b/>
              <w:color w:val="000000"/>
              <w:sz w:val="18"/>
              <w:szCs w:val="18"/>
            </w:rPr>
          </w:pPr>
        </w:p>
      </w:tc>
      <w:tc>
        <w:tcPr>
          <w:tcW w:w="4395" w:type="dxa"/>
          <w:vAlign w:val="center"/>
        </w:tcPr>
        <w:p w:rsidR="006D0C72" w:rsidRDefault="006D0C72">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INFORME DE SEGUIMIENTO Y/O EVALUACIÓN</w:t>
          </w:r>
        </w:p>
      </w:tc>
      <w:tc>
        <w:tcPr>
          <w:tcW w:w="3021" w:type="dxa"/>
          <w:vMerge/>
          <w:vAlign w:val="center"/>
        </w:tcPr>
        <w:p w:rsidR="006D0C72" w:rsidRDefault="006D0C72">
          <w:pPr>
            <w:widowControl w:val="0"/>
            <w:pBdr>
              <w:top w:val="nil"/>
              <w:left w:val="nil"/>
              <w:bottom w:val="nil"/>
              <w:right w:val="nil"/>
              <w:between w:val="nil"/>
            </w:pBdr>
            <w:spacing w:line="276" w:lineRule="auto"/>
            <w:rPr>
              <w:b/>
              <w:color w:val="000000"/>
              <w:sz w:val="18"/>
              <w:szCs w:val="18"/>
            </w:rPr>
          </w:pPr>
        </w:p>
      </w:tc>
    </w:tr>
  </w:tbl>
  <w:p w:rsidR="006D0C72" w:rsidRDefault="006D0C72">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5A1C"/>
    <w:multiLevelType w:val="multilevel"/>
    <w:tmpl w:val="6E288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D5CC3"/>
    <w:multiLevelType w:val="multilevel"/>
    <w:tmpl w:val="EC4CC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A21C22"/>
    <w:multiLevelType w:val="multilevel"/>
    <w:tmpl w:val="16947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D1A58"/>
    <w:multiLevelType w:val="multilevel"/>
    <w:tmpl w:val="CCB6E0A6"/>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4" w15:restartNumberingAfterBreak="0">
    <w:nsid w:val="220962CE"/>
    <w:multiLevelType w:val="multilevel"/>
    <w:tmpl w:val="99E6B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4B2351"/>
    <w:multiLevelType w:val="multilevel"/>
    <w:tmpl w:val="1C06832C"/>
    <w:lvl w:ilvl="0">
      <w:start w:val="1"/>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367607D6"/>
    <w:multiLevelType w:val="hybridMultilevel"/>
    <w:tmpl w:val="B658DD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A445B6"/>
    <w:multiLevelType w:val="multilevel"/>
    <w:tmpl w:val="3920D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FC661B"/>
    <w:multiLevelType w:val="multilevel"/>
    <w:tmpl w:val="EDD83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8B7201"/>
    <w:multiLevelType w:val="multilevel"/>
    <w:tmpl w:val="B2B66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047A20"/>
    <w:multiLevelType w:val="multilevel"/>
    <w:tmpl w:val="CC205C16"/>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7F125DE"/>
    <w:multiLevelType w:val="multilevel"/>
    <w:tmpl w:val="C18E0A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E344D3"/>
    <w:multiLevelType w:val="multilevel"/>
    <w:tmpl w:val="0C0C9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4A7B8E"/>
    <w:multiLevelType w:val="multilevel"/>
    <w:tmpl w:val="A20421B6"/>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63E2F49"/>
    <w:multiLevelType w:val="multilevel"/>
    <w:tmpl w:val="8B42CC2C"/>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69610A70"/>
    <w:multiLevelType w:val="multilevel"/>
    <w:tmpl w:val="5A7A6508"/>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69A47382"/>
    <w:multiLevelType w:val="multilevel"/>
    <w:tmpl w:val="4B8463BA"/>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3E61466"/>
    <w:multiLevelType w:val="multilevel"/>
    <w:tmpl w:val="A20421B6"/>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747873C4"/>
    <w:multiLevelType w:val="multilevel"/>
    <w:tmpl w:val="E01E6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C73596"/>
    <w:multiLevelType w:val="multilevel"/>
    <w:tmpl w:val="0FDCE2B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813362"/>
    <w:multiLevelType w:val="multilevel"/>
    <w:tmpl w:val="DBAAACE2"/>
    <w:lvl w:ilvl="0">
      <w:start w:val="1"/>
      <w:numFmt w:val="decimal"/>
      <w:lvlText w:val="%1."/>
      <w:lvlJc w:val="left"/>
      <w:pPr>
        <w:ind w:left="585" w:hanging="585"/>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7A415C24"/>
    <w:multiLevelType w:val="multilevel"/>
    <w:tmpl w:val="3E84A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EC2A98"/>
    <w:multiLevelType w:val="multilevel"/>
    <w:tmpl w:val="A20421B6"/>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7DD4068B"/>
    <w:multiLevelType w:val="multilevel"/>
    <w:tmpl w:val="6F2C7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12"/>
  </w:num>
  <w:num w:numId="4">
    <w:abstractNumId w:val="2"/>
  </w:num>
  <w:num w:numId="5">
    <w:abstractNumId w:val="22"/>
  </w:num>
  <w:num w:numId="6">
    <w:abstractNumId w:val="14"/>
  </w:num>
  <w:num w:numId="7">
    <w:abstractNumId w:val="7"/>
  </w:num>
  <w:num w:numId="8">
    <w:abstractNumId w:val="23"/>
  </w:num>
  <w:num w:numId="9">
    <w:abstractNumId w:val="18"/>
  </w:num>
  <w:num w:numId="10">
    <w:abstractNumId w:val="20"/>
  </w:num>
  <w:num w:numId="11">
    <w:abstractNumId w:val="21"/>
  </w:num>
  <w:num w:numId="12">
    <w:abstractNumId w:val="3"/>
  </w:num>
  <w:num w:numId="13">
    <w:abstractNumId w:val="19"/>
  </w:num>
  <w:num w:numId="14">
    <w:abstractNumId w:val="15"/>
  </w:num>
  <w:num w:numId="15">
    <w:abstractNumId w:val="5"/>
  </w:num>
  <w:num w:numId="16">
    <w:abstractNumId w:val="16"/>
  </w:num>
  <w:num w:numId="17">
    <w:abstractNumId w:val="1"/>
  </w:num>
  <w:num w:numId="18">
    <w:abstractNumId w:val="10"/>
  </w:num>
  <w:num w:numId="19">
    <w:abstractNumId w:val="4"/>
  </w:num>
  <w:num w:numId="20">
    <w:abstractNumId w:val="9"/>
  </w:num>
  <w:num w:numId="21">
    <w:abstractNumId w:val="6"/>
  </w:num>
  <w:num w:numId="22">
    <w:abstractNumId w:val="1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44"/>
    <w:rsid w:val="000176F0"/>
    <w:rsid w:val="00067D64"/>
    <w:rsid w:val="00070E5A"/>
    <w:rsid w:val="000B5BFC"/>
    <w:rsid w:val="001671C0"/>
    <w:rsid w:val="001C5A8F"/>
    <w:rsid w:val="001F5E0F"/>
    <w:rsid w:val="001F6F85"/>
    <w:rsid w:val="00226784"/>
    <w:rsid w:val="002877BC"/>
    <w:rsid w:val="002B70B4"/>
    <w:rsid w:val="002D29B9"/>
    <w:rsid w:val="00330D82"/>
    <w:rsid w:val="00347E73"/>
    <w:rsid w:val="003709F9"/>
    <w:rsid w:val="00416F52"/>
    <w:rsid w:val="0046395C"/>
    <w:rsid w:val="00494AEC"/>
    <w:rsid w:val="004A6E20"/>
    <w:rsid w:val="004B0EAE"/>
    <w:rsid w:val="004B1BFF"/>
    <w:rsid w:val="00512A4A"/>
    <w:rsid w:val="00561A91"/>
    <w:rsid w:val="0058496C"/>
    <w:rsid w:val="00624F91"/>
    <w:rsid w:val="00642502"/>
    <w:rsid w:val="00663CF3"/>
    <w:rsid w:val="00674D3B"/>
    <w:rsid w:val="006803A9"/>
    <w:rsid w:val="00686DF8"/>
    <w:rsid w:val="006D0C72"/>
    <w:rsid w:val="006D4354"/>
    <w:rsid w:val="006E492C"/>
    <w:rsid w:val="00714BA6"/>
    <w:rsid w:val="00762244"/>
    <w:rsid w:val="00767DB5"/>
    <w:rsid w:val="007820DD"/>
    <w:rsid w:val="007F497C"/>
    <w:rsid w:val="00800B41"/>
    <w:rsid w:val="008123A4"/>
    <w:rsid w:val="0081715F"/>
    <w:rsid w:val="00834559"/>
    <w:rsid w:val="008354A4"/>
    <w:rsid w:val="00847D0A"/>
    <w:rsid w:val="008662F3"/>
    <w:rsid w:val="00892A8D"/>
    <w:rsid w:val="009000B1"/>
    <w:rsid w:val="00920A36"/>
    <w:rsid w:val="009607B1"/>
    <w:rsid w:val="0098459A"/>
    <w:rsid w:val="0098523D"/>
    <w:rsid w:val="009A0716"/>
    <w:rsid w:val="009E2788"/>
    <w:rsid w:val="009E29D8"/>
    <w:rsid w:val="00A0622A"/>
    <w:rsid w:val="00A068FD"/>
    <w:rsid w:val="00A20CD2"/>
    <w:rsid w:val="00A409AC"/>
    <w:rsid w:val="00BD5A42"/>
    <w:rsid w:val="00BE1768"/>
    <w:rsid w:val="00C02146"/>
    <w:rsid w:val="00C541C8"/>
    <w:rsid w:val="00C64AAC"/>
    <w:rsid w:val="00C9435F"/>
    <w:rsid w:val="00CD1136"/>
    <w:rsid w:val="00CE0546"/>
    <w:rsid w:val="00CE18DD"/>
    <w:rsid w:val="00D03DB4"/>
    <w:rsid w:val="00D26512"/>
    <w:rsid w:val="00D61495"/>
    <w:rsid w:val="00D7215F"/>
    <w:rsid w:val="00D72957"/>
    <w:rsid w:val="00E44624"/>
    <w:rsid w:val="00E55725"/>
    <w:rsid w:val="00E930ED"/>
    <w:rsid w:val="00EF60A0"/>
    <w:rsid w:val="00F06525"/>
    <w:rsid w:val="00F70CD3"/>
    <w:rsid w:val="00F978F0"/>
    <w:rsid w:val="00FD0D25"/>
    <w:rsid w:val="00FD3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91FFF-8F16-4074-BCB8-246C0372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b/>
      <w:bCs/>
      <w:sz w:val="24"/>
      <w:lang w:val="es-ES" w:bidi="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unhideWhenUsed/>
    <w:rsid w:val="00B96127"/>
    <w:pPr>
      <w:jc w:val="both"/>
    </w:pPr>
    <w:rPr>
      <w:rFonts w:eastAsia="Times New Roman" w:cs="Times New Roman"/>
      <w:sz w:val="24"/>
      <w:szCs w:val="20"/>
      <w:lang w:val="x-none" w:eastAsia="x-none"/>
    </w:rPr>
  </w:style>
  <w:style w:type="character" w:customStyle="1" w:styleId="TextoindependienteCar">
    <w:name w:val="Texto independiente Car"/>
    <w:basedOn w:val="Fuentedeprrafopredeter"/>
    <w:link w:val="Textoindependiente"/>
    <w:rsid w:val="00B96127"/>
    <w:rPr>
      <w:rFonts w:eastAsia="Times New Roman" w:cs="Times New Roman"/>
      <w:sz w:val="24"/>
      <w:szCs w:val="20"/>
      <w:lang w:val="x-none" w:eastAsia="x-none"/>
    </w:rPr>
  </w:style>
  <w:style w:type="paragraph" w:customStyle="1" w:styleId="Default">
    <w:name w:val="Default"/>
    <w:rsid w:val="00B96127"/>
    <w:pPr>
      <w:autoSpaceDE w:val="0"/>
      <w:autoSpaceDN w:val="0"/>
      <w:adjustRightInd w:val="0"/>
    </w:pPr>
    <w:rPr>
      <w:rFonts w:eastAsia="Calibri"/>
      <w:color w:val="000000"/>
      <w:sz w:val="24"/>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6395">
      <w:bodyDiv w:val="1"/>
      <w:marLeft w:val="0"/>
      <w:marRight w:val="0"/>
      <w:marTop w:val="0"/>
      <w:marBottom w:val="0"/>
      <w:divBdr>
        <w:top w:val="none" w:sz="0" w:space="0" w:color="auto"/>
        <w:left w:val="none" w:sz="0" w:space="0" w:color="auto"/>
        <w:bottom w:val="none" w:sz="0" w:space="0" w:color="auto"/>
        <w:right w:val="none" w:sz="0" w:space="0" w:color="auto"/>
      </w:divBdr>
    </w:div>
    <w:div w:id="1546091966">
      <w:bodyDiv w:val="1"/>
      <w:marLeft w:val="0"/>
      <w:marRight w:val="0"/>
      <w:marTop w:val="0"/>
      <w:marBottom w:val="0"/>
      <w:divBdr>
        <w:top w:val="none" w:sz="0" w:space="0" w:color="auto"/>
        <w:left w:val="none" w:sz="0" w:space="0" w:color="auto"/>
        <w:bottom w:val="none" w:sz="0" w:space="0" w:color="auto"/>
        <w:right w:val="none" w:sz="0" w:space="0" w:color="auto"/>
      </w:divBdr>
    </w:div>
    <w:div w:id="2049643305">
      <w:bodyDiv w:val="1"/>
      <w:marLeft w:val="0"/>
      <w:marRight w:val="0"/>
      <w:marTop w:val="0"/>
      <w:marBottom w:val="0"/>
      <w:divBdr>
        <w:top w:val="none" w:sz="0" w:space="0" w:color="auto"/>
        <w:left w:val="none" w:sz="0" w:space="0" w:color="auto"/>
        <w:bottom w:val="none" w:sz="0" w:space="0" w:color="auto"/>
        <w:right w:val="none" w:sz="0" w:space="0" w:color="auto"/>
      </w:divBdr>
    </w:div>
    <w:div w:id="207069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jQGnXNTNXiPn7EIKtELn9Q8VQ==">AMUW2mWzsetUOuMWDzJC//V3KMIIWgc8l5rmdUgw/oWmEav75of5rdXsyz3TwouaOeAODvIc/sZwXIyy+eJcgTByoF3liJQDtbYv5sFTTCOKBgpaKLaw+9w3WDlonsLqt1YUygGb25Sy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11981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Seguimiento y evaluación</dc:creator>
  <cp:lastModifiedBy>Eleana Marcela Paez Urrego</cp:lastModifiedBy>
  <cp:revision>2</cp:revision>
  <cp:lastPrinted>2021-01-26T21:58:00Z</cp:lastPrinted>
  <dcterms:created xsi:type="dcterms:W3CDTF">2022-03-01T02:57:00Z</dcterms:created>
  <dcterms:modified xsi:type="dcterms:W3CDTF">2022-03-01T02:57:00Z</dcterms:modified>
</cp:coreProperties>
</file>