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7E187A">
        <w:tc>
          <w:tcPr>
            <w:tcW w:w="2166" w:type="pct"/>
            <w:shd w:val="clear" w:color="auto" w:fill="F2F2F2" w:themeFill="background1" w:themeFillShade="F2"/>
            <w:vAlign w:val="center"/>
          </w:tcPr>
          <w:p w14:paraId="12923681" w14:textId="558DB7A2" w:rsidR="0045782D" w:rsidRPr="00AD5687" w:rsidRDefault="0045782D" w:rsidP="005149BA">
            <w:pPr>
              <w:jc w:val="both"/>
              <w:rPr>
                <w:b/>
                <w:sz w:val="20"/>
                <w:szCs w:val="22"/>
              </w:rPr>
            </w:pPr>
            <w:bookmarkStart w:id="0" w:name="_GoBack" w:colFirst="7" w:colLast="7"/>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5149BA">
            <w:pPr>
              <w:jc w:val="center"/>
              <w:rPr>
                <w:b/>
                <w:color w:val="FFFFFF" w:themeColor="background1"/>
              </w:rPr>
            </w:pPr>
            <w:r w:rsidRPr="0045782D">
              <w:rPr>
                <w:b/>
              </w:rPr>
              <w:t>DÍA</w:t>
            </w:r>
          </w:p>
        </w:tc>
        <w:tc>
          <w:tcPr>
            <w:tcW w:w="472" w:type="pct"/>
            <w:vAlign w:val="center"/>
          </w:tcPr>
          <w:p w14:paraId="7F3EAFB0" w14:textId="7093C878" w:rsidR="00287A78" w:rsidRPr="007C563F" w:rsidRDefault="000E5C38" w:rsidP="005149BA">
            <w:pPr>
              <w:jc w:val="center"/>
              <w:rPr>
                <w:bCs/>
                <w:sz w:val="20"/>
                <w:szCs w:val="20"/>
              </w:rPr>
            </w:pPr>
            <w:r>
              <w:rPr>
                <w:bCs/>
                <w:sz w:val="20"/>
                <w:szCs w:val="20"/>
              </w:rPr>
              <w:t>18</w:t>
            </w:r>
          </w:p>
        </w:tc>
        <w:tc>
          <w:tcPr>
            <w:tcW w:w="472" w:type="pct"/>
            <w:shd w:val="clear" w:color="auto" w:fill="F2F2F2" w:themeFill="background1" w:themeFillShade="F2"/>
            <w:vAlign w:val="center"/>
          </w:tcPr>
          <w:p w14:paraId="22E6F444" w14:textId="06ABE94D" w:rsidR="0045782D" w:rsidRPr="0045782D" w:rsidRDefault="0045782D" w:rsidP="005149BA">
            <w:pPr>
              <w:jc w:val="center"/>
              <w:rPr>
                <w:b/>
                <w:color w:val="FFFFFF" w:themeColor="background1"/>
              </w:rPr>
            </w:pPr>
            <w:r w:rsidRPr="0045782D">
              <w:rPr>
                <w:b/>
              </w:rPr>
              <w:t>MES</w:t>
            </w:r>
          </w:p>
        </w:tc>
        <w:tc>
          <w:tcPr>
            <w:tcW w:w="472" w:type="pct"/>
            <w:vAlign w:val="center"/>
          </w:tcPr>
          <w:p w14:paraId="11359BF7" w14:textId="4E61D385" w:rsidR="0045782D" w:rsidRPr="007C563F" w:rsidRDefault="006C5FC0" w:rsidP="005149BA">
            <w:pPr>
              <w:jc w:val="center"/>
              <w:rPr>
                <w:bCs/>
                <w:sz w:val="20"/>
                <w:szCs w:val="20"/>
              </w:rPr>
            </w:pPr>
            <w:r>
              <w:rPr>
                <w:bCs/>
                <w:sz w:val="20"/>
                <w:szCs w:val="20"/>
              </w:rPr>
              <w:t>02</w:t>
            </w:r>
          </w:p>
        </w:tc>
        <w:tc>
          <w:tcPr>
            <w:tcW w:w="472" w:type="pct"/>
            <w:shd w:val="clear" w:color="auto" w:fill="F2F2F2" w:themeFill="background1" w:themeFillShade="F2"/>
            <w:vAlign w:val="center"/>
          </w:tcPr>
          <w:p w14:paraId="50ACFC3D" w14:textId="553771D2" w:rsidR="0045782D" w:rsidRPr="0045782D" w:rsidRDefault="0045782D" w:rsidP="005149BA">
            <w:pPr>
              <w:jc w:val="center"/>
              <w:rPr>
                <w:b/>
                <w:color w:val="FFFFFF" w:themeColor="background1"/>
              </w:rPr>
            </w:pPr>
            <w:r w:rsidRPr="0045782D">
              <w:rPr>
                <w:b/>
              </w:rPr>
              <w:t>AÑO</w:t>
            </w:r>
          </w:p>
        </w:tc>
        <w:tc>
          <w:tcPr>
            <w:tcW w:w="474" w:type="pct"/>
            <w:vAlign w:val="center"/>
          </w:tcPr>
          <w:p w14:paraId="0E41B807" w14:textId="5047B16E" w:rsidR="0045782D" w:rsidRPr="007C563F" w:rsidRDefault="006C5FC0" w:rsidP="005149BA">
            <w:pPr>
              <w:jc w:val="center"/>
              <w:rPr>
                <w:sz w:val="20"/>
                <w:szCs w:val="20"/>
              </w:rPr>
            </w:pPr>
            <w:r>
              <w:rPr>
                <w:sz w:val="20"/>
                <w:szCs w:val="20"/>
              </w:rPr>
              <w:t>2022</w:t>
            </w:r>
          </w:p>
        </w:tc>
      </w:tr>
      <w:tr w:rsidR="0045782D" w14:paraId="149B1566" w14:textId="77777777" w:rsidTr="006F79F3">
        <w:trPr>
          <w:trHeight w:val="1134"/>
        </w:trPr>
        <w:tc>
          <w:tcPr>
            <w:tcW w:w="2166" w:type="pct"/>
            <w:shd w:val="clear" w:color="auto" w:fill="F2F2F2" w:themeFill="background1" w:themeFillShade="F2"/>
            <w:vAlign w:val="center"/>
          </w:tcPr>
          <w:p w14:paraId="2AB28578" w14:textId="63839C4E" w:rsidR="0045782D" w:rsidRPr="00AD5687" w:rsidRDefault="0045782D" w:rsidP="005149BA">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264CB0B4" w:rsidR="0045782D" w:rsidRPr="007C563F" w:rsidRDefault="006C5FC0" w:rsidP="005149BA">
            <w:pPr>
              <w:pStyle w:val="Prrafodelista"/>
              <w:ind w:left="31"/>
              <w:jc w:val="both"/>
              <w:rPr>
                <w:sz w:val="20"/>
                <w:szCs w:val="20"/>
              </w:rPr>
            </w:pPr>
            <w:r>
              <w:rPr>
                <w:rFonts w:eastAsia="Arial" w:cs="Arial"/>
                <w:color w:val="000000"/>
                <w:sz w:val="20"/>
                <w:szCs w:val="20"/>
              </w:rPr>
              <w:t>Informe de seguimiento al cumplimiento de la Ley 1712 de 2014 Transparencia y Derecho de Acceso a la Información Pública Nacional y de la Resolución 1519 de 2020 Estándares y directrices de publicación y requisitos en materia de acceso a la información pública, accesibilidad web, seguridad digital, y datos abiertos.</w:t>
            </w:r>
          </w:p>
        </w:tc>
      </w:tr>
      <w:tr w:rsidR="0045782D" w14:paraId="1E7326F9" w14:textId="77777777" w:rsidTr="006F79F3">
        <w:trPr>
          <w:trHeight w:val="787"/>
        </w:trPr>
        <w:tc>
          <w:tcPr>
            <w:tcW w:w="2166" w:type="pct"/>
            <w:shd w:val="clear" w:color="auto" w:fill="F2F2F2" w:themeFill="background1" w:themeFillShade="F2"/>
            <w:vAlign w:val="center"/>
          </w:tcPr>
          <w:p w14:paraId="1C90A16E" w14:textId="33653F2A" w:rsidR="0045782D" w:rsidRPr="00AD5687" w:rsidRDefault="0045782D" w:rsidP="005149BA">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3C3480DC" w:rsidR="0045782D" w:rsidRPr="007C563F" w:rsidRDefault="006C5FC0" w:rsidP="005149BA">
            <w:pPr>
              <w:pStyle w:val="Prrafodelista"/>
              <w:ind w:left="31"/>
              <w:jc w:val="both"/>
              <w:rPr>
                <w:sz w:val="20"/>
                <w:szCs w:val="20"/>
              </w:rPr>
            </w:pPr>
            <w:r>
              <w:rPr>
                <w:rFonts w:eastAsia="Arial" w:cs="Arial"/>
                <w:color w:val="000000"/>
                <w:sz w:val="20"/>
                <w:szCs w:val="20"/>
              </w:rPr>
              <w:t>Dependencias del Instituto Distrital de Patrimonio Cultural IDPC.</w:t>
            </w:r>
          </w:p>
        </w:tc>
      </w:tr>
      <w:tr w:rsidR="0045782D" w14:paraId="4069ACF0" w14:textId="77777777" w:rsidTr="006F79F3">
        <w:trPr>
          <w:trHeight w:val="854"/>
        </w:trPr>
        <w:tc>
          <w:tcPr>
            <w:tcW w:w="2166" w:type="pct"/>
            <w:shd w:val="clear" w:color="auto" w:fill="F2F2F2" w:themeFill="background1" w:themeFillShade="F2"/>
            <w:vAlign w:val="center"/>
          </w:tcPr>
          <w:p w14:paraId="42AAD9E0" w14:textId="64AC8B6E" w:rsidR="0045782D" w:rsidRPr="00AD5687" w:rsidRDefault="0045782D" w:rsidP="005149BA">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06B8413F" w:rsidR="0045782D" w:rsidRPr="007C563F" w:rsidRDefault="006C5FC0" w:rsidP="005149BA">
            <w:pPr>
              <w:pStyle w:val="Prrafodelista"/>
              <w:ind w:left="31"/>
              <w:jc w:val="both"/>
              <w:rPr>
                <w:sz w:val="20"/>
                <w:szCs w:val="20"/>
              </w:rPr>
            </w:pPr>
            <w:r>
              <w:rPr>
                <w:rFonts w:eastAsia="Arial" w:cs="Arial"/>
                <w:color w:val="000000"/>
                <w:sz w:val="20"/>
                <w:szCs w:val="20"/>
              </w:rPr>
              <w:t>Verificar el cumplimiento de los estándares y directrices establecidos para la publicación de información y de los requisitos en materia de acceso, accesibilidad, seguridad digital y datos abiertos de acuerdo con los lineamientos establecidos en la normatividad vigente.</w:t>
            </w:r>
          </w:p>
        </w:tc>
      </w:tr>
      <w:tr w:rsidR="0045782D" w14:paraId="61758759" w14:textId="77777777" w:rsidTr="006F79F3">
        <w:trPr>
          <w:trHeight w:val="683"/>
        </w:trPr>
        <w:tc>
          <w:tcPr>
            <w:tcW w:w="2166" w:type="pct"/>
            <w:shd w:val="clear" w:color="auto" w:fill="F2F2F2" w:themeFill="background1" w:themeFillShade="F2"/>
            <w:vAlign w:val="center"/>
          </w:tcPr>
          <w:p w14:paraId="311C42C3" w14:textId="77D930F8" w:rsidR="0045782D" w:rsidRPr="00AD5687" w:rsidRDefault="0045782D" w:rsidP="005149BA">
            <w:pPr>
              <w:jc w:val="both"/>
              <w:rPr>
                <w:b/>
                <w:sz w:val="20"/>
                <w:szCs w:val="22"/>
              </w:rPr>
            </w:pPr>
            <w:r w:rsidRPr="00AD5687">
              <w:rPr>
                <w:rFonts w:cs="Arial"/>
                <w:b/>
                <w:sz w:val="20"/>
                <w:szCs w:val="22"/>
              </w:rPr>
              <w:t>ALCANCE</w:t>
            </w:r>
          </w:p>
        </w:tc>
        <w:tc>
          <w:tcPr>
            <w:tcW w:w="2834" w:type="pct"/>
            <w:gridSpan w:val="6"/>
            <w:vAlign w:val="center"/>
          </w:tcPr>
          <w:p w14:paraId="243A08EF" w14:textId="39C8218D" w:rsidR="0045782D" w:rsidRPr="007C563F" w:rsidRDefault="006C5FC0" w:rsidP="005149BA">
            <w:pPr>
              <w:pStyle w:val="Prrafodelista"/>
              <w:ind w:left="31"/>
              <w:jc w:val="both"/>
              <w:rPr>
                <w:sz w:val="20"/>
                <w:szCs w:val="20"/>
              </w:rPr>
            </w:pPr>
            <w:r>
              <w:rPr>
                <w:rFonts w:eastAsia="Arial" w:cs="Arial"/>
                <w:color w:val="000000"/>
                <w:sz w:val="20"/>
                <w:szCs w:val="20"/>
              </w:rPr>
              <w:t>La verificación corresponde al cumplimiento de los Anexos 2,3 y 4 de la Resolución 1519 de 2020 durante el tercer cuatrimestre de 2021, comprendido entre septiembre y diciembre.</w:t>
            </w:r>
          </w:p>
        </w:tc>
      </w:tr>
      <w:tr w:rsidR="0045782D" w14:paraId="00289A75" w14:textId="77777777" w:rsidTr="00AD5687">
        <w:trPr>
          <w:trHeight w:val="1134"/>
        </w:trPr>
        <w:tc>
          <w:tcPr>
            <w:tcW w:w="2166" w:type="pct"/>
            <w:shd w:val="clear" w:color="auto" w:fill="F2F2F2" w:themeFill="background1" w:themeFillShade="F2"/>
            <w:vAlign w:val="center"/>
          </w:tcPr>
          <w:p w14:paraId="74D648F4" w14:textId="3189BBAA" w:rsidR="0045782D" w:rsidRPr="00AD5687" w:rsidRDefault="0045782D" w:rsidP="005149BA">
            <w:pPr>
              <w:jc w:val="both"/>
              <w:rPr>
                <w:b/>
                <w:sz w:val="20"/>
                <w:szCs w:val="22"/>
              </w:rPr>
            </w:pPr>
            <w:r w:rsidRPr="00AD5687">
              <w:rPr>
                <w:rFonts w:cs="Arial"/>
                <w:b/>
                <w:sz w:val="20"/>
                <w:szCs w:val="22"/>
                <w:lang w:val="es-MX"/>
              </w:rPr>
              <w:t>CRITERIOS</w:t>
            </w:r>
          </w:p>
        </w:tc>
        <w:tc>
          <w:tcPr>
            <w:tcW w:w="2834" w:type="pct"/>
            <w:gridSpan w:val="6"/>
          </w:tcPr>
          <w:p w14:paraId="51CAE52A" w14:textId="529B3F07" w:rsidR="007C563F" w:rsidRPr="007C563F" w:rsidRDefault="007C563F" w:rsidP="005149BA">
            <w:pPr>
              <w:numPr>
                <w:ilvl w:val="0"/>
                <w:numId w:val="1"/>
              </w:numPr>
              <w:overflowPunct w:val="0"/>
              <w:autoSpaceDE w:val="0"/>
              <w:autoSpaceDN w:val="0"/>
              <w:adjustRightInd w:val="0"/>
              <w:ind w:left="361"/>
              <w:jc w:val="both"/>
              <w:textAlignment w:val="baseline"/>
              <w:rPr>
                <w:rFonts w:cs="Arial"/>
                <w:sz w:val="20"/>
                <w:szCs w:val="20"/>
              </w:rPr>
            </w:pPr>
            <w:r w:rsidRPr="007C563F">
              <w:rPr>
                <w:rFonts w:cs="Arial"/>
                <w:sz w:val="20"/>
                <w:szCs w:val="20"/>
              </w:rPr>
              <w:t xml:space="preserve">Ley 1712 de 2014 </w:t>
            </w:r>
            <w:r w:rsidRPr="007C563F">
              <w:rPr>
                <w:rFonts w:cs="Arial"/>
                <w:i/>
                <w:sz w:val="20"/>
                <w:szCs w:val="20"/>
              </w:rPr>
              <w:t>“</w:t>
            </w:r>
            <w:r w:rsidRPr="007C563F">
              <w:rPr>
                <w:rFonts w:cs="Arial"/>
                <w:sz w:val="20"/>
                <w:szCs w:val="20"/>
              </w:rPr>
              <w:t>Por medio de la cual se crea la Ley de Transparencia y del Derecho de Acceso a la Información Pública Nacional y se dictan otras disposiciones.”</w:t>
            </w:r>
          </w:p>
          <w:p w14:paraId="6FC65711" w14:textId="77777777" w:rsidR="007C563F" w:rsidRPr="007C563F" w:rsidRDefault="007C563F" w:rsidP="005149BA">
            <w:pPr>
              <w:numPr>
                <w:ilvl w:val="0"/>
                <w:numId w:val="1"/>
              </w:numPr>
              <w:overflowPunct w:val="0"/>
              <w:autoSpaceDE w:val="0"/>
              <w:autoSpaceDN w:val="0"/>
              <w:adjustRightInd w:val="0"/>
              <w:ind w:left="361"/>
              <w:jc w:val="both"/>
              <w:textAlignment w:val="baseline"/>
              <w:rPr>
                <w:rFonts w:cs="Arial"/>
                <w:sz w:val="20"/>
                <w:szCs w:val="20"/>
              </w:rPr>
            </w:pPr>
            <w:r w:rsidRPr="007C563F">
              <w:rPr>
                <w:rFonts w:cs="Arial"/>
                <w:sz w:val="20"/>
                <w:szCs w:val="20"/>
              </w:rPr>
              <w:t>Decreto 103 de 2015 “por el cual se reglamenta parcialmente la Ley 1712 de 2014 y se dictan otras disposiciones.”</w:t>
            </w:r>
          </w:p>
          <w:p w14:paraId="70218683" w14:textId="1ABC8F1F" w:rsidR="0045782D" w:rsidRPr="007C563F" w:rsidRDefault="000855C4" w:rsidP="005149BA">
            <w:pPr>
              <w:numPr>
                <w:ilvl w:val="0"/>
                <w:numId w:val="1"/>
              </w:numPr>
              <w:overflowPunct w:val="0"/>
              <w:autoSpaceDE w:val="0"/>
              <w:autoSpaceDN w:val="0"/>
              <w:adjustRightInd w:val="0"/>
              <w:ind w:left="361"/>
              <w:jc w:val="both"/>
              <w:textAlignment w:val="baseline"/>
              <w:rPr>
                <w:rFonts w:cs="Arial"/>
                <w:sz w:val="20"/>
                <w:szCs w:val="20"/>
              </w:rPr>
            </w:pPr>
            <w:r>
              <w:rPr>
                <w:rFonts w:cs="Arial"/>
                <w:sz w:val="20"/>
                <w:szCs w:val="20"/>
              </w:rPr>
              <w:t>D</w:t>
            </w:r>
            <w:r w:rsidR="007C563F" w:rsidRPr="007C563F">
              <w:rPr>
                <w:rFonts w:cs="Arial"/>
                <w:sz w:val="20"/>
                <w:szCs w:val="20"/>
              </w:rPr>
              <w:t>irectiva 006 de 2019 –“Diligenciamiento de la Información en el índice de Transparencia y Acceso a la Información –ITA- de conformidad con las disposiciones del artículo 23 de la Ley 1712 de 2014.”</w:t>
            </w:r>
          </w:p>
          <w:p w14:paraId="3C2046C5" w14:textId="77777777" w:rsidR="00275432" w:rsidRDefault="007C563F" w:rsidP="005149BA">
            <w:pPr>
              <w:numPr>
                <w:ilvl w:val="0"/>
                <w:numId w:val="1"/>
              </w:numPr>
              <w:overflowPunct w:val="0"/>
              <w:autoSpaceDE w:val="0"/>
              <w:autoSpaceDN w:val="0"/>
              <w:adjustRightInd w:val="0"/>
              <w:ind w:left="361"/>
              <w:jc w:val="both"/>
              <w:textAlignment w:val="baseline"/>
              <w:rPr>
                <w:rFonts w:cs="Arial"/>
                <w:i/>
                <w:sz w:val="20"/>
                <w:szCs w:val="20"/>
              </w:rPr>
            </w:pPr>
            <w:r w:rsidRPr="007C563F">
              <w:rPr>
                <w:rFonts w:cs="Arial"/>
                <w:sz w:val="20"/>
                <w:szCs w:val="20"/>
              </w:rPr>
              <w:t>Resolución 1519 de 2020 Min TIC “Por la cual se definen los estándares y directrices para publicar la información señalada en la Ley 1712 del 2014 y se definen los requisitos en materia de acceso a la información pública, accesibilidad web, seguridad digital, y datos abiertos”.</w:t>
            </w:r>
          </w:p>
          <w:p w14:paraId="5BB9C0DC" w14:textId="10FC3281" w:rsidR="00275432" w:rsidRPr="00275432" w:rsidRDefault="00275432" w:rsidP="005149BA">
            <w:pPr>
              <w:numPr>
                <w:ilvl w:val="0"/>
                <w:numId w:val="1"/>
              </w:numPr>
              <w:overflowPunct w:val="0"/>
              <w:autoSpaceDE w:val="0"/>
              <w:autoSpaceDN w:val="0"/>
              <w:adjustRightInd w:val="0"/>
              <w:ind w:left="361"/>
              <w:jc w:val="both"/>
              <w:textAlignment w:val="baseline"/>
              <w:rPr>
                <w:rFonts w:cs="Arial"/>
                <w:i/>
                <w:sz w:val="20"/>
                <w:szCs w:val="20"/>
              </w:rPr>
            </w:pPr>
            <w:r w:rsidRPr="00275432">
              <w:rPr>
                <w:rFonts w:cs="Arial"/>
                <w:sz w:val="20"/>
                <w:szCs w:val="20"/>
              </w:rPr>
              <w:t>Circular Interna 007 de 2021 “Actualización de las directrices para la publicación de información relacionada con la Ley de Transparencia y Derecho de Acceso a la Información Pública -Ley 1712 de 2014- y de Gobierno Abierto</w:t>
            </w:r>
            <w:r>
              <w:rPr>
                <w:rFonts w:cs="Arial"/>
                <w:sz w:val="20"/>
                <w:szCs w:val="20"/>
              </w:rPr>
              <w:t>”</w:t>
            </w:r>
            <w:r w:rsidRPr="00275432">
              <w:rPr>
                <w:rFonts w:cs="Arial"/>
                <w:sz w:val="20"/>
                <w:szCs w:val="20"/>
              </w:rPr>
              <w:t>.</w:t>
            </w:r>
          </w:p>
        </w:tc>
      </w:tr>
      <w:tr w:rsidR="0045782D" w14:paraId="4B60AD89" w14:textId="77777777" w:rsidTr="000804B7">
        <w:trPr>
          <w:trHeight w:val="473"/>
        </w:trPr>
        <w:tc>
          <w:tcPr>
            <w:tcW w:w="2166" w:type="pct"/>
            <w:shd w:val="clear" w:color="auto" w:fill="F2F2F2" w:themeFill="background1" w:themeFillShade="F2"/>
            <w:vAlign w:val="center"/>
          </w:tcPr>
          <w:p w14:paraId="07E409BC" w14:textId="3D499669" w:rsidR="0045782D" w:rsidRPr="00AD5687" w:rsidRDefault="0045782D" w:rsidP="005149BA">
            <w:pPr>
              <w:jc w:val="both"/>
              <w:rPr>
                <w:rFonts w:cs="Arial"/>
                <w:b/>
                <w:sz w:val="20"/>
                <w:szCs w:val="22"/>
                <w:lang w:val="es-MX"/>
              </w:rPr>
            </w:pPr>
            <w:r w:rsidRPr="00AD5687">
              <w:rPr>
                <w:rFonts w:cs="Arial"/>
                <w:b/>
                <w:sz w:val="20"/>
                <w:szCs w:val="22"/>
                <w:lang w:val="es-MX"/>
              </w:rPr>
              <w:t>PRUEBAS DE AUDITORÍA</w:t>
            </w:r>
          </w:p>
        </w:tc>
        <w:tc>
          <w:tcPr>
            <w:tcW w:w="2834" w:type="pct"/>
            <w:gridSpan w:val="6"/>
            <w:vAlign w:val="center"/>
          </w:tcPr>
          <w:p w14:paraId="52561496" w14:textId="6FD6E266" w:rsidR="0045782D" w:rsidRPr="00097C7B" w:rsidRDefault="006C5FC0" w:rsidP="005149BA">
            <w:pPr>
              <w:pStyle w:val="Prrafodelista"/>
              <w:ind w:left="31"/>
              <w:jc w:val="both"/>
              <w:rPr>
                <w:sz w:val="20"/>
                <w:szCs w:val="22"/>
              </w:rPr>
            </w:pPr>
            <w:r>
              <w:rPr>
                <w:rFonts w:eastAsia="Arial" w:cs="Arial"/>
                <w:color w:val="000000"/>
                <w:sz w:val="20"/>
                <w:szCs w:val="20"/>
              </w:rPr>
              <w:t>Verificación de la información en la página web y en el aplicativo SISBIC.</w:t>
            </w:r>
          </w:p>
        </w:tc>
      </w:tr>
      <w:tr w:rsidR="0045782D" w14:paraId="3D795E5E" w14:textId="77777777" w:rsidTr="005149BA">
        <w:trPr>
          <w:trHeight w:val="581"/>
        </w:trPr>
        <w:tc>
          <w:tcPr>
            <w:tcW w:w="2166" w:type="pct"/>
            <w:shd w:val="clear" w:color="auto" w:fill="F2F2F2" w:themeFill="background1" w:themeFillShade="F2"/>
            <w:vAlign w:val="center"/>
          </w:tcPr>
          <w:p w14:paraId="757E46A4" w14:textId="4B1C1735" w:rsidR="0045782D" w:rsidRPr="00AD5687" w:rsidRDefault="0045782D" w:rsidP="005149BA">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0868F486" w14:textId="3A6B6359" w:rsidR="000A4F21" w:rsidRPr="00097C7B" w:rsidRDefault="006C5FC0" w:rsidP="005149BA">
            <w:pPr>
              <w:pStyle w:val="Prrafodelista"/>
              <w:ind w:left="31"/>
              <w:jc w:val="both"/>
              <w:rPr>
                <w:sz w:val="20"/>
                <w:szCs w:val="22"/>
              </w:rPr>
            </w:pPr>
            <w:r>
              <w:rPr>
                <w:rFonts w:eastAsia="Arial" w:cs="Arial"/>
                <w:color w:val="000000"/>
                <w:sz w:val="20"/>
                <w:szCs w:val="20"/>
              </w:rPr>
              <w:t>Angie Paola Triana Montañez</w:t>
            </w:r>
          </w:p>
        </w:tc>
      </w:tr>
      <w:tr w:rsidR="0045782D" w14:paraId="022BA904" w14:textId="77777777" w:rsidTr="00C2690A">
        <w:trPr>
          <w:trHeight w:val="651"/>
        </w:trPr>
        <w:tc>
          <w:tcPr>
            <w:tcW w:w="2166" w:type="pct"/>
            <w:shd w:val="clear" w:color="auto" w:fill="F2F2F2" w:themeFill="background1" w:themeFillShade="F2"/>
            <w:vAlign w:val="center"/>
          </w:tcPr>
          <w:p w14:paraId="0C29F327" w14:textId="0FB316A9" w:rsidR="0045782D" w:rsidRPr="00AD5687" w:rsidRDefault="0045782D" w:rsidP="005149BA">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2E0A54E6" w:rsidR="0045782D" w:rsidRPr="00097C7B" w:rsidRDefault="006C5FC0" w:rsidP="005149BA">
            <w:pPr>
              <w:pStyle w:val="Prrafodelista"/>
              <w:ind w:left="31"/>
              <w:jc w:val="both"/>
              <w:rPr>
                <w:sz w:val="20"/>
                <w:szCs w:val="22"/>
              </w:rPr>
            </w:pPr>
            <w:r>
              <w:rPr>
                <w:rFonts w:eastAsia="Arial" w:cs="Arial"/>
                <w:color w:val="000000"/>
                <w:sz w:val="20"/>
                <w:szCs w:val="20"/>
              </w:rPr>
              <w:t>Del 01 al 14 de febrero de 2022</w:t>
            </w:r>
          </w:p>
        </w:tc>
      </w:tr>
      <w:tr w:rsidR="0045782D" w14:paraId="48D3900F" w14:textId="77777777" w:rsidTr="000804B7">
        <w:trPr>
          <w:trHeight w:val="498"/>
        </w:trPr>
        <w:tc>
          <w:tcPr>
            <w:tcW w:w="2166" w:type="pct"/>
            <w:shd w:val="clear" w:color="auto" w:fill="F2F2F2" w:themeFill="background1" w:themeFillShade="F2"/>
            <w:vAlign w:val="center"/>
          </w:tcPr>
          <w:p w14:paraId="5FFFB5D3" w14:textId="64791308" w:rsidR="0045782D" w:rsidRPr="00AD5687" w:rsidRDefault="0045782D" w:rsidP="005149BA">
            <w:pPr>
              <w:jc w:val="both"/>
              <w:rPr>
                <w:rFonts w:cs="Arial"/>
                <w:b/>
                <w:sz w:val="20"/>
                <w:szCs w:val="22"/>
                <w:lang w:val="es-MX"/>
              </w:rPr>
            </w:pPr>
            <w:r w:rsidRPr="00AD5687">
              <w:rPr>
                <w:rFonts w:cs="Arial"/>
                <w:b/>
                <w:sz w:val="20"/>
                <w:szCs w:val="22"/>
              </w:rPr>
              <w:t>INSUMOS</w:t>
            </w:r>
          </w:p>
        </w:tc>
        <w:tc>
          <w:tcPr>
            <w:tcW w:w="2834" w:type="pct"/>
            <w:gridSpan w:val="6"/>
            <w:shd w:val="clear" w:color="auto" w:fill="auto"/>
          </w:tcPr>
          <w:p w14:paraId="6FEF4268" w14:textId="284BCB5E" w:rsidR="0045782D" w:rsidRPr="00097C7B" w:rsidRDefault="006C5FC0" w:rsidP="005149BA">
            <w:pPr>
              <w:pStyle w:val="Prrafodelista"/>
              <w:ind w:left="31"/>
              <w:jc w:val="both"/>
              <w:rPr>
                <w:sz w:val="20"/>
                <w:szCs w:val="22"/>
              </w:rPr>
            </w:pPr>
            <w:r>
              <w:rPr>
                <w:rFonts w:eastAsia="Arial" w:cs="Arial"/>
                <w:color w:val="000000"/>
                <w:sz w:val="20"/>
                <w:szCs w:val="20"/>
              </w:rPr>
              <w:t xml:space="preserve">Los resultados se fundamentan en la evaluación de la información publicada en la página web institucional, </w:t>
            </w:r>
            <w:r>
              <w:rPr>
                <w:rFonts w:eastAsia="Arial" w:cs="Arial"/>
                <w:color w:val="000000"/>
                <w:sz w:val="20"/>
                <w:szCs w:val="20"/>
              </w:rPr>
              <w:lastRenderedPageBreak/>
              <w:t>en el enlace https://idpc.gov.co/transparencia-y-acceso-a-la-informacion-publica-ley-1712-del-6-de-marzo-de-2014 y en la validación de la información proporcionada por parte de las dependencias con respecto a las condiciones técnicas y de seguridad digital.</w:t>
            </w:r>
          </w:p>
        </w:tc>
      </w:tr>
      <w:tr w:rsidR="0045782D" w14:paraId="0ACC3BE1" w14:textId="77777777" w:rsidTr="006F79F3">
        <w:trPr>
          <w:trHeight w:val="659"/>
        </w:trPr>
        <w:tc>
          <w:tcPr>
            <w:tcW w:w="2166" w:type="pct"/>
            <w:shd w:val="clear" w:color="auto" w:fill="F2F2F2" w:themeFill="background1" w:themeFillShade="F2"/>
            <w:vAlign w:val="center"/>
          </w:tcPr>
          <w:p w14:paraId="774A6816" w14:textId="13DBF83E" w:rsidR="0045782D" w:rsidRPr="00AD5687" w:rsidRDefault="0045782D" w:rsidP="005149BA">
            <w:pPr>
              <w:jc w:val="both"/>
              <w:rPr>
                <w:rFonts w:cs="Arial"/>
                <w:b/>
                <w:sz w:val="20"/>
                <w:szCs w:val="22"/>
                <w:lang w:val="es-MX"/>
              </w:rPr>
            </w:pPr>
            <w:r w:rsidRPr="00AD5687">
              <w:rPr>
                <w:rFonts w:cs="Arial"/>
                <w:b/>
                <w:sz w:val="20"/>
                <w:szCs w:val="22"/>
              </w:rPr>
              <w:lastRenderedPageBreak/>
              <w:t>LIMITACIONES DE LA EVALUACIÓN Y/O SEGUIMIENTO</w:t>
            </w:r>
          </w:p>
        </w:tc>
        <w:tc>
          <w:tcPr>
            <w:tcW w:w="2834" w:type="pct"/>
            <w:gridSpan w:val="6"/>
            <w:vAlign w:val="center"/>
          </w:tcPr>
          <w:p w14:paraId="7C880F9F" w14:textId="51D218D1" w:rsidR="0045782D" w:rsidRPr="00097C7B" w:rsidRDefault="003614C7" w:rsidP="005149BA">
            <w:pPr>
              <w:pStyle w:val="Prrafodelista"/>
              <w:ind w:left="31"/>
              <w:jc w:val="both"/>
              <w:rPr>
                <w:sz w:val="20"/>
                <w:szCs w:val="22"/>
              </w:rPr>
            </w:pPr>
            <w:r>
              <w:rPr>
                <w:sz w:val="20"/>
                <w:szCs w:val="22"/>
              </w:rPr>
              <w:t xml:space="preserve">Ninguna </w:t>
            </w:r>
          </w:p>
        </w:tc>
      </w:tr>
      <w:bookmarkEnd w:id="0"/>
    </w:tbl>
    <w:p w14:paraId="5BA29B7D" w14:textId="77777777" w:rsidR="006C5FC0" w:rsidRDefault="006C5FC0" w:rsidP="005149BA">
      <w:pPr>
        <w:pBdr>
          <w:top w:val="nil"/>
          <w:left w:val="nil"/>
          <w:bottom w:val="nil"/>
          <w:right w:val="nil"/>
          <w:between w:val="nil"/>
        </w:pBdr>
        <w:ind w:left="720"/>
        <w:rPr>
          <w:b/>
          <w:color w:val="000000"/>
        </w:rPr>
      </w:pPr>
    </w:p>
    <w:p w14:paraId="5BC6FCBF" w14:textId="77777777" w:rsidR="006C5FC0" w:rsidRDefault="006C5FC0" w:rsidP="005149BA">
      <w:pPr>
        <w:pBdr>
          <w:top w:val="nil"/>
          <w:left w:val="nil"/>
          <w:bottom w:val="nil"/>
          <w:right w:val="nil"/>
          <w:between w:val="nil"/>
        </w:pBdr>
        <w:ind w:left="720"/>
        <w:rPr>
          <w:b/>
          <w:color w:val="000000"/>
        </w:rPr>
      </w:pPr>
    </w:p>
    <w:p w14:paraId="0833EFF2" w14:textId="77777777" w:rsidR="006C5FC0" w:rsidRDefault="006C5FC0" w:rsidP="005149BA">
      <w:pPr>
        <w:numPr>
          <w:ilvl w:val="0"/>
          <w:numId w:val="8"/>
        </w:numPr>
        <w:pBdr>
          <w:top w:val="nil"/>
          <w:left w:val="nil"/>
          <w:bottom w:val="nil"/>
          <w:right w:val="nil"/>
          <w:between w:val="nil"/>
        </w:pBdr>
        <w:jc w:val="center"/>
        <w:rPr>
          <w:b/>
          <w:color w:val="000000"/>
        </w:rPr>
      </w:pPr>
      <w:r>
        <w:rPr>
          <w:rFonts w:eastAsia="Arial" w:cs="Arial"/>
          <w:b/>
          <w:color w:val="000000"/>
          <w:szCs w:val="22"/>
        </w:rPr>
        <w:t>RESULTADOS DE LA EVALUACIÓN Y/O SEGUIMIENTO</w:t>
      </w:r>
    </w:p>
    <w:p w14:paraId="4B88BFC0" w14:textId="77777777" w:rsidR="006C5FC0" w:rsidRDefault="006C5FC0" w:rsidP="005149BA">
      <w:pPr>
        <w:jc w:val="both"/>
        <w:rPr>
          <w:b/>
        </w:rPr>
      </w:pPr>
    </w:p>
    <w:p w14:paraId="5831025D" w14:textId="77777777" w:rsidR="006C5FC0" w:rsidRDefault="006C5FC0" w:rsidP="005149BA">
      <w:pPr>
        <w:jc w:val="both"/>
      </w:pPr>
      <w:r>
        <w:t>La evaluación se realizó de conformidad con las disposiciones contenidas en la Ley 1712 de 2014 y en la Resolución 1519 de 2020, referentes a Transparencia y Acceso a la Información Pública.</w:t>
      </w:r>
    </w:p>
    <w:p w14:paraId="6B348CEA" w14:textId="77777777" w:rsidR="006C5FC0" w:rsidRDefault="006C5FC0" w:rsidP="005149BA">
      <w:pPr>
        <w:jc w:val="both"/>
      </w:pPr>
    </w:p>
    <w:p w14:paraId="5A0ED2C2" w14:textId="1F6F50B2" w:rsidR="006C5FC0" w:rsidRDefault="006C5FC0" w:rsidP="005149BA">
      <w:pPr>
        <w:jc w:val="both"/>
      </w:pPr>
      <w:r>
        <w:t>El alcance del informe comprende la aplicación con corte al 31 de diciembre de 2021, por parte del Instituto Distrital de Patrimonio Cultural IDPC, de los anexos a la Resolución 1519 de 2020, que se relacionan a continuación:</w:t>
      </w:r>
    </w:p>
    <w:p w14:paraId="05B85018" w14:textId="77777777" w:rsidR="006C5FC0" w:rsidRDefault="006C5FC0" w:rsidP="005149BA">
      <w:pPr>
        <w:jc w:val="both"/>
      </w:pPr>
    </w:p>
    <w:p w14:paraId="0AE5669D" w14:textId="77777777" w:rsidR="006C5FC0" w:rsidRDefault="006C5FC0" w:rsidP="005149BA">
      <w:pPr>
        <w:numPr>
          <w:ilvl w:val="0"/>
          <w:numId w:val="10"/>
        </w:numPr>
        <w:pBdr>
          <w:top w:val="nil"/>
          <w:left w:val="nil"/>
          <w:bottom w:val="nil"/>
          <w:right w:val="nil"/>
          <w:between w:val="nil"/>
        </w:pBdr>
        <w:jc w:val="both"/>
        <w:rPr>
          <w:color w:val="000000"/>
        </w:rPr>
      </w:pPr>
      <w:r>
        <w:rPr>
          <w:rFonts w:eastAsia="Arial" w:cs="Arial"/>
          <w:color w:val="000000"/>
          <w:szCs w:val="22"/>
        </w:rPr>
        <w:t>Anexo 2. Estándares de publicación y divulgación.</w:t>
      </w:r>
    </w:p>
    <w:p w14:paraId="1D9E49DD" w14:textId="77777777" w:rsidR="006C5FC0" w:rsidRDefault="006C5FC0" w:rsidP="005149BA">
      <w:pPr>
        <w:numPr>
          <w:ilvl w:val="0"/>
          <w:numId w:val="10"/>
        </w:numPr>
        <w:pBdr>
          <w:top w:val="nil"/>
          <w:left w:val="nil"/>
          <w:bottom w:val="nil"/>
          <w:right w:val="nil"/>
          <w:between w:val="nil"/>
        </w:pBdr>
        <w:jc w:val="both"/>
        <w:rPr>
          <w:color w:val="000000"/>
        </w:rPr>
      </w:pPr>
      <w:r>
        <w:rPr>
          <w:rFonts w:eastAsia="Arial" w:cs="Arial"/>
          <w:color w:val="000000"/>
          <w:szCs w:val="22"/>
        </w:rPr>
        <w:t>Anexo 3. Condiciones mínimas técnicas y de seguridad digital.</w:t>
      </w:r>
    </w:p>
    <w:p w14:paraId="5C8458EF" w14:textId="77777777" w:rsidR="006C5FC0" w:rsidRDefault="006C5FC0" w:rsidP="005149BA">
      <w:pPr>
        <w:numPr>
          <w:ilvl w:val="0"/>
          <w:numId w:val="10"/>
        </w:numPr>
        <w:pBdr>
          <w:top w:val="nil"/>
          <w:left w:val="nil"/>
          <w:bottom w:val="nil"/>
          <w:right w:val="nil"/>
          <w:between w:val="nil"/>
        </w:pBdr>
        <w:jc w:val="both"/>
        <w:rPr>
          <w:color w:val="000000"/>
        </w:rPr>
      </w:pPr>
      <w:r>
        <w:rPr>
          <w:rFonts w:eastAsia="Arial" w:cs="Arial"/>
          <w:color w:val="000000"/>
          <w:szCs w:val="22"/>
        </w:rPr>
        <w:t>Anexo 4. Requisitos mínimos de datos abiertos</w:t>
      </w:r>
    </w:p>
    <w:p w14:paraId="5C54A4C3" w14:textId="77777777" w:rsidR="006C5FC0" w:rsidRDefault="006C5FC0" w:rsidP="005149BA">
      <w:pPr>
        <w:jc w:val="both"/>
      </w:pPr>
    </w:p>
    <w:p w14:paraId="3641A1CF" w14:textId="77777777" w:rsidR="006C5FC0" w:rsidRDefault="006C5FC0" w:rsidP="005149BA">
      <w:pPr>
        <w:jc w:val="both"/>
      </w:pPr>
    </w:p>
    <w:p w14:paraId="0EE95B4B" w14:textId="77777777" w:rsidR="006C5FC0" w:rsidRDefault="006C5FC0" w:rsidP="005149BA">
      <w:pPr>
        <w:numPr>
          <w:ilvl w:val="1"/>
          <w:numId w:val="8"/>
        </w:numPr>
        <w:pBdr>
          <w:top w:val="nil"/>
          <w:left w:val="nil"/>
          <w:bottom w:val="nil"/>
          <w:right w:val="nil"/>
          <w:between w:val="nil"/>
        </w:pBdr>
        <w:rPr>
          <w:b/>
          <w:color w:val="000000"/>
        </w:rPr>
      </w:pPr>
      <w:r>
        <w:rPr>
          <w:rFonts w:eastAsia="Arial" w:cs="Arial"/>
          <w:b/>
          <w:color w:val="000000"/>
          <w:szCs w:val="22"/>
        </w:rPr>
        <w:t>ESTÁNDARES DE PUBLICACIÓN Y DIVULGACIÓN DE INFORMACIÓN</w:t>
      </w:r>
    </w:p>
    <w:p w14:paraId="295FFE9A" w14:textId="77777777" w:rsidR="006C5FC0" w:rsidRDefault="006C5FC0" w:rsidP="005149BA">
      <w:pPr>
        <w:pBdr>
          <w:top w:val="nil"/>
          <w:left w:val="nil"/>
          <w:bottom w:val="nil"/>
          <w:right w:val="nil"/>
          <w:between w:val="nil"/>
        </w:pBdr>
        <w:ind w:left="735"/>
        <w:rPr>
          <w:b/>
          <w:color w:val="000000"/>
        </w:rPr>
      </w:pPr>
    </w:p>
    <w:p w14:paraId="62B70FD1" w14:textId="77777777" w:rsidR="006C5FC0" w:rsidRDefault="006C5FC0" w:rsidP="005149BA">
      <w:pPr>
        <w:numPr>
          <w:ilvl w:val="2"/>
          <w:numId w:val="8"/>
        </w:numPr>
        <w:pBdr>
          <w:top w:val="nil"/>
          <w:left w:val="nil"/>
          <w:bottom w:val="nil"/>
          <w:right w:val="nil"/>
          <w:between w:val="nil"/>
        </w:pBdr>
        <w:rPr>
          <w:b/>
          <w:color w:val="000000"/>
        </w:rPr>
      </w:pPr>
      <w:r>
        <w:rPr>
          <w:rFonts w:eastAsia="Arial" w:cs="Arial"/>
          <w:b/>
          <w:color w:val="000000"/>
          <w:szCs w:val="22"/>
        </w:rPr>
        <w:t>REQUISITOS SOBRE IDENTIDAD VISUAL Y ARTICULACIÓN CON EL PORTAL ÚNICO DEL ESTADO COLOMBIANO GOV.CO</w:t>
      </w:r>
      <w:r>
        <w:rPr>
          <w:rFonts w:eastAsia="Arial" w:cs="Arial"/>
          <w:color w:val="000000"/>
          <w:szCs w:val="22"/>
        </w:rPr>
        <w:t>.</w:t>
      </w:r>
    </w:p>
    <w:p w14:paraId="23E6B5C5" w14:textId="77777777" w:rsidR="006C5FC0" w:rsidRDefault="006C5FC0" w:rsidP="005149BA">
      <w:pPr>
        <w:jc w:val="both"/>
      </w:pPr>
    </w:p>
    <w:p w14:paraId="64D80F2C" w14:textId="77777777" w:rsidR="006C5FC0" w:rsidRDefault="006C5FC0" w:rsidP="005149BA">
      <w:pPr>
        <w:jc w:val="both"/>
      </w:pPr>
      <w:r>
        <w:t>Se señala que los sujetos obligados deberán adoptar sus sitios web bajo los siguientes estándares y lineamientos, los cuales deberán procurar el acceso autónomo e independiente de las personas con discapacidad sensorial e intelectual:</w:t>
      </w:r>
    </w:p>
    <w:p w14:paraId="4FCAE533" w14:textId="77777777" w:rsidR="006C5FC0" w:rsidRDefault="006C5FC0" w:rsidP="005149BA">
      <w:pPr>
        <w:jc w:val="both"/>
      </w:pPr>
    </w:p>
    <w:p w14:paraId="35C7A3AE"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Top Bar GOV.CO</w:t>
      </w:r>
    </w:p>
    <w:p w14:paraId="46DF0EFF" w14:textId="77777777" w:rsidR="006C5FC0" w:rsidRDefault="006C5FC0" w:rsidP="005149BA">
      <w:pPr>
        <w:jc w:val="both"/>
      </w:pPr>
    </w:p>
    <w:p w14:paraId="764F1CBB" w14:textId="77777777" w:rsidR="006C5FC0" w:rsidRDefault="006C5FC0" w:rsidP="005149BA">
      <w:pPr>
        <w:jc w:val="both"/>
      </w:pPr>
      <w:r>
        <w:t xml:space="preserve">Los sujetos obligados deben acondicionar una barra con acceso al Portal Único del Estado Colombiano GOV.CO ubicada en la parte superior de todas las páginas y visitas. La barra de GOV.CO contendrá su respectivo logotipo el cual deberá dirigir al sitio web </w:t>
      </w:r>
      <w:hyperlink r:id="rId7">
        <w:r>
          <w:rPr>
            <w:color w:val="000080"/>
            <w:u w:val="single"/>
          </w:rPr>
          <w:t>https://www.gov.co</w:t>
        </w:r>
      </w:hyperlink>
      <w:r>
        <w:t xml:space="preserve">. </w:t>
      </w:r>
    </w:p>
    <w:p w14:paraId="540E38CE" w14:textId="77777777" w:rsidR="006C5FC0" w:rsidRDefault="006C5FC0" w:rsidP="005149BA">
      <w:pPr>
        <w:jc w:val="both"/>
      </w:pPr>
    </w:p>
    <w:p w14:paraId="40A60EE1" w14:textId="77777777" w:rsidR="006C5FC0" w:rsidRDefault="006C5FC0" w:rsidP="005149BA">
      <w:pPr>
        <w:jc w:val="both"/>
      </w:pPr>
      <w:r>
        <w:rPr>
          <w:noProof/>
          <w:lang w:val="es-MX" w:eastAsia="es-MX"/>
        </w:rPr>
        <w:lastRenderedPageBreak/>
        <w:drawing>
          <wp:inline distT="0" distB="0" distL="0" distR="0" wp14:anchorId="31C85CDB" wp14:editId="6E9F0869">
            <wp:extent cx="5612130" cy="1740239"/>
            <wp:effectExtent l="9525" t="9525" r="9525" b="9525"/>
            <wp:docPr id="23" name="image12.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Teams&#10;&#10;Descripción generada automáticamente"/>
                    <pic:cNvPicPr preferRelativeResize="0"/>
                  </pic:nvPicPr>
                  <pic:blipFill>
                    <a:blip r:embed="rId8"/>
                    <a:srcRect t="4186" b="35529"/>
                    <a:stretch>
                      <a:fillRect/>
                    </a:stretch>
                  </pic:blipFill>
                  <pic:spPr>
                    <a:xfrm>
                      <a:off x="0" y="0"/>
                      <a:ext cx="5612130" cy="1740239"/>
                    </a:xfrm>
                    <a:prstGeom prst="rect">
                      <a:avLst/>
                    </a:prstGeom>
                    <a:ln w="9525">
                      <a:solidFill>
                        <a:srgbClr val="000000"/>
                      </a:solidFill>
                      <a:prstDash val="solid"/>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66128F97" wp14:editId="711B7FF9">
                <wp:simplePos x="0" y="0"/>
                <wp:positionH relativeFrom="column">
                  <wp:posOffset>63501</wp:posOffset>
                </wp:positionH>
                <wp:positionV relativeFrom="paragraph">
                  <wp:posOffset>-63499</wp:posOffset>
                </wp:positionV>
                <wp:extent cx="800100" cy="224533"/>
                <wp:effectExtent l="0" t="0" r="0" b="0"/>
                <wp:wrapNone/>
                <wp:docPr id="21" name="Rectángulo 21"/>
                <wp:cNvGraphicFramePr/>
                <a:graphic xmlns:a="http://schemas.openxmlformats.org/drawingml/2006/main">
                  <a:graphicData uri="http://schemas.microsoft.com/office/word/2010/wordprocessingShape">
                    <wps:wsp>
                      <wps:cNvSpPr/>
                      <wps:spPr>
                        <a:xfrm>
                          <a:off x="4955475" y="3677259"/>
                          <a:ext cx="781050" cy="205483"/>
                        </a:xfrm>
                        <a:prstGeom prst="rect">
                          <a:avLst/>
                        </a:prstGeom>
                        <a:noFill/>
                        <a:ln w="19050" cap="flat" cmpd="sng">
                          <a:solidFill>
                            <a:srgbClr val="FF0000"/>
                          </a:solidFill>
                          <a:prstDash val="solid"/>
                          <a:miter lim="800000"/>
                          <a:headEnd type="none" w="sm" len="sm"/>
                          <a:tailEnd type="none" w="sm" len="sm"/>
                        </a:ln>
                      </wps:spPr>
                      <wps:txbx>
                        <w:txbxContent>
                          <w:p w14:paraId="57D3523D" w14:textId="77777777" w:rsidR="006C5FC0" w:rsidRDefault="006C5FC0" w:rsidP="006C5FC0">
                            <w:pPr>
                              <w:textDirection w:val="btLr"/>
                            </w:pPr>
                          </w:p>
                        </w:txbxContent>
                      </wps:txbx>
                      <wps:bodyPr spcFirstLastPara="1" wrap="square" lIns="91425" tIns="91425" rIns="91425" bIns="91425" anchor="ctr" anchorCtr="0">
                        <a:noAutofit/>
                      </wps:bodyPr>
                    </wps:wsp>
                  </a:graphicData>
                </a:graphic>
              </wp:anchor>
            </w:drawing>
          </mc:Choice>
          <mc:Fallback>
            <w:pict>
              <v:rect w14:anchorId="66128F97" id="Rectángulo 21" o:spid="_x0000_s1026" style="position:absolute;left:0;text-align:left;margin-left:5pt;margin-top:-5pt;width:63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" filled="f" strokecolor="red" strokeweight="1.5pt">
                <v:stroke startarrowwidth="narrow" startarrowlength="short" endarrowwidth="narrow" endarrowlength="short"/>
                <v:textbox inset="2.53958mm,2.53958mm,2.53958mm,2.53958mm">
                  <w:txbxContent>
                    <w:p w14:paraId="57D3523D" w14:textId="77777777" w:rsidR="006C5FC0" w:rsidRDefault="006C5FC0" w:rsidP="006C5FC0">
                      <w:pPr>
                        <w:textDirection w:val="btLr"/>
                      </w:pPr>
                    </w:p>
                  </w:txbxContent>
                </v:textbox>
              </v:rect>
            </w:pict>
          </mc:Fallback>
        </mc:AlternateContent>
      </w:r>
    </w:p>
    <w:p w14:paraId="3D9591A0" w14:textId="77777777" w:rsidR="006C5FC0" w:rsidRDefault="006C5FC0" w:rsidP="005149BA">
      <w:pPr>
        <w:jc w:val="both"/>
      </w:pPr>
    </w:p>
    <w:p w14:paraId="2E007055" w14:textId="77777777" w:rsidR="006C5FC0" w:rsidRDefault="006C5FC0" w:rsidP="005149BA">
      <w:pPr>
        <w:jc w:val="both"/>
      </w:pPr>
      <w:r>
        <w:t>En la página web institucional se identifica la barra superior completa, con el logotipo que redirige hacia el Portal Único del Estado Colombiana GOV.CO (https://www.gov.co/home/https://www.gov.co/home/).</w:t>
      </w:r>
    </w:p>
    <w:p w14:paraId="61E2321C" w14:textId="77777777" w:rsidR="006C5FC0" w:rsidRDefault="006C5FC0" w:rsidP="005149BA">
      <w:pPr>
        <w:jc w:val="both"/>
      </w:pPr>
    </w:p>
    <w:p w14:paraId="16A88A90" w14:textId="77777777" w:rsidR="005149BA" w:rsidRDefault="005149BA" w:rsidP="005149BA">
      <w:pPr>
        <w:jc w:val="both"/>
      </w:pPr>
    </w:p>
    <w:p w14:paraId="3DA95615"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Footer o Pie de Página</w:t>
      </w:r>
    </w:p>
    <w:p w14:paraId="24582B6A" w14:textId="77777777" w:rsidR="006C5FC0" w:rsidRDefault="006C5FC0" w:rsidP="005149BA">
      <w:pPr>
        <w:jc w:val="both"/>
      </w:pPr>
      <w:r>
        <w:tab/>
      </w:r>
    </w:p>
    <w:p w14:paraId="6586356E" w14:textId="77777777" w:rsidR="006C5FC0" w:rsidRDefault="006C5FC0" w:rsidP="005149BA">
      <w:pPr>
        <w:jc w:val="both"/>
      </w:pPr>
      <w:r>
        <w:t>Los sujetos obligados deben acondicionar un pie de página que incluya la siguiente información:</w:t>
      </w:r>
    </w:p>
    <w:p w14:paraId="68BCB871" w14:textId="77777777" w:rsidR="006C5FC0" w:rsidRDefault="006C5FC0" w:rsidP="005149BA">
      <w:pPr>
        <w:jc w:val="both"/>
      </w:pPr>
    </w:p>
    <w:p w14:paraId="2AFCAE14" w14:textId="77777777" w:rsidR="006C5FC0" w:rsidRDefault="006C5FC0" w:rsidP="005149BA">
      <w:pPr>
        <w:numPr>
          <w:ilvl w:val="0"/>
          <w:numId w:val="16"/>
        </w:numPr>
        <w:pBdr>
          <w:top w:val="nil"/>
          <w:left w:val="nil"/>
          <w:bottom w:val="nil"/>
          <w:right w:val="nil"/>
          <w:between w:val="nil"/>
        </w:pBdr>
        <w:ind w:left="284" w:hanging="284"/>
        <w:jc w:val="both"/>
      </w:pPr>
      <w:r>
        <w:rPr>
          <w:rFonts w:eastAsia="Arial" w:cs="Arial"/>
          <w:color w:val="000000"/>
          <w:szCs w:val="22"/>
        </w:rPr>
        <w:t>Imagen del Portal Único del Estado Colombiano y el logo de la marca país CO Colombia.</w:t>
      </w:r>
    </w:p>
    <w:p w14:paraId="3AAF05BD" w14:textId="77777777" w:rsidR="006C5FC0" w:rsidRDefault="006C5FC0" w:rsidP="005149BA">
      <w:pPr>
        <w:numPr>
          <w:ilvl w:val="0"/>
          <w:numId w:val="16"/>
        </w:numPr>
        <w:pBdr>
          <w:top w:val="nil"/>
          <w:left w:val="nil"/>
          <w:bottom w:val="nil"/>
          <w:right w:val="nil"/>
          <w:between w:val="nil"/>
        </w:pBdr>
        <w:ind w:left="284" w:hanging="284"/>
        <w:jc w:val="both"/>
      </w:pPr>
      <w:r>
        <w:rPr>
          <w:rFonts w:eastAsia="Arial" w:cs="Arial"/>
          <w:color w:val="000000"/>
          <w:szCs w:val="22"/>
        </w:rPr>
        <w:t xml:space="preserve">Nombre de la entidad, como mínimo una dirección incluyendo el departamento (si aplica) y municipio o distrito. </w:t>
      </w:r>
    </w:p>
    <w:p w14:paraId="677C00A5" w14:textId="77777777" w:rsidR="006C5FC0" w:rsidRDefault="006C5FC0" w:rsidP="005149BA">
      <w:pPr>
        <w:numPr>
          <w:ilvl w:val="0"/>
          <w:numId w:val="16"/>
        </w:numPr>
        <w:pBdr>
          <w:top w:val="nil"/>
          <w:left w:val="nil"/>
          <w:bottom w:val="nil"/>
          <w:right w:val="nil"/>
          <w:between w:val="nil"/>
        </w:pBdr>
        <w:ind w:left="284" w:hanging="284"/>
        <w:jc w:val="both"/>
      </w:pPr>
      <w:r>
        <w:rPr>
          <w:rFonts w:eastAsia="Arial" w:cs="Arial"/>
          <w:color w:val="000000"/>
          <w:szCs w:val="22"/>
        </w:rPr>
        <w:t>Vínculo a redes sociales, para ser redireccionado en los botones respectivos. La autoridad deberá, en virtud del artículo 16 del Decreto 2106 de 2019, y del capítulo V del Decreto Nacional 1080 de 2014, y demás normas expedidas por el Archivo General de la Nación relacionadas, disponer de lo necesario para que la emisión, recepción y gestión de comunicaciones oficiales, a través de los diversos canales electrónicos, asegure un adecuado tratamiento archivístico y estar debidamente alineado con la gestión documental electrónica y de archivo digital.</w:t>
      </w:r>
    </w:p>
    <w:p w14:paraId="1B31A3BE" w14:textId="77777777" w:rsidR="006C5FC0" w:rsidRDefault="006C5FC0" w:rsidP="005149BA">
      <w:pPr>
        <w:numPr>
          <w:ilvl w:val="0"/>
          <w:numId w:val="16"/>
        </w:numPr>
        <w:pBdr>
          <w:top w:val="nil"/>
          <w:left w:val="nil"/>
          <w:bottom w:val="nil"/>
          <w:right w:val="nil"/>
          <w:between w:val="nil"/>
        </w:pBdr>
        <w:ind w:left="284" w:hanging="284"/>
        <w:jc w:val="both"/>
      </w:pPr>
      <w:r>
        <w:rPr>
          <w:rFonts w:eastAsia="Arial" w:cs="Arial"/>
          <w:color w:val="000000"/>
          <w:szCs w:val="22"/>
        </w:rPr>
        <w:t>Datos de contacto, incluyendo: teléfono conmutador, línea gratuita o línea de servicio a la ciudadanía/usuario, línea anticorrupción, identificación de canales físicos y electrónicos para atención al público, correo de notificaciones judiciales, enlace para el mapa del sitio, enlace para vincular a las políticas que hace referencia en el numeral 2.3. Todas las líneas telefónicas deberán incluir el prefijo de país +57, y el número significativo nacional (indicativo nacional) que determine la Comisión de Regulación de Comunicaciones.</w:t>
      </w:r>
    </w:p>
    <w:p w14:paraId="5A6375C8" w14:textId="77777777" w:rsidR="006C5FC0" w:rsidRDefault="006C5FC0" w:rsidP="005149BA">
      <w:pPr>
        <w:numPr>
          <w:ilvl w:val="0"/>
          <w:numId w:val="16"/>
        </w:numPr>
        <w:pBdr>
          <w:top w:val="nil"/>
          <w:left w:val="nil"/>
          <w:bottom w:val="nil"/>
          <w:right w:val="nil"/>
          <w:between w:val="nil"/>
        </w:pBdr>
        <w:ind w:left="284" w:hanging="284"/>
        <w:jc w:val="both"/>
      </w:pPr>
      <w:r>
        <w:rPr>
          <w:rFonts w:eastAsia="Arial" w:cs="Arial"/>
          <w:color w:val="000000"/>
          <w:sz w:val="21"/>
          <w:szCs w:val="21"/>
        </w:rPr>
        <w:t>Para las entidades territoriales la paleta de colores podrá variar, conforme con los colores institucionales del respectivo sujeto obligado.</w:t>
      </w:r>
    </w:p>
    <w:p w14:paraId="34AA579E" w14:textId="77777777" w:rsidR="006C5FC0" w:rsidRDefault="006C5FC0" w:rsidP="005149BA">
      <w:pPr>
        <w:jc w:val="both"/>
      </w:pPr>
      <w:r>
        <w:rPr>
          <w:noProof/>
          <w:lang w:val="es-MX" w:eastAsia="es-MX"/>
        </w:rPr>
        <w:lastRenderedPageBreak/>
        <w:drawing>
          <wp:inline distT="0" distB="0" distL="0" distR="0" wp14:anchorId="470977C8" wp14:editId="5145051A">
            <wp:extent cx="5612130" cy="2753360"/>
            <wp:effectExtent l="0" t="0" r="0" b="0"/>
            <wp:docPr id="25" name="image1.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Una captura de pantalla de una red social&#10;&#10;Descripción generada automáticamente"/>
                    <pic:cNvPicPr preferRelativeResize="0"/>
                  </pic:nvPicPr>
                  <pic:blipFill>
                    <a:blip r:embed="rId9"/>
                    <a:srcRect/>
                    <a:stretch>
                      <a:fillRect/>
                    </a:stretch>
                  </pic:blipFill>
                  <pic:spPr>
                    <a:xfrm>
                      <a:off x="0" y="0"/>
                      <a:ext cx="5612130" cy="2753360"/>
                    </a:xfrm>
                    <a:prstGeom prst="rect">
                      <a:avLst/>
                    </a:prstGeom>
                    <a:ln/>
                  </pic:spPr>
                </pic:pic>
              </a:graphicData>
            </a:graphic>
          </wp:inline>
        </w:drawing>
      </w:r>
    </w:p>
    <w:p w14:paraId="05F019B3" w14:textId="77777777" w:rsidR="006C5FC0" w:rsidRDefault="006C5FC0" w:rsidP="005149BA">
      <w:pPr>
        <w:jc w:val="both"/>
      </w:pPr>
    </w:p>
    <w:p w14:paraId="67169E93" w14:textId="77777777" w:rsidR="006C5FC0" w:rsidRDefault="006C5FC0" w:rsidP="005149BA">
      <w:pPr>
        <w:jc w:val="both"/>
      </w:pPr>
      <w:r>
        <w:t>El pie de página incluye nombre, dirección, vínculo a redes sociales, teléfono, línea distrital de información gratuita, correo de notificaciones judiciales y enlace de la política de privacidad y tratamiento de datos personales. Sin embargo, se resalta que los enlaces del mapa del sitio, de la documentación de términos y condiciones y de la política de derechos de autos no se encuentran habilitados.</w:t>
      </w:r>
    </w:p>
    <w:p w14:paraId="69CE503B" w14:textId="77777777" w:rsidR="006C5FC0" w:rsidRDefault="006C5FC0" w:rsidP="005149BA">
      <w:pPr>
        <w:jc w:val="both"/>
      </w:pPr>
    </w:p>
    <w:p w14:paraId="5AD8739A" w14:textId="77777777" w:rsidR="005149BA" w:rsidRDefault="005149BA" w:rsidP="005149BA">
      <w:pPr>
        <w:jc w:val="both"/>
      </w:pPr>
    </w:p>
    <w:p w14:paraId="2AE8D7AE"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 xml:space="preserve">Requisitos mínimos de políticas de cumplimiento legal </w:t>
      </w:r>
    </w:p>
    <w:p w14:paraId="41A6E56F" w14:textId="77777777" w:rsidR="006C5FC0" w:rsidRDefault="006C5FC0" w:rsidP="005149BA">
      <w:pPr>
        <w:jc w:val="both"/>
      </w:pPr>
    </w:p>
    <w:p w14:paraId="3ABCA825" w14:textId="77777777" w:rsidR="006C5FC0" w:rsidRDefault="006C5FC0" w:rsidP="005149BA">
      <w:pPr>
        <w:jc w:val="both"/>
      </w:pPr>
      <w:r>
        <w:t>Los sujetos obligados deberán publicar en el pie de página o footer, los documentos aprobados que hagan referencia a las siguientes políticas:</w:t>
      </w:r>
    </w:p>
    <w:p w14:paraId="728B5E97" w14:textId="77777777" w:rsidR="006C5FC0" w:rsidRDefault="006C5FC0" w:rsidP="005149BA">
      <w:pPr>
        <w:jc w:val="both"/>
      </w:pPr>
    </w:p>
    <w:p w14:paraId="67B8CE2D"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Términos y condiciones</w:t>
      </w:r>
    </w:p>
    <w:p w14:paraId="37CA6FFC"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Política de privacidad y tratamiento de datos personales.</w:t>
      </w:r>
    </w:p>
    <w:p w14:paraId="6C36F601"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Política de derechos de autor y/o autorización de uso sobre los contenidos.</w:t>
      </w:r>
    </w:p>
    <w:p w14:paraId="13886DF1"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Otras que correspondan conforme con la normativa vigente.</w:t>
      </w:r>
    </w:p>
    <w:p w14:paraId="73EE677A" w14:textId="77777777" w:rsidR="006C5FC0" w:rsidRDefault="006C5FC0" w:rsidP="005149BA">
      <w:pPr>
        <w:jc w:val="both"/>
      </w:pPr>
    </w:p>
    <w:p w14:paraId="1C04A49D" w14:textId="77777777" w:rsidR="006C5FC0" w:rsidRDefault="006C5FC0" w:rsidP="005149BA">
      <w:pPr>
        <w:jc w:val="both"/>
      </w:pPr>
      <w:r>
        <w:t>En el pie de página se encuentran listadas la política de privacidad y tratamiento de datos personales, los términos y condiciones y la política de derechos de autor. No obstante, solo se encuentra habilitado el enlace para la consulta de la política de privacidad y tratamiento de datos personales.</w:t>
      </w:r>
    </w:p>
    <w:p w14:paraId="792BE716" w14:textId="77777777" w:rsidR="006C5FC0" w:rsidRDefault="006C5FC0" w:rsidP="005149BA">
      <w:pPr>
        <w:jc w:val="both"/>
      </w:pPr>
    </w:p>
    <w:p w14:paraId="3CD7CB1D" w14:textId="77777777" w:rsidR="005149BA" w:rsidRDefault="005149BA" w:rsidP="005149BA">
      <w:pPr>
        <w:jc w:val="both"/>
      </w:pPr>
    </w:p>
    <w:p w14:paraId="244D1ED8"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Requisitos en Menú destacado</w:t>
      </w:r>
    </w:p>
    <w:p w14:paraId="3DA51504" w14:textId="77777777" w:rsidR="006C5FC0" w:rsidRDefault="006C5FC0" w:rsidP="005149BA">
      <w:pPr>
        <w:jc w:val="both"/>
      </w:pPr>
    </w:p>
    <w:p w14:paraId="01241E69" w14:textId="77777777" w:rsidR="006C5FC0" w:rsidRDefault="006C5FC0" w:rsidP="005149BA">
      <w:pPr>
        <w:jc w:val="both"/>
      </w:pPr>
      <w:r>
        <w:t>Los sujetos obligados tendrán que habilitar como mínimo tres menús destacados:</w:t>
      </w:r>
    </w:p>
    <w:p w14:paraId="61AF6175" w14:textId="77777777" w:rsidR="006C5FC0" w:rsidRDefault="006C5FC0" w:rsidP="005149BA">
      <w:pPr>
        <w:jc w:val="both"/>
      </w:pPr>
    </w:p>
    <w:p w14:paraId="203AB201"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Transparencia y acceso a la información pública</w:t>
      </w:r>
    </w:p>
    <w:p w14:paraId="06CB8FE8"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 xml:space="preserve">Atención y Servicios a la Ciudadanía. </w:t>
      </w:r>
    </w:p>
    <w:p w14:paraId="4A5C6BF5" w14:textId="77777777" w:rsidR="006C5FC0" w:rsidRDefault="006C5FC0" w:rsidP="005149BA">
      <w:pPr>
        <w:numPr>
          <w:ilvl w:val="0"/>
          <w:numId w:val="13"/>
        </w:numPr>
        <w:pBdr>
          <w:top w:val="nil"/>
          <w:left w:val="nil"/>
          <w:bottom w:val="nil"/>
          <w:right w:val="nil"/>
          <w:between w:val="nil"/>
        </w:pBdr>
        <w:ind w:left="426"/>
        <w:jc w:val="both"/>
        <w:rPr>
          <w:color w:val="000000"/>
        </w:rPr>
      </w:pPr>
      <w:r>
        <w:rPr>
          <w:rFonts w:eastAsia="Arial" w:cs="Arial"/>
          <w:color w:val="000000"/>
          <w:szCs w:val="22"/>
        </w:rPr>
        <w:t>Participa</w:t>
      </w:r>
    </w:p>
    <w:p w14:paraId="56A66414" w14:textId="77777777" w:rsidR="006C5FC0" w:rsidRDefault="006C5FC0" w:rsidP="005149BA">
      <w:pPr>
        <w:ind w:left="66"/>
        <w:jc w:val="both"/>
      </w:pPr>
    </w:p>
    <w:p w14:paraId="485A3772" w14:textId="77777777" w:rsidR="006C5FC0" w:rsidRDefault="006C5FC0" w:rsidP="005149BA">
      <w:pPr>
        <w:jc w:val="both"/>
        <w:rPr>
          <w:color w:val="000000"/>
        </w:rPr>
      </w:pPr>
      <w:r>
        <w:lastRenderedPageBreak/>
        <w:t>Los tres menús señalados se encuentran habilitados en la página web.</w:t>
      </w:r>
    </w:p>
    <w:p w14:paraId="480DE4A2" w14:textId="77777777" w:rsidR="006C5FC0" w:rsidRDefault="006C5FC0" w:rsidP="005149BA">
      <w:pPr>
        <w:pBdr>
          <w:top w:val="nil"/>
          <w:left w:val="nil"/>
          <w:bottom w:val="nil"/>
          <w:right w:val="nil"/>
          <w:between w:val="nil"/>
        </w:pBdr>
        <w:ind w:left="426"/>
        <w:jc w:val="both"/>
        <w:rPr>
          <w:color w:val="000000"/>
        </w:rPr>
      </w:pPr>
    </w:p>
    <w:p w14:paraId="3D97EE27" w14:textId="77777777" w:rsidR="005149BA" w:rsidRDefault="005149BA" w:rsidP="005149BA">
      <w:pPr>
        <w:pBdr>
          <w:top w:val="nil"/>
          <w:left w:val="nil"/>
          <w:bottom w:val="nil"/>
          <w:right w:val="nil"/>
          <w:between w:val="nil"/>
        </w:pBdr>
        <w:ind w:left="426"/>
        <w:jc w:val="both"/>
        <w:rPr>
          <w:color w:val="000000"/>
        </w:rPr>
      </w:pPr>
    </w:p>
    <w:p w14:paraId="5808FAFC"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Criterios generales de publicación de información pública</w:t>
      </w:r>
    </w:p>
    <w:p w14:paraId="6B91711B" w14:textId="77777777" w:rsidR="006C5FC0" w:rsidRDefault="006C5FC0" w:rsidP="005149BA">
      <w:pPr>
        <w:jc w:val="both"/>
      </w:pPr>
    </w:p>
    <w:p w14:paraId="45AD17AA" w14:textId="77777777" w:rsidR="006C5FC0" w:rsidRDefault="006C5FC0" w:rsidP="005149BA">
      <w:pPr>
        <w:numPr>
          <w:ilvl w:val="0"/>
          <w:numId w:val="2"/>
        </w:numPr>
        <w:pBdr>
          <w:top w:val="nil"/>
          <w:left w:val="nil"/>
          <w:bottom w:val="nil"/>
          <w:right w:val="nil"/>
          <w:between w:val="nil"/>
        </w:pBdr>
        <w:ind w:left="426" w:hanging="284"/>
        <w:jc w:val="both"/>
      </w:pPr>
      <w:r>
        <w:rPr>
          <w:rFonts w:eastAsia="Arial" w:cs="Arial"/>
          <w:color w:val="000000"/>
          <w:szCs w:val="22"/>
        </w:rPr>
        <w:t xml:space="preserve">Todo documento debe ser publicado de forma cronológica, del más reciente al más antiguo. </w:t>
      </w:r>
    </w:p>
    <w:p w14:paraId="1C719C2B" w14:textId="77777777" w:rsidR="006C5FC0" w:rsidRDefault="006C5FC0" w:rsidP="005149BA">
      <w:pPr>
        <w:pBdr>
          <w:top w:val="nil"/>
          <w:left w:val="nil"/>
          <w:bottom w:val="nil"/>
          <w:right w:val="nil"/>
          <w:between w:val="nil"/>
        </w:pBdr>
        <w:ind w:left="284"/>
        <w:jc w:val="both"/>
        <w:rPr>
          <w:color w:val="000000"/>
        </w:rPr>
      </w:pPr>
    </w:p>
    <w:p w14:paraId="4D80D511"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Las publicaciones cumplen con este lineamiento.</w:t>
      </w:r>
    </w:p>
    <w:p w14:paraId="627AD6E6" w14:textId="77777777" w:rsidR="006C5FC0" w:rsidRDefault="006C5FC0" w:rsidP="005149BA">
      <w:pPr>
        <w:pBdr>
          <w:top w:val="nil"/>
          <w:left w:val="nil"/>
          <w:bottom w:val="nil"/>
          <w:right w:val="nil"/>
          <w:between w:val="nil"/>
        </w:pBdr>
        <w:ind w:left="284"/>
        <w:jc w:val="both"/>
        <w:rPr>
          <w:color w:val="000000"/>
        </w:rPr>
      </w:pPr>
    </w:p>
    <w:p w14:paraId="1D931AB6" w14:textId="77777777" w:rsidR="006C5FC0" w:rsidRDefault="006C5FC0" w:rsidP="005149BA">
      <w:pPr>
        <w:numPr>
          <w:ilvl w:val="0"/>
          <w:numId w:val="3"/>
        </w:numPr>
        <w:pBdr>
          <w:top w:val="nil"/>
          <w:left w:val="nil"/>
          <w:bottom w:val="nil"/>
          <w:right w:val="nil"/>
          <w:between w:val="nil"/>
        </w:pBdr>
        <w:ind w:left="426" w:hanging="284"/>
        <w:jc w:val="both"/>
      </w:pPr>
      <w:r>
        <w:rPr>
          <w:rFonts w:eastAsia="Arial" w:cs="Arial"/>
          <w:color w:val="000000"/>
          <w:szCs w:val="22"/>
        </w:rPr>
        <w:t>Los contenidos e información dispuesta para los usuarios deberán ser accesibles y utilizar un lenguaje claro.</w:t>
      </w:r>
    </w:p>
    <w:p w14:paraId="2F7473D6" w14:textId="77777777" w:rsidR="006C5FC0" w:rsidRDefault="006C5FC0" w:rsidP="005149BA">
      <w:pPr>
        <w:pBdr>
          <w:top w:val="nil"/>
          <w:left w:val="nil"/>
          <w:bottom w:val="nil"/>
          <w:right w:val="nil"/>
          <w:between w:val="nil"/>
        </w:pBdr>
        <w:ind w:left="284"/>
        <w:jc w:val="both"/>
        <w:rPr>
          <w:color w:val="000000"/>
        </w:rPr>
      </w:pPr>
    </w:p>
    <w:p w14:paraId="218CA9AB"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La mayor parte de los contenidos cumplen en cuanto a accesibilidad, sin embargo, algunos generan un error que impide su visualización, entre los cuales se encuentran los siguientes:</w:t>
      </w:r>
    </w:p>
    <w:p w14:paraId="2C55BF31" w14:textId="77777777" w:rsidR="006C5FC0" w:rsidRDefault="006C5FC0" w:rsidP="005149BA">
      <w:pPr>
        <w:pBdr>
          <w:top w:val="nil"/>
          <w:left w:val="nil"/>
          <w:bottom w:val="nil"/>
          <w:right w:val="nil"/>
          <w:between w:val="nil"/>
        </w:pBdr>
        <w:ind w:left="284"/>
        <w:jc w:val="both"/>
        <w:rPr>
          <w:color w:val="000000"/>
        </w:rPr>
      </w:pPr>
    </w:p>
    <w:p w14:paraId="70948BDF"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Acuerdo No. 02 de 2019.</w:t>
      </w:r>
    </w:p>
    <w:p w14:paraId="0DC6D862"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Manual de Cartera Tributaria.</w:t>
      </w:r>
    </w:p>
    <w:p w14:paraId="2067F082"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Modelo de Atención a la Ciudadanía.</w:t>
      </w:r>
    </w:p>
    <w:p w14:paraId="4E827AF3"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Manual Operativo.</w:t>
      </w:r>
    </w:p>
    <w:p w14:paraId="7EB3A04E"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Manual de Supervisión e Interventoría de Contratos.</w:t>
      </w:r>
    </w:p>
    <w:p w14:paraId="4C19BCFB"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Presupuestos Generales de los años 2017 y 2018.</w:t>
      </w:r>
    </w:p>
    <w:p w14:paraId="1273D1B6" w14:textId="77777777" w:rsidR="006C5FC0" w:rsidRDefault="006C5FC0" w:rsidP="005149BA">
      <w:pPr>
        <w:pBdr>
          <w:top w:val="nil"/>
          <w:left w:val="nil"/>
          <w:bottom w:val="nil"/>
          <w:right w:val="nil"/>
          <w:between w:val="nil"/>
        </w:pBdr>
        <w:ind w:left="709" w:hanging="425"/>
        <w:jc w:val="both"/>
        <w:rPr>
          <w:color w:val="000000"/>
        </w:rPr>
      </w:pPr>
      <w:r>
        <w:rPr>
          <w:rFonts w:eastAsia="Arial" w:cs="Arial"/>
          <w:color w:val="000000"/>
          <w:szCs w:val="22"/>
        </w:rPr>
        <w:t>-</w:t>
      </w:r>
      <w:r>
        <w:rPr>
          <w:rFonts w:eastAsia="Arial" w:cs="Arial"/>
          <w:color w:val="000000"/>
          <w:szCs w:val="22"/>
        </w:rPr>
        <w:tab/>
        <w:t>Informes trimestrales de procesos judiciales correspondientes al tercer trimestre de 2020 y anteriores.</w:t>
      </w:r>
    </w:p>
    <w:p w14:paraId="0040F582"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Consulta Ciudadana.</w:t>
      </w:r>
    </w:p>
    <w:p w14:paraId="57172D27" w14:textId="77777777" w:rsidR="006C5FC0" w:rsidRDefault="006C5FC0" w:rsidP="005149BA">
      <w:pPr>
        <w:pBdr>
          <w:top w:val="nil"/>
          <w:left w:val="nil"/>
          <w:bottom w:val="nil"/>
          <w:right w:val="nil"/>
          <w:between w:val="nil"/>
        </w:pBdr>
        <w:ind w:left="284"/>
        <w:jc w:val="both"/>
        <w:rPr>
          <w:color w:val="FF0000"/>
        </w:rPr>
      </w:pPr>
    </w:p>
    <w:p w14:paraId="2F2C2276" w14:textId="77777777" w:rsidR="006C5FC0" w:rsidRDefault="006C5FC0" w:rsidP="005149BA">
      <w:pPr>
        <w:pBdr>
          <w:top w:val="nil"/>
          <w:left w:val="nil"/>
          <w:bottom w:val="nil"/>
          <w:right w:val="nil"/>
          <w:between w:val="nil"/>
        </w:pBdr>
        <w:ind w:left="284" w:hanging="284"/>
        <w:jc w:val="both"/>
        <w:rPr>
          <w:color w:val="000000"/>
        </w:rPr>
      </w:pPr>
      <w:r>
        <w:rPr>
          <w:noProof/>
          <w:color w:val="000000"/>
          <w:lang w:val="es-MX" w:eastAsia="es-MX"/>
        </w:rPr>
        <w:drawing>
          <wp:inline distT="0" distB="0" distL="0" distR="0" wp14:anchorId="5FE1A14B" wp14:editId="6DF594D5">
            <wp:extent cx="5582487" cy="2602405"/>
            <wp:effectExtent l="0" t="0" r="0" b="0"/>
            <wp:docPr id="24" name="image5.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Sitio web&#10;&#10;Descripción generada automáticamente"/>
                    <pic:cNvPicPr preferRelativeResize="0"/>
                  </pic:nvPicPr>
                  <pic:blipFill>
                    <a:blip r:embed="rId10"/>
                    <a:srcRect/>
                    <a:stretch>
                      <a:fillRect/>
                    </a:stretch>
                  </pic:blipFill>
                  <pic:spPr>
                    <a:xfrm>
                      <a:off x="0" y="0"/>
                      <a:ext cx="5582487" cy="2602405"/>
                    </a:xfrm>
                    <a:prstGeom prst="rect">
                      <a:avLst/>
                    </a:prstGeom>
                    <a:ln/>
                  </pic:spPr>
                </pic:pic>
              </a:graphicData>
            </a:graphic>
          </wp:inline>
        </w:drawing>
      </w:r>
    </w:p>
    <w:p w14:paraId="4B32E34E" w14:textId="77777777" w:rsidR="006C5FC0" w:rsidRDefault="006C5FC0" w:rsidP="005149BA">
      <w:pPr>
        <w:pBdr>
          <w:top w:val="nil"/>
          <w:left w:val="nil"/>
          <w:bottom w:val="nil"/>
          <w:right w:val="nil"/>
          <w:between w:val="nil"/>
        </w:pBdr>
        <w:ind w:left="284"/>
        <w:jc w:val="both"/>
        <w:rPr>
          <w:color w:val="000000"/>
          <w:sz w:val="16"/>
          <w:szCs w:val="16"/>
        </w:rPr>
      </w:pPr>
      <w:r>
        <w:rPr>
          <w:rFonts w:eastAsia="Arial" w:cs="Arial"/>
          <w:color w:val="000000"/>
          <w:sz w:val="16"/>
          <w:szCs w:val="16"/>
        </w:rPr>
        <w:t xml:space="preserve">Fecha de captura: 02/02/2022 </w:t>
      </w:r>
    </w:p>
    <w:p w14:paraId="7A470A63" w14:textId="77777777" w:rsidR="006C5FC0" w:rsidRDefault="006C5FC0" w:rsidP="005149BA">
      <w:pPr>
        <w:jc w:val="both"/>
      </w:pPr>
    </w:p>
    <w:p w14:paraId="12667D1E" w14:textId="77777777" w:rsidR="006C5FC0" w:rsidRDefault="006C5FC0" w:rsidP="005149BA">
      <w:pPr>
        <w:numPr>
          <w:ilvl w:val="0"/>
          <w:numId w:val="4"/>
        </w:numPr>
        <w:pBdr>
          <w:top w:val="nil"/>
          <w:left w:val="nil"/>
          <w:bottom w:val="nil"/>
          <w:right w:val="nil"/>
          <w:between w:val="nil"/>
        </w:pBdr>
        <w:ind w:left="426" w:hanging="284"/>
        <w:jc w:val="both"/>
      </w:pPr>
      <w:r>
        <w:rPr>
          <w:rFonts w:eastAsia="Arial" w:cs="Arial"/>
          <w:color w:val="000000"/>
          <w:szCs w:val="22"/>
        </w:rPr>
        <w:t xml:space="preserve">Se debe contar con un buscador en el que la ciudadanía pueda encontrar información, datos o contenidos. </w:t>
      </w:r>
    </w:p>
    <w:p w14:paraId="00DA92D6" w14:textId="77777777" w:rsidR="006C5FC0" w:rsidRDefault="006C5FC0" w:rsidP="005149BA">
      <w:pPr>
        <w:pBdr>
          <w:top w:val="nil"/>
          <w:left w:val="nil"/>
          <w:bottom w:val="nil"/>
          <w:right w:val="nil"/>
          <w:between w:val="nil"/>
        </w:pBdr>
        <w:ind w:left="284"/>
        <w:jc w:val="both"/>
        <w:rPr>
          <w:color w:val="000000"/>
        </w:rPr>
      </w:pPr>
    </w:p>
    <w:p w14:paraId="5C3FD24A"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Se observó el buscador en la parte superior izquierda de la página web.</w:t>
      </w:r>
    </w:p>
    <w:p w14:paraId="177343B8" w14:textId="77777777" w:rsidR="006C5FC0" w:rsidRDefault="006C5FC0" w:rsidP="005149BA"/>
    <w:p w14:paraId="3BF998D3" w14:textId="77777777" w:rsidR="006C5FC0" w:rsidRDefault="006C5FC0" w:rsidP="005149BA">
      <w:pPr>
        <w:pBdr>
          <w:top w:val="nil"/>
          <w:left w:val="nil"/>
          <w:bottom w:val="nil"/>
          <w:right w:val="nil"/>
          <w:between w:val="nil"/>
        </w:pBdr>
        <w:jc w:val="center"/>
        <w:rPr>
          <w:color w:val="000000"/>
        </w:rPr>
      </w:pPr>
      <w:r>
        <w:rPr>
          <w:noProof/>
          <w:color w:val="000000"/>
          <w:lang w:val="es-MX" w:eastAsia="es-MX"/>
        </w:rPr>
        <w:lastRenderedPageBreak/>
        <w:drawing>
          <wp:inline distT="0" distB="0" distL="0" distR="0" wp14:anchorId="015BA060" wp14:editId="3324330E">
            <wp:extent cx="5614442" cy="1732659"/>
            <wp:effectExtent l="0" t="0" r="0" b="0"/>
            <wp:docPr id="27" name="image12.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Teams&#10;&#10;Descripción generada automáticamente"/>
                    <pic:cNvPicPr preferRelativeResize="0"/>
                  </pic:nvPicPr>
                  <pic:blipFill>
                    <a:blip r:embed="rId8"/>
                    <a:srcRect t="4473" b="35530"/>
                    <a:stretch>
                      <a:fillRect/>
                    </a:stretch>
                  </pic:blipFill>
                  <pic:spPr>
                    <a:xfrm>
                      <a:off x="0" y="0"/>
                      <a:ext cx="5614442" cy="1732659"/>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14:anchorId="0EC77210" wp14:editId="146F83DA">
                <wp:simplePos x="0" y="0"/>
                <wp:positionH relativeFrom="column">
                  <wp:posOffset>3543300</wp:posOffset>
                </wp:positionH>
                <wp:positionV relativeFrom="paragraph">
                  <wp:posOffset>152400</wp:posOffset>
                </wp:positionV>
                <wp:extent cx="1954854" cy="164965"/>
                <wp:effectExtent l="0" t="0" r="0" b="0"/>
                <wp:wrapNone/>
                <wp:docPr id="22" name="Rectángulo 22"/>
                <wp:cNvGraphicFramePr/>
                <a:graphic xmlns:a="http://schemas.openxmlformats.org/drawingml/2006/main">
                  <a:graphicData uri="http://schemas.microsoft.com/office/word/2010/wordprocessingShape">
                    <wps:wsp>
                      <wps:cNvSpPr/>
                      <wps:spPr>
                        <a:xfrm>
                          <a:off x="4378098" y="3707043"/>
                          <a:ext cx="1935804" cy="145915"/>
                        </a:xfrm>
                        <a:prstGeom prst="rect">
                          <a:avLst/>
                        </a:prstGeom>
                        <a:noFill/>
                        <a:ln w="19050" cap="flat" cmpd="sng">
                          <a:solidFill>
                            <a:srgbClr val="FF0000"/>
                          </a:solidFill>
                          <a:prstDash val="solid"/>
                          <a:miter lim="800000"/>
                          <a:headEnd type="none" w="sm" len="sm"/>
                          <a:tailEnd type="none" w="sm" len="sm"/>
                        </a:ln>
                      </wps:spPr>
                      <wps:txbx>
                        <w:txbxContent>
                          <w:p w14:paraId="5BC07ED8" w14:textId="77777777" w:rsidR="006C5FC0" w:rsidRDefault="006C5FC0" w:rsidP="006C5FC0">
                            <w:pPr>
                              <w:textDirection w:val="btLr"/>
                            </w:pPr>
                          </w:p>
                        </w:txbxContent>
                      </wps:txbx>
                      <wps:bodyPr spcFirstLastPara="1" wrap="square" lIns="91425" tIns="91425" rIns="91425" bIns="91425" anchor="ctr" anchorCtr="0">
                        <a:noAutofit/>
                      </wps:bodyPr>
                    </wps:wsp>
                  </a:graphicData>
                </a:graphic>
              </wp:anchor>
            </w:drawing>
          </mc:Choice>
          <mc:Fallback>
            <w:pict>
              <v:rect w14:anchorId="0EC77210" id="Rectángulo 22" o:spid="_x0000_s1027" style="position:absolute;left:0;text-align:left;margin-left:279pt;margin-top:12pt;width:153.95pt;height: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" filled="f" strokecolor="red" strokeweight="1.5pt">
                <v:stroke startarrowwidth="narrow" startarrowlength="short" endarrowwidth="narrow" endarrowlength="short"/>
                <v:textbox inset="2.53958mm,2.53958mm,2.53958mm,2.53958mm">
                  <w:txbxContent>
                    <w:p w14:paraId="5BC07ED8" w14:textId="77777777" w:rsidR="006C5FC0" w:rsidRDefault="006C5FC0" w:rsidP="006C5FC0">
                      <w:pPr>
                        <w:textDirection w:val="btLr"/>
                      </w:pPr>
                    </w:p>
                  </w:txbxContent>
                </v:textbox>
              </v:rect>
            </w:pict>
          </mc:Fallback>
        </mc:AlternateContent>
      </w:r>
    </w:p>
    <w:p w14:paraId="7168AC38" w14:textId="77777777" w:rsidR="006C5FC0" w:rsidRDefault="006C5FC0" w:rsidP="005149BA">
      <w:pPr>
        <w:pBdr>
          <w:top w:val="nil"/>
          <w:left w:val="nil"/>
          <w:bottom w:val="nil"/>
          <w:right w:val="nil"/>
          <w:between w:val="nil"/>
        </w:pBdr>
        <w:ind w:left="284" w:hanging="142"/>
        <w:jc w:val="center"/>
        <w:rPr>
          <w:color w:val="000000"/>
        </w:rPr>
      </w:pPr>
    </w:p>
    <w:p w14:paraId="57A3CAD1" w14:textId="77777777" w:rsidR="006C5FC0" w:rsidRDefault="006C5FC0" w:rsidP="005149BA">
      <w:pPr>
        <w:numPr>
          <w:ilvl w:val="0"/>
          <w:numId w:val="5"/>
        </w:numPr>
        <w:pBdr>
          <w:top w:val="nil"/>
          <w:left w:val="nil"/>
          <w:bottom w:val="nil"/>
          <w:right w:val="nil"/>
          <w:between w:val="nil"/>
        </w:pBdr>
        <w:ind w:left="426" w:hanging="284"/>
        <w:jc w:val="both"/>
      </w:pPr>
      <w:r>
        <w:rPr>
          <w:rFonts w:eastAsia="Arial" w:cs="Arial"/>
          <w:color w:val="000000"/>
          <w:szCs w:val="22"/>
        </w:rPr>
        <w:t xml:space="preserve">Toda la información debe ser publicada en formatos que permitan: su descarga, acceso sin restricciones legales, uso libre, procesamiento por máquina y realizar búsquedas en su interior. </w:t>
      </w:r>
    </w:p>
    <w:p w14:paraId="41A8921C" w14:textId="77777777" w:rsidR="006C5FC0" w:rsidRDefault="006C5FC0" w:rsidP="005149BA">
      <w:pPr>
        <w:pBdr>
          <w:top w:val="nil"/>
          <w:left w:val="nil"/>
          <w:bottom w:val="nil"/>
          <w:right w:val="nil"/>
          <w:between w:val="nil"/>
        </w:pBdr>
        <w:ind w:left="284"/>
        <w:jc w:val="both"/>
        <w:rPr>
          <w:color w:val="000000"/>
        </w:rPr>
      </w:pPr>
    </w:p>
    <w:p w14:paraId="7AFA225F"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Los enlaces permiten la descarga de la información, no obstante, algunos documentos se encuentran guardados como imagen por lo cual no es posible realizar búsquedas en su interior, entre los cuales se encuentran los siguientes:</w:t>
      </w:r>
    </w:p>
    <w:p w14:paraId="69058D6C" w14:textId="77777777" w:rsidR="006C5FC0" w:rsidRDefault="006C5FC0" w:rsidP="005149BA">
      <w:pPr>
        <w:pBdr>
          <w:top w:val="nil"/>
          <w:left w:val="nil"/>
          <w:bottom w:val="nil"/>
          <w:right w:val="nil"/>
          <w:between w:val="nil"/>
        </w:pBdr>
        <w:ind w:left="284"/>
        <w:jc w:val="both"/>
        <w:rPr>
          <w:color w:val="000000"/>
        </w:rPr>
      </w:pPr>
    </w:p>
    <w:p w14:paraId="150F4C44"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Ley Estatutaria 1757 de 2015.</w:t>
      </w:r>
    </w:p>
    <w:p w14:paraId="06ED92FD"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Resolución de aprobación del manual de contratación.</w:t>
      </w:r>
    </w:p>
    <w:p w14:paraId="632CB5EC"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Manual de contratación.</w:t>
      </w:r>
    </w:p>
    <w:p w14:paraId="454BF98C"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Resolución de honorarios de contratistas 2020.</w:t>
      </w:r>
    </w:p>
    <w:p w14:paraId="0EB14F65" w14:textId="77777777" w:rsidR="006C5FC0" w:rsidRDefault="006C5FC0" w:rsidP="005149BA">
      <w:pPr>
        <w:pBdr>
          <w:top w:val="nil"/>
          <w:left w:val="nil"/>
          <w:bottom w:val="nil"/>
          <w:right w:val="nil"/>
          <w:between w:val="nil"/>
        </w:pBdr>
        <w:ind w:left="284"/>
        <w:jc w:val="both"/>
        <w:rPr>
          <w:color w:val="000000"/>
        </w:rPr>
      </w:pPr>
      <w:r>
        <w:rPr>
          <w:rFonts w:eastAsia="Arial" w:cs="Arial"/>
          <w:color w:val="000000"/>
          <w:szCs w:val="22"/>
        </w:rPr>
        <w:t>-</w:t>
      </w:r>
      <w:r>
        <w:rPr>
          <w:rFonts w:eastAsia="Arial" w:cs="Arial"/>
          <w:color w:val="000000"/>
          <w:szCs w:val="22"/>
        </w:rPr>
        <w:tab/>
        <w:t>Resolución de honorarios de contratistas 2019.</w:t>
      </w:r>
    </w:p>
    <w:p w14:paraId="433F9FDF" w14:textId="77777777" w:rsidR="006C5FC0" w:rsidRDefault="006C5FC0" w:rsidP="005149BA">
      <w:pPr>
        <w:jc w:val="both"/>
      </w:pPr>
    </w:p>
    <w:p w14:paraId="7AE5011B" w14:textId="77777777" w:rsidR="006C5FC0" w:rsidRDefault="006C5FC0" w:rsidP="005149BA">
      <w:pPr>
        <w:jc w:val="both"/>
      </w:pPr>
      <w:r>
        <w:rPr>
          <w:noProof/>
          <w:lang w:val="es-MX" w:eastAsia="es-MX"/>
        </w:rPr>
        <w:drawing>
          <wp:inline distT="0" distB="0" distL="0" distR="0" wp14:anchorId="15220E96" wp14:editId="56965E28">
            <wp:extent cx="5612130" cy="1158151"/>
            <wp:effectExtent l="9525" t="9525" r="9525" b="9525"/>
            <wp:docPr id="26"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preferRelativeResize="0"/>
                  </pic:nvPicPr>
                  <pic:blipFill>
                    <a:blip r:embed="rId11"/>
                    <a:srcRect t="5049" b="54980"/>
                    <a:stretch>
                      <a:fillRect/>
                    </a:stretch>
                  </pic:blipFill>
                  <pic:spPr>
                    <a:xfrm>
                      <a:off x="0" y="0"/>
                      <a:ext cx="5612130" cy="1158151"/>
                    </a:xfrm>
                    <a:prstGeom prst="rect">
                      <a:avLst/>
                    </a:prstGeom>
                    <a:ln w="9525">
                      <a:solidFill>
                        <a:srgbClr val="000000"/>
                      </a:solidFill>
                      <a:prstDash val="solid"/>
                    </a:ln>
                  </pic:spPr>
                </pic:pic>
              </a:graphicData>
            </a:graphic>
          </wp:inline>
        </w:drawing>
      </w:r>
    </w:p>
    <w:p w14:paraId="3E685382" w14:textId="77777777" w:rsidR="006C5FC0" w:rsidRDefault="006C5FC0" w:rsidP="005149BA">
      <w:pPr>
        <w:pBdr>
          <w:top w:val="nil"/>
          <w:left w:val="nil"/>
          <w:bottom w:val="nil"/>
          <w:right w:val="nil"/>
          <w:between w:val="nil"/>
        </w:pBdr>
        <w:ind w:left="284"/>
        <w:jc w:val="both"/>
        <w:rPr>
          <w:color w:val="000000"/>
        </w:rPr>
      </w:pPr>
    </w:p>
    <w:p w14:paraId="43586EE1" w14:textId="77777777" w:rsidR="006C5FC0" w:rsidRDefault="006C5FC0" w:rsidP="005149BA">
      <w:pPr>
        <w:numPr>
          <w:ilvl w:val="0"/>
          <w:numId w:val="6"/>
        </w:numPr>
        <w:pBdr>
          <w:top w:val="nil"/>
          <w:left w:val="nil"/>
          <w:bottom w:val="nil"/>
          <w:right w:val="nil"/>
          <w:between w:val="nil"/>
        </w:pBdr>
        <w:ind w:left="284"/>
        <w:jc w:val="both"/>
      </w:pPr>
      <w:r>
        <w:rPr>
          <w:rFonts w:eastAsia="Arial" w:cs="Arial"/>
          <w:color w:val="000000"/>
          <w:szCs w:val="22"/>
        </w:rPr>
        <w:t xml:space="preserve">Todo documento o información debe indicar la fecha de su publicación en página web. </w:t>
      </w:r>
    </w:p>
    <w:p w14:paraId="32A2809C" w14:textId="77777777" w:rsidR="006C5FC0" w:rsidRDefault="006C5FC0" w:rsidP="005149BA">
      <w:pPr>
        <w:pBdr>
          <w:top w:val="nil"/>
          <w:left w:val="nil"/>
          <w:bottom w:val="nil"/>
          <w:right w:val="nil"/>
          <w:between w:val="nil"/>
        </w:pBdr>
        <w:ind w:left="284"/>
        <w:jc w:val="both"/>
        <w:rPr>
          <w:color w:val="000000"/>
        </w:rPr>
      </w:pPr>
    </w:p>
    <w:p w14:paraId="1F2CB678" w14:textId="77777777" w:rsidR="006C5FC0" w:rsidRDefault="006C5FC0" w:rsidP="005149BA">
      <w:pPr>
        <w:jc w:val="both"/>
      </w:pPr>
      <w:r>
        <w:t>A nivel general, la fecha de publicación en la página web se incluye a partir de mayo de 2021. Sin embargo, este lineamiento no se cumple para el caso de los Informes trimestrales de Defensa Judicial.</w:t>
      </w:r>
    </w:p>
    <w:p w14:paraId="1160CC40" w14:textId="77777777" w:rsidR="006C5FC0" w:rsidRDefault="006C5FC0" w:rsidP="005149BA">
      <w:pPr>
        <w:jc w:val="both"/>
      </w:pPr>
    </w:p>
    <w:p w14:paraId="49885EA2" w14:textId="77777777" w:rsidR="006C5FC0" w:rsidRDefault="006C5FC0" w:rsidP="005149BA">
      <w:pPr>
        <w:jc w:val="both"/>
      </w:pPr>
      <w:r>
        <w:rPr>
          <w:noProof/>
          <w:lang w:val="es-MX" w:eastAsia="es-MX"/>
        </w:rPr>
        <w:lastRenderedPageBreak/>
        <w:drawing>
          <wp:inline distT="0" distB="0" distL="0" distR="0" wp14:anchorId="61A6F591" wp14:editId="5D279357">
            <wp:extent cx="5559564" cy="1706277"/>
            <wp:effectExtent l="9525" t="9525" r="9525" b="9525"/>
            <wp:docPr id="29" name="image6.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10;&#10;Descripción generada automáticamente"/>
                    <pic:cNvPicPr preferRelativeResize="0"/>
                  </pic:nvPicPr>
                  <pic:blipFill>
                    <a:blip r:embed="rId12"/>
                    <a:srcRect t="4052" b="36359"/>
                    <a:stretch>
                      <a:fillRect/>
                    </a:stretch>
                  </pic:blipFill>
                  <pic:spPr>
                    <a:xfrm>
                      <a:off x="0" y="0"/>
                      <a:ext cx="5559564" cy="1706277"/>
                    </a:xfrm>
                    <a:prstGeom prst="rect">
                      <a:avLst/>
                    </a:prstGeom>
                    <a:ln w="9525">
                      <a:solidFill>
                        <a:srgbClr val="000000"/>
                      </a:solidFill>
                      <a:prstDash val="solid"/>
                    </a:ln>
                  </pic:spPr>
                </pic:pic>
              </a:graphicData>
            </a:graphic>
          </wp:inline>
        </w:drawing>
      </w:r>
    </w:p>
    <w:p w14:paraId="0FA34D36" w14:textId="77777777" w:rsidR="006C5FC0" w:rsidRDefault="006C5FC0" w:rsidP="005149BA">
      <w:pPr>
        <w:jc w:val="both"/>
      </w:pPr>
    </w:p>
    <w:p w14:paraId="06D5DABA" w14:textId="77777777" w:rsidR="006C5FC0" w:rsidRDefault="006C5FC0" w:rsidP="005149BA">
      <w:pPr>
        <w:jc w:val="both"/>
      </w:pPr>
    </w:p>
    <w:p w14:paraId="5534B755"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Menú de Transparencia y acceso a la información pública</w:t>
      </w:r>
    </w:p>
    <w:p w14:paraId="626A26B2" w14:textId="77777777" w:rsidR="006C5FC0" w:rsidRDefault="006C5FC0" w:rsidP="005149BA">
      <w:pPr>
        <w:jc w:val="both"/>
      </w:pPr>
    </w:p>
    <w:p w14:paraId="1D5B6D4F" w14:textId="77777777" w:rsidR="006C5FC0" w:rsidRDefault="006C5FC0" w:rsidP="005149BA">
      <w:pPr>
        <w:jc w:val="both"/>
      </w:pPr>
      <w:r>
        <w:t xml:space="preserve">El Instituto en su calidad de sujeto obligado, de acuerdo con lo estipulado en la Resolución 1519 de 2020, debe realizar publicación de la información acorde a lo dispuesto en el anexo 2 de la misma. Por tal razón la Asesoría de Control Interno llevó a cabo la revisión del Menú de Transparencia de su Página web, evaluando 53 ítems, tal como se evidencia en el anexo 1 del presente informe y en el siguiente cuadro:  </w:t>
      </w:r>
    </w:p>
    <w:p w14:paraId="577D1FBA" w14:textId="77777777" w:rsidR="006C5FC0" w:rsidRDefault="006C5FC0" w:rsidP="005149BA">
      <w:pPr>
        <w:jc w:val="both"/>
        <w:rPr>
          <w:color w:val="000000"/>
        </w:rPr>
      </w:pP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408"/>
        <w:gridCol w:w="1411"/>
      </w:tblGrid>
      <w:tr w:rsidR="006C5FC0" w14:paraId="38F95D3C" w14:textId="77777777" w:rsidTr="006D54D7">
        <w:trPr>
          <w:jc w:val="center"/>
        </w:trPr>
        <w:tc>
          <w:tcPr>
            <w:tcW w:w="5807" w:type="dxa"/>
            <w:gridSpan w:val="3"/>
            <w:shd w:val="clear" w:color="auto" w:fill="D0CECE"/>
            <w:vAlign w:val="center"/>
          </w:tcPr>
          <w:p w14:paraId="76370CF7" w14:textId="7EFD8F11" w:rsidR="006C5FC0" w:rsidRDefault="006C5FC0" w:rsidP="00CA67E6">
            <w:pPr>
              <w:rPr>
                <w:b/>
              </w:rPr>
            </w:pPr>
            <w:r>
              <w:rPr>
                <w:b/>
              </w:rPr>
              <w:t xml:space="preserve">SEGUIMIENTO Y EVALUACIÓN CI </w:t>
            </w:r>
            <w:r w:rsidR="00CA67E6">
              <w:rPr>
                <w:b/>
              </w:rPr>
              <w:t>DIC</w:t>
            </w:r>
            <w:r>
              <w:rPr>
                <w:b/>
              </w:rPr>
              <w:t>IEMBRE 2021</w:t>
            </w:r>
          </w:p>
        </w:tc>
      </w:tr>
      <w:tr w:rsidR="006C5FC0" w14:paraId="6B92D0BC" w14:textId="77777777" w:rsidTr="006D54D7">
        <w:trPr>
          <w:jc w:val="center"/>
        </w:trPr>
        <w:tc>
          <w:tcPr>
            <w:tcW w:w="2988" w:type="dxa"/>
            <w:shd w:val="clear" w:color="auto" w:fill="D0CECE"/>
            <w:vAlign w:val="center"/>
          </w:tcPr>
          <w:p w14:paraId="517AAA3A" w14:textId="77777777" w:rsidR="006C5FC0" w:rsidRDefault="006C5FC0" w:rsidP="005149BA">
            <w:pPr>
              <w:jc w:val="center"/>
            </w:pPr>
          </w:p>
        </w:tc>
        <w:tc>
          <w:tcPr>
            <w:tcW w:w="1408" w:type="dxa"/>
            <w:shd w:val="clear" w:color="auto" w:fill="D0CECE"/>
            <w:vAlign w:val="center"/>
          </w:tcPr>
          <w:p w14:paraId="69E14E55" w14:textId="77777777" w:rsidR="006C5FC0" w:rsidRDefault="006C5FC0" w:rsidP="005149BA">
            <w:pPr>
              <w:jc w:val="center"/>
            </w:pPr>
            <w:r>
              <w:t xml:space="preserve"> Totales </w:t>
            </w:r>
          </w:p>
        </w:tc>
        <w:tc>
          <w:tcPr>
            <w:tcW w:w="1411" w:type="dxa"/>
            <w:shd w:val="clear" w:color="auto" w:fill="D0CECE"/>
            <w:vAlign w:val="center"/>
          </w:tcPr>
          <w:p w14:paraId="0386F5DD" w14:textId="77777777" w:rsidR="006C5FC0" w:rsidRDefault="006C5FC0" w:rsidP="005149BA">
            <w:pPr>
              <w:jc w:val="center"/>
            </w:pPr>
            <w:r>
              <w:t xml:space="preserve">Porcentaje </w:t>
            </w:r>
          </w:p>
        </w:tc>
      </w:tr>
      <w:tr w:rsidR="006C5FC0" w14:paraId="433167B2" w14:textId="77777777" w:rsidTr="006D54D7">
        <w:trPr>
          <w:jc w:val="center"/>
        </w:trPr>
        <w:tc>
          <w:tcPr>
            <w:tcW w:w="2988" w:type="dxa"/>
            <w:shd w:val="clear" w:color="auto" w:fill="auto"/>
            <w:vAlign w:val="center"/>
          </w:tcPr>
          <w:p w14:paraId="7A5EB800" w14:textId="77777777" w:rsidR="006C5FC0" w:rsidRDefault="006C5FC0" w:rsidP="005149BA">
            <w:r>
              <w:t>Cumple</w:t>
            </w:r>
          </w:p>
        </w:tc>
        <w:tc>
          <w:tcPr>
            <w:tcW w:w="1408" w:type="dxa"/>
            <w:shd w:val="clear" w:color="auto" w:fill="A7D971"/>
            <w:vAlign w:val="center"/>
          </w:tcPr>
          <w:p w14:paraId="1EC5D402" w14:textId="77777777" w:rsidR="006C5FC0" w:rsidRDefault="006C5FC0" w:rsidP="005149BA">
            <w:pPr>
              <w:jc w:val="center"/>
            </w:pPr>
            <w:r>
              <w:t>35</w:t>
            </w:r>
          </w:p>
        </w:tc>
        <w:tc>
          <w:tcPr>
            <w:tcW w:w="1411" w:type="dxa"/>
            <w:shd w:val="clear" w:color="auto" w:fill="A7D971"/>
            <w:vAlign w:val="center"/>
          </w:tcPr>
          <w:p w14:paraId="26631BE2" w14:textId="77777777" w:rsidR="006C5FC0" w:rsidRDefault="006C5FC0" w:rsidP="005149BA">
            <w:pPr>
              <w:jc w:val="center"/>
            </w:pPr>
            <w:r>
              <w:t>66,0%</w:t>
            </w:r>
          </w:p>
        </w:tc>
      </w:tr>
      <w:tr w:rsidR="006C5FC0" w14:paraId="0BAF9F96" w14:textId="77777777" w:rsidTr="006D54D7">
        <w:trPr>
          <w:jc w:val="center"/>
        </w:trPr>
        <w:tc>
          <w:tcPr>
            <w:tcW w:w="2988" w:type="dxa"/>
            <w:shd w:val="clear" w:color="auto" w:fill="auto"/>
            <w:vAlign w:val="center"/>
          </w:tcPr>
          <w:p w14:paraId="5963F326" w14:textId="77777777" w:rsidR="006C5FC0" w:rsidRDefault="006C5FC0" w:rsidP="005149BA">
            <w:r>
              <w:t>No Cumple</w:t>
            </w:r>
          </w:p>
        </w:tc>
        <w:tc>
          <w:tcPr>
            <w:tcW w:w="1408" w:type="dxa"/>
            <w:shd w:val="clear" w:color="auto" w:fill="FF9999"/>
            <w:vAlign w:val="center"/>
          </w:tcPr>
          <w:p w14:paraId="6A73F0B0" w14:textId="77777777" w:rsidR="006C5FC0" w:rsidRDefault="006C5FC0" w:rsidP="005149BA">
            <w:pPr>
              <w:jc w:val="center"/>
            </w:pPr>
            <w:r>
              <w:t>3</w:t>
            </w:r>
          </w:p>
        </w:tc>
        <w:tc>
          <w:tcPr>
            <w:tcW w:w="1411" w:type="dxa"/>
            <w:shd w:val="clear" w:color="auto" w:fill="FF9999"/>
            <w:vAlign w:val="center"/>
          </w:tcPr>
          <w:p w14:paraId="7CE581C0" w14:textId="77777777" w:rsidR="006C5FC0" w:rsidRDefault="006C5FC0" w:rsidP="005149BA">
            <w:pPr>
              <w:jc w:val="center"/>
            </w:pPr>
            <w:r>
              <w:t>5,7%</w:t>
            </w:r>
          </w:p>
        </w:tc>
      </w:tr>
      <w:tr w:rsidR="006C5FC0" w14:paraId="6A210871" w14:textId="77777777" w:rsidTr="006D54D7">
        <w:trPr>
          <w:jc w:val="center"/>
        </w:trPr>
        <w:tc>
          <w:tcPr>
            <w:tcW w:w="2988" w:type="dxa"/>
            <w:shd w:val="clear" w:color="auto" w:fill="auto"/>
            <w:vAlign w:val="center"/>
          </w:tcPr>
          <w:p w14:paraId="6B89E248" w14:textId="77777777" w:rsidR="006C5FC0" w:rsidRDefault="006C5FC0" w:rsidP="005149BA">
            <w:r>
              <w:t>Cumple Parcialmente</w:t>
            </w:r>
          </w:p>
        </w:tc>
        <w:tc>
          <w:tcPr>
            <w:tcW w:w="1408" w:type="dxa"/>
            <w:shd w:val="clear" w:color="auto" w:fill="FFFF99"/>
            <w:vAlign w:val="center"/>
          </w:tcPr>
          <w:p w14:paraId="23BAC51E" w14:textId="77777777" w:rsidR="006C5FC0" w:rsidRDefault="006C5FC0" w:rsidP="005149BA">
            <w:pPr>
              <w:jc w:val="center"/>
            </w:pPr>
            <w:r>
              <w:t>15</w:t>
            </w:r>
          </w:p>
        </w:tc>
        <w:tc>
          <w:tcPr>
            <w:tcW w:w="1411" w:type="dxa"/>
            <w:shd w:val="clear" w:color="auto" w:fill="FFFF99"/>
            <w:vAlign w:val="center"/>
          </w:tcPr>
          <w:p w14:paraId="4F28C52C" w14:textId="77777777" w:rsidR="006C5FC0" w:rsidRDefault="006C5FC0" w:rsidP="005149BA">
            <w:pPr>
              <w:jc w:val="center"/>
            </w:pPr>
            <w:r>
              <w:t>28,3%</w:t>
            </w:r>
          </w:p>
        </w:tc>
      </w:tr>
      <w:tr w:rsidR="006C5FC0" w14:paraId="0A699AA3" w14:textId="77777777" w:rsidTr="006D54D7">
        <w:trPr>
          <w:jc w:val="center"/>
        </w:trPr>
        <w:tc>
          <w:tcPr>
            <w:tcW w:w="2988" w:type="dxa"/>
            <w:shd w:val="clear" w:color="auto" w:fill="auto"/>
            <w:vAlign w:val="center"/>
          </w:tcPr>
          <w:p w14:paraId="104DC0A1" w14:textId="77777777" w:rsidR="006C5FC0" w:rsidRDefault="006C5FC0" w:rsidP="005149BA">
            <w:pPr>
              <w:rPr>
                <w:b/>
              </w:rPr>
            </w:pPr>
            <w:r>
              <w:rPr>
                <w:b/>
              </w:rPr>
              <w:t>Total ítems verificados</w:t>
            </w:r>
          </w:p>
        </w:tc>
        <w:tc>
          <w:tcPr>
            <w:tcW w:w="1408" w:type="dxa"/>
            <w:shd w:val="clear" w:color="auto" w:fill="auto"/>
            <w:vAlign w:val="center"/>
          </w:tcPr>
          <w:p w14:paraId="11E39158" w14:textId="77777777" w:rsidR="006C5FC0" w:rsidRDefault="006C5FC0" w:rsidP="005149BA">
            <w:pPr>
              <w:jc w:val="center"/>
              <w:rPr>
                <w:b/>
              </w:rPr>
            </w:pPr>
            <w:r>
              <w:rPr>
                <w:b/>
              </w:rPr>
              <w:t>53</w:t>
            </w:r>
          </w:p>
        </w:tc>
        <w:tc>
          <w:tcPr>
            <w:tcW w:w="1411" w:type="dxa"/>
            <w:shd w:val="clear" w:color="auto" w:fill="auto"/>
            <w:vAlign w:val="center"/>
          </w:tcPr>
          <w:p w14:paraId="624BA0ED" w14:textId="77777777" w:rsidR="006C5FC0" w:rsidRDefault="006C5FC0" w:rsidP="005149BA">
            <w:pPr>
              <w:jc w:val="center"/>
              <w:rPr>
                <w:b/>
              </w:rPr>
            </w:pPr>
            <w:r>
              <w:rPr>
                <w:b/>
              </w:rPr>
              <w:t>100%</w:t>
            </w:r>
          </w:p>
        </w:tc>
      </w:tr>
    </w:tbl>
    <w:p w14:paraId="105E2055" w14:textId="77777777" w:rsidR="006C5FC0" w:rsidRDefault="006C5FC0" w:rsidP="005149BA">
      <w:pPr>
        <w:jc w:val="both"/>
      </w:pPr>
    </w:p>
    <w:p w14:paraId="060B0A70" w14:textId="77777777" w:rsidR="006C5FC0" w:rsidRDefault="006C5FC0" w:rsidP="005149BA">
      <w:pPr>
        <w:jc w:val="both"/>
      </w:pPr>
      <w:r>
        <w:t xml:space="preserve">De tal manera que se concluye que el 66,0% cumple con lo dispuesto en la norma, mientras que el 5,7% no cumple y el 28,3% cumple de manera parcial. </w:t>
      </w:r>
    </w:p>
    <w:p w14:paraId="709C2EF2" w14:textId="77777777" w:rsidR="006C5FC0" w:rsidRDefault="006C5FC0" w:rsidP="005149BA">
      <w:pPr>
        <w:jc w:val="both"/>
        <w:rPr>
          <w:i/>
          <w:u w:val="single"/>
        </w:rPr>
      </w:pPr>
    </w:p>
    <w:p w14:paraId="32C1E5F6" w14:textId="77777777" w:rsidR="006C5FC0" w:rsidRDefault="006C5FC0" w:rsidP="005149BA">
      <w:pPr>
        <w:jc w:val="both"/>
        <w:rPr>
          <w:i/>
          <w:u w:val="single"/>
        </w:rPr>
      </w:pPr>
    </w:p>
    <w:p w14:paraId="539FE582"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Menú Atención y Servicios a la Ciudadanía:</w:t>
      </w:r>
    </w:p>
    <w:p w14:paraId="38348F95" w14:textId="77777777" w:rsidR="006C5FC0" w:rsidRDefault="006C5FC0" w:rsidP="005149BA">
      <w:pPr>
        <w:jc w:val="both"/>
      </w:pPr>
    </w:p>
    <w:p w14:paraId="53751B6C" w14:textId="77777777" w:rsidR="006C5FC0" w:rsidRDefault="006C5FC0" w:rsidP="005149BA">
      <w:pPr>
        <w:numPr>
          <w:ilvl w:val="0"/>
          <w:numId w:val="12"/>
        </w:numPr>
        <w:pBdr>
          <w:top w:val="nil"/>
          <w:left w:val="nil"/>
          <w:bottom w:val="nil"/>
          <w:right w:val="nil"/>
          <w:between w:val="nil"/>
        </w:pBdr>
        <w:ind w:left="426"/>
        <w:jc w:val="both"/>
      </w:pPr>
      <w:r>
        <w:rPr>
          <w:rFonts w:eastAsia="Arial" w:cs="Arial"/>
          <w:color w:val="000000"/>
          <w:szCs w:val="22"/>
        </w:rPr>
        <w:t xml:space="preserve">Trámites, Otros Procedimientos Administrativos y consultas de acceso a información pública. </w:t>
      </w:r>
    </w:p>
    <w:p w14:paraId="4EA9E556" w14:textId="77777777" w:rsidR="006C5FC0" w:rsidRDefault="006C5FC0" w:rsidP="005149BA">
      <w:pPr>
        <w:pBdr>
          <w:top w:val="nil"/>
          <w:left w:val="nil"/>
          <w:bottom w:val="nil"/>
          <w:right w:val="nil"/>
          <w:between w:val="nil"/>
        </w:pBdr>
        <w:ind w:left="426"/>
        <w:jc w:val="both"/>
        <w:rPr>
          <w:color w:val="000000"/>
        </w:rPr>
      </w:pPr>
    </w:p>
    <w:p w14:paraId="66CFEBAE"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Los sujetos obligados que tengan el carácter de autoridad deberán adoptar el lineamiento general y guías de sede electrónica, trámites, otros procedimientos administrativos y consultas de acceso a información pública para integrarlas al Portal Único del Estado colombiano.</w:t>
      </w:r>
    </w:p>
    <w:p w14:paraId="51917170" w14:textId="77777777" w:rsidR="006C5FC0" w:rsidRDefault="006C5FC0" w:rsidP="005149BA">
      <w:pPr>
        <w:pBdr>
          <w:top w:val="nil"/>
          <w:left w:val="nil"/>
          <w:bottom w:val="nil"/>
          <w:right w:val="nil"/>
          <w:between w:val="nil"/>
        </w:pBdr>
        <w:ind w:left="426"/>
        <w:jc w:val="both"/>
        <w:rPr>
          <w:color w:val="000000"/>
        </w:rPr>
      </w:pPr>
    </w:p>
    <w:p w14:paraId="53B9BFDC" w14:textId="2754B3B3"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A nivel general, se presentan dos instructivos acerca de los trámites y servicios e instrucciones para acceder a la herramie</w:t>
      </w:r>
      <w:r w:rsidR="00CA67E6">
        <w:rPr>
          <w:rFonts w:eastAsia="Arial" w:cs="Arial"/>
          <w:color w:val="000000"/>
          <w:szCs w:val="22"/>
        </w:rPr>
        <w:t xml:space="preserve">nta </w:t>
      </w:r>
      <w:r>
        <w:rPr>
          <w:rFonts w:eastAsia="Arial" w:cs="Arial"/>
          <w:color w:val="000000"/>
          <w:szCs w:val="22"/>
        </w:rPr>
        <w:t>Bogotá Te Escucha.</w:t>
      </w:r>
    </w:p>
    <w:p w14:paraId="18024386" w14:textId="77777777" w:rsidR="006C5FC0" w:rsidRDefault="006C5FC0" w:rsidP="005149BA">
      <w:pPr>
        <w:pBdr>
          <w:top w:val="nil"/>
          <w:left w:val="nil"/>
          <w:bottom w:val="nil"/>
          <w:right w:val="nil"/>
          <w:between w:val="nil"/>
        </w:pBdr>
        <w:ind w:left="426"/>
        <w:jc w:val="both"/>
        <w:rPr>
          <w:color w:val="000000"/>
        </w:rPr>
      </w:pPr>
    </w:p>
    <w:p w14:paraId="29E53509"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 xml:space="preserve">En la opción señalada, se incluye la información referente a seis (6) trámites y quince (15) servicios gestionados por la entidad; para cada uno se presenta la información acerca de la normatividad aplicable, descripción, pasos, duración, costo y se adjuntan los formularios requeridos, según corresponda. </w:t>
      </w:r>
    </w:p>
    <w:p w14:paraId="59306D70" w14:textId="77777777" w:rsidR="006C5FC0" w:rsidRDefault="006C5FC0" w:rsidP="005149BA">
      <w:pPr>
        <w:pBdr>
          <w:top w:val="nil"/>
          <w:left w:val="nil"/>
          <w:bottom w:val="nil"/>
          <w:right w:val="nil"/>
          <w:between w:val="nil"/>
        </w:pBdr>
        <w:jc w:val="both"/>
        <w:rPr>
          <w:color w:val="000000"/>
        </w:rPr>
      </w:pPr>
      <w:r>
        <w:rPr>
          <w:noProof/>
          <w:color w:val="000000"/>
          <w:lang w:val="es-MX" w:eastAsia="es-MX"/>
        </w:rPr>
        <w:lastRenderedPageBreak/>
        <w:drawing>
          <wp:inline distT="0" distB="0" distL="0" distR="0" wp14:anchorId="524C5E60" wp14:editId="56CD66AF">
            <wp:extent cx="5557138" cy="1464100"/>
            <wp:effectExtent l="9525" t="9525" r="9525" b="9525"/>
            <wp:docPr id="28"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3"/>
                    <a:srcRect t="4050" b="44673"/>
                    <a:stretch>
                      <a:fillRect/>
                    </a:stretch>
                  </pic:blipFill>
                  <pic:spPr>
                    <a:xfrm>
                      <a:off x="0" y="0"/>
                      <a:ext cx="5557138" cy="1464100"/>
                    </a:xfrm>
                    <a:prstGeom prst="rect">
                      <a:avLst/>
                    </a:prstGeom>
                    <a:ln w="9525">
                      <a:solidFill>
                        <a:srgbClr val="000000"/>
                      </a:solidFill>
                      <a:prstDash val="solid"/>
                    </a:ln>
                  </pic:spPr>
                </pic:pic>
              </a:graphicData>
            </a:graphic>
          </wp:inline>
        </w:drawing>
      </w:r>
    </w:p>
    <w:p w14:paraId="31E3535B" w14:textId="77777777" w:rsidR="006C5FC0" w:rsidRDefault="006C5FC0" w:rsidP="005149BA">
      <w:pPr>
        <w:pBdr>
          <w:top w:val="nil"/>
          <w:left w:val="nil"/>
          <w:bottom w:val="nil"/>
          <w:right w:val="nil"/>
          <w:between w:val="nil"/>
        </w:pBdr>
        <w:ind w:left="426"/>
        <w:jc w:val="both"/>
        <w:rPr>
          <w:color w:val="000000"/>
        </w:rPr>
      </w:pPr>
    </w:p>
    <w:p w14:paraId="79019296" w14:textId="77777777" w:rsidR="006C5FC0" w:rsidRDefault="006C5FC0" w:rsidP="005149BA">
      <w:pPr>
        <w:numPr>
          <w:ilvl w:val="0"/>
          <w:numId w:val="12"/>
        </w:numPr>
        <w:pBdr>
          <w:top w:val="nil"/>
          <w:left w:val="nil"/>
          <w:bottom w:val="nil"/>
          <w:right w:val="nil"/>
          <w:between w:val="nil"/>
        </w:pBdr>
        <w:ind w:left="426"/>
        <w:jc w:val="both"/>
      </w:pPr>
      <w:r>
        <w:rPr>
          <w:rFonts w:eastAsia="Arial" w:cs="Arial"/>
          <w:color w:val="000000"/>
          <w:szCs w:val="22"/>
        </w:rPr>
        <w:t>Canales de atención y pida una cita</w:t>
      </w:r>
    </w:p>
    <w:p w14:paraId="4C617E1A" w14:textId="77777777" w:rsidR="006C5FC0" w:rsidRDefault="006C5FC0" w:rsidP="005149BA">
      <w:pPr>
        <w:pBdr>
          <w:top w:val="nil"/>
          <w:left w:val="nil"/>
          <w:bottom w:val="nil"/>
          <w:right w:val="nil"/>
          <w:between w:val="nil"/>
        </w:pBdr>
        <w:ind w:left="426"/>
        <w:jc w:val="both"/>
        <w:rPr>
          <w:color w:val="000000"/>
        </w:rPr>
      </w:pPr>
    </w:p>
    <w:p w14:paraId="532F7DCA"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Los sujetos obligados deberán incluir en su respectiva sede electrónica la información y contenidos relacionados con los canales habilitados para la atención a la ciudadanía y demás grupos caracterizados, con la finalidad de identificar y dar a conocer los canales digitales oficiales de recepción de solicitudes, peticiones e información. Además, se deberá habilitar un mecanismo para que el usuario pueda agendar una cita para atención presencial, e indicar los horarios de atención en sedes físicas.</w:t>
      </w:r>
    </w:p>
    <w:p w14:paraId="5FF9A01F" w14:textId="77777777" w:rsidR="006C5FC0" w:rsidRDefault="006C5FC0" w:rsidP="005149BA">
      <w:pPr>
        <w:pBdr>
          <w:top w:val="nil"/>
          <w:left w:val="nil"/>
          <w:bottom w:val="nil"/>
          <w:right w:val="nil"/>
          <w:between w:val="nil"/>
        </w:pBdr>
        <w:ind w:left="426"/>
        <w:jc w:val="both"/>
        <w:rPr>
          <w:color w:val="000000"/>
        </w:rPr>
      </w:pPr>
    </w:p>
    <w:p w14:paraId="0680BB21"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Se encuentra publicada la información de contacto, ubicación física, horarios de atención y datos de contacto de las sedes Casa Genoveva, Palomar del Príncipe, Casa Pardo, Casa Gemelas, Casa de los Siete Balcones y Casa Sámano.</w:t>
      </w:r>
    </w:p>
    <w:p w14:paraId="139789C1" w14:textId="77777777" w:rsidR="006C5FC0" w:rsidRDefault="006C5FC0" w:rsidP="005149BA">
      <w:pPr>
        <w:pBdr>
          <w:top w:val="nil"/>
          <w:left w:val="nil"/>
          <w:bottom w:val="nil"/>
          <w:right w:val="nil"/>
          <w:between w:val="nil"/>
        </w:pBdr>
        <w:ind w:left="426"/>
        <w:jc w:val="both"/>
        <w:rPr>
          <w:color w:val="000000"/>
        </w:rPr>
      </w:pPr>
    </w:p>
    <w:p w14:paraId="378C5D66" w14:textId="77777777" w:rsidR="006C5FC0" w:rsidRDefault="006C5FC0" w:rsidP="005149BA">
      <w:pPr>
        <w:pBdr>
          <w:top w:val="nil"/>
          <w:left w:val="nil"/>
          <w:bottom w:val="nil"/>
          <w:right w:val="nil"/>
          <w:between w:val="nil"/>
        </w:pBdr>
        <w:jc w:val="both"/>
        <w:rPr>
          <w:color w:val="000000"/>
        </w:rPr>
      </w:pPr>
      <w:r>
        <w:rPr>
          <w:noProof/>
          <w:color w:val="000000"/>
          <w:lang w:val="es-MX" w:eastAsia="es-MX"/>
        </w:rPr>
        <w:drawing>
          <wp:inline distT="0" distB="0" distL="0" distR="0" wp14:anchorId="20E9314D" wp14:editId="2D1515C4">
            <wp:extent cx="5584665" cy="1617052"/>
            <wp:effectExtent l="9525" t="9525" r="9525" b="9525"/>
            <wp:docPr id="31" name="image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10;&#10;Descripción generada automáticamente"/>
                    <pic:cNvPicPr preferRelativeResize="0"/>
                  </pic:nvPicPr>
                  <pic:blipFill>
                    <a:blip r:embed="rId14"/>
                    <a:srcRect t="4398" b="39273"/>
                    <a:stretch>
                      <a:fillRect/>
                    </a:stretch>
                  </pic:blipFill>
                  <pic:spPr>
                    <a:xfrm>
                      <a:off x="0" y="0"/>
                      <a:ext cx="5584665" cy="1617052"/>
                    </a:xfrm>
                    <a:prstGeom prst="rect">
                      <a:avLst/>
                    </a:prstGeom>
                    <a:ln w="9525">
                      <a:solidFill>
                        <a:srgbClr val="000000"/>
                      </a:solidFill>
                      <a:prstDash val="solid"/>
                    </a:ln>
                  </pic:spPr>
                </pic:pic>
              </a:graphicData>
            </a:graphic>
          </wp:inline>
        </w:drawing>
      </w:r>
    </w:p>
    <w:p w14:paraId="1EE7D2F2" w14:textId="77777777" w:rsidR="006C5FC0" w:rsidRDefault="006C5FC0" w:rsidP="005149BA">
      <w:pPr>
        <w:pBdr>
          <w:top w:val="nil"/>
          <w:left w:val="nil"/>
          <w:bottom w:val="nil"/>
          <w:right w:val="nil"/>
          <w:between w:val="nil"/>
        </w:pBdr>
        <w:ind w:left="426"/>
        <w:jc w:val="both"/>
        <w:rPr>
          <w:color w:val="000000"/>
        </w:rPr>
      </w:pPr>
    </w:p>
    <w:p w14:paraId="3E944CEE" w14:textId="77777777" w:rsidR="006C5FC0" w:rsidRDefault="006C5FC0" w:rsidP="005149BA">
      <w:pPr>
        <w:numPr>
          <w:ilvl w:val="0"/>
          <w:numId w:val="12"/>
        </w:numPr>
        <w:pBdr>
          <w:top w:val="nil"/>
          <w:left w:val="nil"/>
          <w:bottom w:val="nil"/>
          <w:right w:val="nil"/>
          <w:between w:val="nil"/>
        </w:pBdr>
        <w:ind w:left="426"/>
        <w:jc w:val="both"/>
      </w:pPr>
      <w:r>
        <w:rPr>
          <w:rFonts w:eastAsia="Arial" w:cs="Arial"/>
          <w:color w:val="000000"/>
          <w:szCs w:val="22"/>
        </w:rPr>
        <w:t xml:space="preserve">PQRSD </w:t>
      </w:r>
    </w:p>
    <w:p w14:paraId="5A581715" w14:textId="77777777" w:rsidR="006C5FC0" w:rsidRDefault="006C5FC0" w:rsidP="005149BA">
      <w:pPr>
        <w:pBdr>
          <w:top w:val="nil"/>
          <w:left w:val="nil"/>
          <w:bottom w:val="nil"/>
          <w:right w:val="nil"/>
          <w:between w:val="nil"/>
        </w:pBdr>
        <w:ind w:left="426"/>
        <w:jc w:val="both"/>
        <w:rPr>
          <w:color w:val="000000"/>
        </w:rPr>
      </w:pPr>
    </w:p>
    <w:p w14:paraId="007A6B8E"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Las entidades sujetas de obligación deberán habilitar un formulario de PQRSD – Peticiones, Quejas, Reclamos, Sugerencias, Solicitud de información pública, y Denuncias, conforme con los siguientes criterios, procurando siempre el acceso autónomo e independiente de cualquier persona, incluidas las personas con discapacidad sensorial e intelectual.</w:t>
      </w:r>
    </w:p>
    <w:p w14:paraId="737CE1C7" w14:textId="77777777" w:rsidR="006C5FC0" w:rsidRDefault="006C5FC0" w:rsidP="005149BA">
      <w:pPr>
        <w:pBdr>
          <w:top w:val="nil"/>
          <w:left w:val="nil"/>
          <w:bottom w:val="nil"/>
          <w:right w:val="nil"/>
          <w:between w:val="nil"/>
        </w:pBdr>
        <w:ind w:left="426"/>
        <w:jc w:val="both"/>
        <w:rPr>
          <w:color w:val="000000"/>
        </w:rPr>
      </w:pPr>
    </w:p>
    <w:p w14:paraId="18EE7C2B" w14:textId="77777777" w:rsidR="006C5FC0" w:rsidRDefault="006C5FC0" w:rsidP="005149BA">
      <w:pPr>
        <w:pBdr>
          <w:top w:val="nil"/>
          <w:left w:val="nil"/>
          <w:bottom w:val="nil"/>
          <w:right w:val="nil"/>
          <w:between w:val="nil"/>
        </w:pBdr>
        <w:ind w:left="426"/>
        <w:jc w:val="both"/>
        <w:rPr>
          <w:color w:val="000000"/>
        </w:rPr>
      </w:pPr>
      <w:r>
        <w:rPr>
          <w:rFonts w:eastAsia="Arial" w:cs="Arial"/>
          <w:color w:val="000000"/>
          <w:szCs w:val="22"/>
        </w:rPr>
        <w:t>En la página web se presentan dos enlaces, el primero direcciona al Sistema Distrital de Peticiones ciudadanas de la Alcaldía de Bogotá, el cual cumple con las condiciones técnicas de la normatividad y el segundo, se denomina solicitudes de información pública con identificación reservada –SIPIR y redirecciona a la página de la Procuraduría General de la Nación. Adicionalmente, se presentan los correos electrónicos de contacto de la entidad.</w:t>
      </w:r>
    </w:p>
    <w:p w14:paraId="101E39CB" w14:textId="77777777" w:rsidR="006C5FC0" w:rsidRDefault="006C5FC0" w:rsidP="005149BA">
      <w:pPr>
        <w:pBdr>
          <w:top w:val="nil"/>
          <w:left w:val="nil"/>
          <w:bottom w:val="nil"/>
          <w:right w:val="nil"/>
          <w:between w:val="nil"/>
        </w:pBdr>
        <w:jc w:val="both"/>
        <w:rPr>
          <w:color w:val="000000"/>
        </w:rPr>
      </w:pPr>
      <w:r>
        <w:rPr>
          <w:noProof/>
          <w:color w:val="000000"/>
          <w:lang w:val="es-MX" w:eastAsia="es-MX"/>
        </w:rPr>
        <w:lastRenderedPageBreak/>
        <w:drawing>
          <wp:inline distT="0" distB="0" distL="0" distR="0" wp14:anchorId="1CF0BBEC" wp14:editId="5A661DA8">
            <wp:extent cx="5598581" cy="1203563"/>
            <wp:effectExtent l="9525" t="9525" r="9525" b="9525"/>
            <wp:docPr id="30"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15"/>
                    <a:srcRect t="4401" b="53860"/>
                    <a:stretch>
                      <a:fillRect/>
                    </a:stretch>
                  </pic:blipFill>
                  <pic:spPr>
                    <a:xfrm>
                      <a:off x="0" y="0"/>
                      <a:ext cx="5598581" cy="1203563"/>
                    </a:xfrm>
                    <a:prstGeom prst="rect">
                      <a:avLst/>
                    </a:prstGeom>
                    <a:ln w="9525">
                      <a:solidFill>
                        <a:srgbClr val="000000"/>
                      </a:solidFill>
                      <a:prstDash val="solid"/>
                    </a:ln>
                  </pic:spPr>
                </pic:pic>
              </a:graphicData>
            </a:graphic>
          </wp:inline>
        </w:drawing>
      </w:r>
    </w:p>
    <w:p w14:paraId="729BCEC0" w14:textId="77777777" w:rsidR="006C5FC0" w:rsidRDefault="006C5FC0" w:rsidP="005149BA">
      <w:pPr>
        <w:jc w:val="both"/>
      </w:pPr>
    </w:p>
    <w:p w14:paraId="56BECF57" w14:textId="77777777" w:rsidR="00CA67E6" w:rsidRDefault="00CA67E6" w:rsidP="005149BA">
      <w:pPr>
        <w:jc w:val="both"/>
      </w:pPr>
    </w:p>
    <w:p w14:paraId="5E5789D1" w14:textId="77777777" w:rsidR="006C5FC0" w:rsidRDefault="006C5FC0" w:rsidP="005149BA">
      <w:pPr>
        <w:numPr>
          <w:ilvl w:val="3"/>
          <w:numId w:val="8"/>
        </w:numPr>
        <w:pBdr>
          <w:top w:val="nil"/>
          <w:left w:val="nil"/>
          <w:bottom w:val="nil"/>
          <w:right w:val="nil"/>
          <w:between w:val="nil"/>
        </w:pBdr>
        <w:jc w:val="both"/>
        <w:rPr>
          <w:i/>
          <w:color w:val="000000"/>
          <w:u w:val="single"/>
        </w:rPr>
      </w:pPr>
      <w:r>
        <w:rPr>
          <w:rFonts w:eastAsia="Arial" w:cs="Arial"/>
          <w:i/>
          <w:color w:val="000000"/>
          <w:szCs w:val="22"/>
          <w:u w:val="single"/>
        </w:rPr>
        <w:t>Menú Participa</w:t>
      </w:r>
    </w:p>
    <w:p w14:paraId="5F4F10AF" w14:textId="77777777" w:rsidR="006C5FC0" w:rsidRDefault="006C5FC0" w:rsidP="005149BA">
      <w:pPr>
        <w:jc w:val="both"/>
      </w:pPr>
    </w:p>
    <w:p w14:paraId="773FE9C7" w14:textId="77777777" w:rsidR="006C5FC0" w:rsidRDefault="006C5FC0" w:rsidP="005149BA">
      <w:pPr>
        <w:jc w:val="both"/>
      </w:pPr>
      <w:r>
        <w:t>Los sujetos obligados entidades públicas, y particulares que cumplan función pública o administren recursos públicos, deberán publicar la información que le corresponda, conforme con los lineamientos específicos que expida el Departamento Administrativo de la Función Pública.</w:t>
      </w:r>
    </w:p>
    <w:p w14:paraId="69F8802F" w14:textId="77777777" w:rsidR="006C5FC0" w:rsidRDefault="006C5FC0" w:rsidP="005149BA">
      <w:pPr>
        <w:jc w:val="both"/>
      </w:pPr>
    </w:p>
    <w:p w14:paraId="7D5A85E1" w14:textId="77777777" w:rsidR="006C5FC0" w:rsidRDefault="006C5FC0" w:rsidP="005149BA">
      <w:pPr>
        <w:jc w:val="both"/>
      </w:pPr>
      <w:r>
        <w:t>El Menú Participa contiene información sobre el Diagnóstico e identificación de problemas, Planeación y/o presupuesto participativo, Consulta ciudadana, Colaboración e innovación abierta, Rendición de Cuentas y Control Social.</w:t>
      </w:r>
    </w:p>
    <w:p w14:paraId="14CEFDC7" w14:textId="77777777" w:rsidR="006C5FC0" w:rsidRDefault="006C5FC0" w:rsidP="005149BA">
      <w:pPr>
        <w:jc w:val="both"/>
      </w:pPr>
    </w:p>
    <w:p w14:paraId="63EA8AA4" w14:textId="77777777" w:rsidR="006C5FC0" w:rsidRDefault="006C5FC0" w:rsidP="005149BA">
      <w:pPr>
        <w:jc w:val="both"/>
      </w:pPr>
      <w:r>
        <w:rPr>
          <w:noProof/>
          <w:lang w:val="es-MX" w:eastAsia="es-MX"/>
        </w:rPr>
        <w:drawing>
          <wp:inline distT="0" distB="0" distL="0" distR="0" wp14:anchorId="1A8C9677" wp14:editId="1E75244E">
            <wp:extent cx="5612130" cy="1790382"/>
            <wp:effectExtent l="9525" t="9525" r="9525" b="9525"/>
            <wp:docPr id="34" name="image11.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Sitio web&#10;&#10;Descripción generada automáticamente"/>
                    <pic:cNvPicPr preferRelativeResize="0"/>
                  </pic:nvPicPr>
                  <pic:blipFill>
                    <a:blip r:embed="rId16"/>
                    <a:srcRect t="4374" b="33902"/>
                    <a:stretch>
                      <a:fillRect/>
                    </a:stretch>
                  </pic:blipFill>
                  <pic:spPr>
                    <a:xfrm>
                      <a:off x="0" y="0"/>
                      <a:ext cx="5612130" cy="1790382"/>
                    </a:xfrm>
                    <a:prstGeom prst="rect">
                      <a:avLst/>
                    </a:prstGeom>
                    <a:ln w="9525">
                      <a:solidFill>
                        <a:srgbClr val="000000"/>
                      </a:solidFill>
                      <a:prstDash val="solid"/>
                    </a:ln>
                  </pic:spPr>
                </pic:pic>
              </a:graphicData>
            </a:graphic>
          </wp:inline>
        </w:drawing>
      </w:r>
    </w:p>
    <w:p w14:paraId="37D59D21" w14:textId="77777777" w:rsidR="006C5FC0" w:rsidRDefault="006C5FC0" w:rsidP="005149BA">
      <w:pPr>
        <w:jc w:val="both"/>
      </w:pPr>
    </w:p>
    <w:p w14:paraId="18497FF6" w14:textId="77777777" w:rsidR="00CA67E6" w:rsidRDefault="00CA67E6" w:rsidP="005149BA">
      <w:pPr>
        <w:jc w:val="both"/>
      </w:pPr>
    </w:p>
    <w:p w14:paraId="18F9D5E1" w14:textId="77777777" w:rsidR="006C5FC0" w:rsidRDefault="006C5FC0" w:rsidP="005149BA">
      <w:pPr>
        <w:numPr>
          <w:ilvl w:val="1"/>
          <w:numId w:val="8"/>
        </w:numPr>
        <w:pBdr>
          <w:top w:val="nil"/>
          <w:left w:val="nil"/>
          <w:bottom w:val="nil"/>
          <w:right w:val="nil"/>
          <w:between w:val="nil"/>
        </w:pBdr>
        <w:rPr>
          <w:b/>
          <w:color w:val="000000"/>
        </w:rPr>
      </w:pPr>
      <w:r>
        <w:rPr>
          <w:rFonts w:eastAsia="Arial" w:cs="Arial"/>
          <w:b/>
          <w:color w:val="000000"/>
          <w:szCs w:val="22"/>
        </w:rPr>
        <w:t>CONDICIONES MÍNIMAS TÉCNICAS Y DE SEGURIDAD</w:t>
      </w:r>
    </w:p>
    <w:p w14:paraId="438ED8E1" w14:textId="77777777" w:rsidR="006C5FC0" w:rsidRDefault="006C5FC0" w:rsidP="005149BA">
      <w:pPr>
        <w:jc w:val="both"/>
      </w:pPr>
    </w:p>
    <w:p w14:paraId="5A22F5CC" w14:textId="77777777" w:rsidR="006C5FC0" w:rsidRDefault="006C5FC0" w:rsidP="005149BA">
      <w:pPr>
        <w:jc w:val="both"/>
      </w:pPr>
      <w:r>
        <w:t>Los sujetos obligados tendrán que adoptar medidas para garantizar la seguridad digital y mitigar riesgos de incidentes cibernéticos o filtración de datos personales o sensibles.</w:t>
      </w:r>
    </w:p>
    <w:p w14:paraId="0A3C6695" w14:textId="77777777" w:rsidR="006C5FC0" w:rsidRDefault="006C5FC0" w:rsidP="005149BA">
      <w:pPr>
        <w:jc w:val="both"/>
      </w:pPr>
    </w:p>
    <w:p w14:paraId="4A3822F1" w14:textId="77777777" w:rsidR="006C5FC0" w:rsidRDefault="006C5FC0" w:rsidP="005149BA">
      <w:pPr>
        <w:jc w:val="both"/>
      </w:pPr>
      <w:r>
        <w:t xml:space="preserve">Como resultado de la verificación de condiciones mínimas técnicas y de seguridad digital, que incluyó la revisión del aplicativo SISBIC, se observó que el Instituto, cuenta con el Manual de Políticas de Seguridad y Privacidad de la Información y una Política de Seguridad y Privacidad de la Información. De conformidad con el anexo 3 de la Resolución 1519 de 2020, la Asesoría de Control Interno evaluó 23 criterios relacionados con las condiciones de seguridad digital web. </w:t>
      </w:r>
    </w:p>
    <w:p w14:paraId="66A155F5" w14:textId="77777777" w:rsidR="006C5FC0" w:rsidRDefault="006C5FC0" w:rsidP="005149BA">
      <w:pPr>
        <w:jc w:val="both"/>
      </w:pPr>
    </w:p>
    <w:p w14:paraId="566B931C" w14:textId="77777777" w:rsidR="006C5FC0" w:rsidRDefault="006C5FC0" w:rsidP="005149BA">
      <w:pPr>
        <w:jc w:val="both"/>
      </w:pPr>
      <w:r>
        <w:t>La evaluación corresponde a lo consignado en el anexo 2 del presente informe y el siguiente cuadro:</w:t>
      </w:r>
    </w:p>
    <w:p w14:paraId="77F783B8" w14:textId="77777777" w:rsidR="006C5FC0" w:rsidRDefault="006C5FC0" w:rsidP="005149BA">
      <w:pPr>
        <w:jc w:val="both"/>
      </w:pPr>
    </w:p>
    <w:p w14:paraId="712527AD" w14:textId="77777777" w:rsidR="00CA67E6" w:rsidRDefault="00CA67E6" w:rsidP="005149BA">
      <w:pPr>
        <w:jc w:val="both"/>
      </w:pP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408"/>
        <w:gridCol w:w="1411"/>
      </w:tblGrid>
      <w:tr w:rsidR="006C5FC0" w14:paraId="249A4EED" w14:textId="77777777" w:rsidTr="006D54D7">
        <w:trPr>
          <w:jc w:val="center"/>
        </w:trPr>
        <w:tc>
          <w:tcPr>
            <w:tcW w:w="5807" w:type="dxa"/>
            <w:gridSpan w:val="3"/>
            <w:shd w:val="clear" w:color="auto" w:fill="D0CECE"/>
            <w:vAlign w:val="center"/>
          </w:tcPr>
          <w:p w14:paraId="6D850EEB" w14:textId="18899107" w:rsidR="006C5FC0" w:rsidRDefault="006C5FC0" w:rsidP="00CA67E6">
            <w:pPr>
              <w:rPr>
                <w:b/>
              </w:rPr>
            </w:pPr>
            <w:r>
              <w:rPr>
                <w:b/>
              </w:rPr>
              <w:lastRenderedPageBreak/>
              <w:t>SEGUIMIENTO Y E</w:t>
            </w:r>
            <w:r w:rsidR="00CA67E6">
              <w:rPr>
                <w:b/>
              </w:rPr>
              <w:t>VALUACIÓN CI DIC</w:t>
            </w:r>
            <w:r>
              <w:rPr>
                <w:b/>
              </w:rPr>
              <w:t>IEMBRE 2021</w:t>
            </w:r>
          </w:p>
        </w:tc>
      </w:tr>
      <w:tr w:rsidR="006C5FC0" w14:paraId="55FF3DA1" w14:textId="77777777" w:rsidTr="006D54D7">
        <w:trPr>
          <w:jc w:val="center"/>
        </w:trPr>
        <w:tc>
          <w:tcPr>
            <w:tcW w:w="2988" w:type="dxa"/>
            <w:shd w:val="clear" w:color="auto" w:fill="D0CECE"/>
            <w:vAlign w:val="center"/>
          </w:tcPr>
          <w:p w14:paraId="4ED28FD2" w14:textId="77777777" w:rsidR="006C5FC0" w:rsidRDefault="006C5FC0" w:rsidP="005149BA">
            <w:pPr>
              <w:jc w:val="center"/>
            </w:pPr>
          </w:p>
        </w:tc>
        <w:tc>
          <w:tcPr>
            <w:tcW w:w="1408" w:type="dxa"/>
            <w:shd w:val="clear" w:color="auto" w:fill="D0CECE"/>
            <w:vAlign w:val="center"/>
          </w:tcPr>
          <w:p w14:paraId="7EE44E31" w14:textId="77777777" w:rsidR="006C5FC0" w:rsidRDefault="006C5FC0" w:rsidP="005149BA">
            <w:pPr>
              <w:jc w:val="center"/>
            </w:pPr>
            <w:r>
              <w:t xml:space="preserve"> Totales </w:t>
            </w:r>
          </w:p>
        </w:tc>
        <w:tc>
          <w:tcPr>
            <w:tcW w:w="1411" w:type="dxa"/>
            <w:shd w:val="clear" w:color="auto" w:fill="D0CECE"/>
            <w:vAlign w:val="center"/>
          </w:tcPr>
          <w:p w14:paraId="1798A504" w14:textId="77777777" w:rsidR="006C5FC0" w:rsidRDefault="006C5FC0" w:rsidP="005149BA">
            <w:pPr>
              <w:jc w:val="center"/>
            </w:pPr>
            <w:r>
              <w:t xml:space="preserve">Porcentaje </w:t>
            </w:r>
          </w:p>
        </w:tc>
      </w:tr>
      <w:tr w:rsidR="006C5FC0" w14:paraId="71DD4286" w14:textId="77777777" w:rsidTr="006D54D7">
        <w:trPr>
          <w:jc w:val="center"/>
        </w:trPr>
        <w:tc>
          <w:tcPr>
            <w:tcW w:w="2988" w:type="dxa"/>
            <w:shd w:val="clear" w:color="auto" w:fill="auto"/>
            <w:vAlign w:val="center"/>
          </w:tcPr>
          <w:p w14:paraId="3BEC25A7" w14:textId="77777777" w:rsidR="006C5FC0" w:rsidRDefault="006C5FC0" w:rsidP="005149BA">
            <w:r>
              <w:t>Cumple</w:t>
            </w:r>
          </w:p>
        </w:tc>
        <w:tc>
          <w:tcPr>
            <w:tcW w:w="1408" w:type="dxa"/>
            <w:shd w:val="clear" w:color="auto" w:fill="A7D971"/>
            <w:vAlign w:val="center"/>
          </w:tcPr>
          <w:p w14:paraId="6D6D3B2D" w14:textId="77777777" w:rsidR="006C5FC0" w:rsidRDefault="006C5FC0" w:rsidP="005149BA">
            <w:pPr>
              <w:jc w:val="center"/>
            </w:pPr>
            <w:r>
              <w:t>20</w:t>
            </w:r>
          </w:p>
        </w:tc>
        <w:tc>
          <w:tcPr>
            <w:tcW w:w="1411" w:type="dxa"/>
            <w:shd w:val="clear" w:color="auto" w:fill="A7D971"/>
            <w:vAlign w:val="center"/>
          </w:tcPr>
          <w:p w14:paraId="12842071" w14:textId="77777777" w:rsidR="006C5FC0" w:rsidRDefault="006C5FC0" w:rsidP="005149BA">
            <w:pPr>
              <w:jc w:val="center"/>
            </w:pPr>
            <w:r>
              <w:t>87,0%</w:t>
            </w:r>
          </w:p>
        </w:tc>
      </w:tr>
      <w:tr w:rsidR="006C5FC0" w14:paraId="34A8C3B2" w14:textId="77777777" w:rsidTr="006D54D7">
        <w:trPr>
          <w:jc w:val="center"/>
        </w:trPr>
        <w:tc>
          <w:tcPr>
            <w:tcW w:w="2988" w:type="dxa"/>
            <w:shd w:val="clear" w:color="auto" w:fill="auto"/>
            <w:vAlign w:val="center"/>
          </w:tcPr>
          <w:p w14:paraId="504E06B7" w14:textId="77777777" w:rsidR="006C5FC0" w:rsidRDefault="006C5FC0" w:rsidP="005149BA">
            <w:r>
              <w:t>No Cumple</w:t>
            </w:r>
          </w:p>
        </w:tc>
        <w:tc>
          <w:tcPr>
            <w:tcW w:w="1408" w:type="dxa"/>
            <w:shd w:val="clear" w:color="auto" w:fill="FF9999"/>
            <w:vAlign w:val="center"/>
          </w:tcPr>
          <w:p w14:paraId="5C647405" w14:textId="77777777" w:rsidR="006C5FC0" w:rsidRDefault="006C5FC0" w:rsidP="005149BA">
            <w:pPr>
              <w:jc w:val="center"/>
            </w:pPr>
            <w:r>
              <w:t>0</w:t>
            </w:r>
          </w:p>
        </w:tc>
        <w:tc>
          <w:tcPr>
            <w:tcW w:w="1411" w:type="dxa"/>
            <w:shd w:val="clear" w:color="auto" w:fill="FF9999"/>
            <w:vAlign w:val="center"/>
          </w:tcPr>
          <w:p w14:paraId="14C3BFFB" w14:textId="77777777" w:rsidR="006C5FC0" w:rsidRDefault="006C5FC0" w:rsidP="005149BA">
            <w:pPr>
              <w:jc w:val="center"/>
            </w:pPr>
            <w:r>
              <w:t>0%</w:t>
            </w:r>
          </w:p>
        </w:tc>
      </w:tr>
      <w:tr w:rsidR="006C5FC0" w14:paraId="2A6C03A3" w14:textId="77777777" w:rsidTr="006D54D7">
        <w:trPr>
          <w:jc w:val="center"/>
        </w:trPr>
        <w:tc>
          <w:tcPr>
            <w:tcW w:w="2988" w:type="dxa"/>
            <w:shd w:val="clear" w:color="auto" w:fill="auto"/>
            <w:vAlign w:val="center"/>
          </w:tcPr>
          <w:p w14:paraId="49685064" w14:textId="77777777" w:rsidR="006C5FC0" w:rsidRDefault="006C5FC0" w:rsidP="005149BA">
            <w:r>
              <w:t>Cumple Parcialmente</w:t>
            </w:r>
          </w:p>
        </w:tc>
        <w:tc>
          <w:tcPr>
            <w:tcW w:w="1408" w:type="dxa"/>
            <w:shd w:val="clear" w:color="auto" w:fill="FFFF99"/>
            <w:vAlign w:val="center"/>
          </w:tcPr>
          <w:p w14:paraId="41E0E62B" w14:textId="77777777" w:rsidR="006C5FC0" w:rsidRDefault="006C5FC0" w:rsidP="005149BA">
            <w:pPr>
              <w:jc w:val="center"/>
            </w:pPr>
            <w:r>
              <w:t>3</w:t>
            </w:r>
          </w:p>
        </w:tc>
        <w:tc>
          <w:tcPr>
            <w:tcW w:w="1411" w:type="dxa"/>
            <w:shd w:val="clear" w:color="auto" w:fill="FFFF99"/>
            <w:vAlign w:val="center"/>
          </w:tcPr>
          <w:p w14:paraId="6BEAD14A" w14:textId="77777777" w:rsidR="006C5FC0" w:rsidRDefault="006C5FC0" w:rsidP="005149BA">
            <w:pPr>
              <w:jc w:val="center"/>
            </w:pPr>
            <w:r>
              <w:t>13,0%</w:t>
            </w:r>
          </w:p>
        </w:tc>
      </w:tr>
      <w:tr w:rsidR="006C5FC0" w14:paraId="316FC2A6" w14:textId="77777777" w:rsidTr="006D54D7">
        <w:trPr>
          <w:jc w:val="center"/>
        </w:trPr>
        <w:tc>
          <w:tcPr>
            <w:tcW w:w="2988" w:type="dxa"/>
            <w:shd w:val="clear" w:color="auto" w:fill="auto"/>
            <w:vAlign w:val="center"/>
          </w:tcPr>
          <w:p w14:paraId="0CD45285" w14:textId="77777777" w:rsidR="006C5FC0" w:rsidRDefault="006C5FC0" w:rsidP="005149BA">
            <w:pPr>
              <w:rPr>
                <w:b/>
              </w:rPr>
            </w:pPr>
            <w:r>
              <w:rPr>
                <w:b/>
              </w:rPr>
              <w:t>Total ítems verificados</w:t>
            </w:r>
          </w:p>
        </w:tc>
        <w:tc>
          <w:tcPr>
            <w:tcW w:w="1408" w:type="dxa"/>
            <w:shd w:val="clear" w:color="auto" w:fill="auto"/>
            <w:vAlign w:val="center"/>
          </w:tcPr>
          <w:p w14:paraId="486E64AC" w14:textId="77777777" w:rsidR="006C5FC0" w:rsidRDefault="006C5FC0" w:rsidP="005149BA">
            <w:pPr>
              <w:jc w:val="center"/>
              <w:rPr>
                <w:b/>
              </w:rPr>
            </w:pPr>
            <w:r>
              <w:rPr>
                <w:b/>
              </w:rPr>
              <w:t>23</w:t>
            </w:r>
          </w:p>
        </w:tc>
        <w:tc>
          <w:tcPr>
            <w:tcW w:w="1411" w:type="dxa"/>
            <w:shd w:val="clear" w:color="auto" w:fill="auto"/>
            <w:vAlign w:val="center"/>
          </w:tcPr>
          <w:p w14:paraId="4E1908B4" w14:textId="77777777" w:rsidR="006C5FC0" w:rsidRDefault="006C5FC0" w:rsidP="005149BA">
            <w:pPr>
              <w:jc w:val="center"/>
              <w:rPr>
                <w:b/>
              </w:rPr>
            </w:pPr>
            <w:r>
              <w:rPr>
                <w:b/>
              </w:rPr>
              <w:t>100%</w:t>
            </w:r>
          </w:p>
        </w:tc>
      </w:tr>
    </w:tbl>
    <w:p w14:paraId="278B2B4E" w14:textId="77777777" w:rsidR="006C5FC0" w:rsidRDefault="006C5FC0" w:rsidP="005149BA">
      <w:pPr>
        <w:jc w:val="both"/>
      </w:pPr>
    </w:p>
    <w:p w14:paraId="21091060" w14:textId="77777777" w:rsidR="006C5FC0" w:rsidRDefault="006C5FC0" w:rsidP="005149BA">
      <w:pPr>
        <w:jc w:val="both"/>
      </w:pPr>
      <w:r>
        <w:t xml:space="preserve">Lo anterior permitió evidenciar que el Aplicativo SISBIC presenta avances en la implementación de las condiciones de seguridad digital estipuladas en las normas. No obstante, se evidencia cumplimiento parcial de algunos de los criterios. </w:t>
      </w:r>
    </w:p>
    <w:p w14:paraId="73C5FFD3" w14:textId="77777777" w:rsidR="006C5FC0" w:rsidRDefault="006C5FC0" w:rsidP="005149BA">
      <w:pPr>
        <w:jc w:val="both"/>
      </w:pPr>
    </w:p>
    <w:p w14:paraId="0DF43066" w14:textId="77777777" w:rsidR="006C5FC0" w:rsidRDefault="006C5FC0" w:rsidP="005149BA">
      <w:pPr>
        <w:jc w:val="both"/>
      </w:pPr>
    </w:p>
    <w:p w14:paraId="6BF17E83" w14:textId="77777777" w:rsidR="006C5FC0" w:rsidRDefault="006C5FC0" w:rsidP="005149BA">
      <w:pPr>
        <w:numPr>
          <w:ilvl w:val="1"/>
          <w:numId w:val="8"/>
        </w:numPr>
        <w:pBdr>
          <w:top w:val="nil"/>
          <w:left w:val="nil"/>
          <w:bottom w:val="nil"/>
          <w:right w:val="nil"/>
          <w:between w:val="nil"/>
        </w:pBdr>
        <w:rPr>
          <w:b/>
          <w:color w:val="000000"/>
        </w:rPr>
      </w:pPr>
      <w:r>
        <w:rPr>
          <w:rFonts w:eastAsia="Arial" w:cs="Arial"/>
          <w:b/>
          <w:color w:val="000000"/>
          <w:szCs w:val="22"/>
        </w:rPr>
        <w:t xml:space="preserve">REQUISITOS </w:t>
      </w:r>
      <w:r>
        <w:rPr>
          <w:b/>
        </w:rPr>
        <w:t>MÍNIMOS</w:t>
      </w:r>
      <w:r>
        <w:rPr>
          <w:rFonts w:eastAsia="Arial" w:cs="Arial"/>
          <w:b/>
          <w:color w:val="000000"/>
          <w:szCs w:val="22"/>
        </w:rPr>
        <w:t xml:space="preserve"> DATOS ABIERTOS </w:t>
      </w:r>
    </w:p>
    <w:p w14:paraId="2A8F500B" w14:textId="77777777" w:rsidR="006C5FC0" w:rsidRDefault="006C5FC0" w:rsidP="005149BA"/>
    <w:p w14:paraId="56FE7190" w14:textId="77777777" w:rsidR="006C5FC0" w:rsidRDefault="006C5FC0" w:rsidP="005149BA">
      <w:r>
        <w:t>En relación con los requisitos mínimos de datos abiertos, se observó la publicación de los siguientes instrumentos de gestión de la información pública:</w:t>
      </w:r>
    </w:p>
    <w:p w14:paraId="7A578AA9" w14:textId="77777777" w:rsidR="006C5FC0" w:rsidRDefault="006C5FC0" w:rsidP="005149BA">
      <w:pPr>
        <w:ind w:left="360"/>
      </w:pPr>
    </w:p>
    <w:p w14:paraId="0B6F5E13" w14:textId="77777777" w:rsidR="006C5FC0" w:rsidRDefault="00B86D2D" w:rsidP="005149BA">
      <w:pPr>
        <w:numPr>
          <w:ilvl w:val="0"/>
          <w:numId w:val="16"/>
        </w:numPr>
        <w:pBdr>
          <w:top w:val="nil"/>
          <w:left w:val="nil"/>
          <w:bottom w:val="nil"/>
          <w:right w:val="nil"/>
          <w:between w:val="nil"/>
        </w:pBdr>
        <w:ind w:left="284" w:hanging="284"/>
        <w:jc w:val="both"/>
      </w:pPr>
      <w:hyperlink r:id="rId17">
        <w:r w:rsidR="006C5FC0">
          <w:rPr>
            <w:rFonts w:eastAsia="Arial" w:cs="Arial"/>
            <w:color w:val="000000"/>
            <w:szCs w:val="22"/>
          </w:rPr>
          <w:t>Registro de activos de Información</w:t>
        </w:r>
      </w:hyperlink>
    </w:p>
    <w:p w14:paraId="4A78A8F0" w14:textId="77777777" w:rsidR="006C5FC0" w:rsidRDefault="00B86D2D" w:rsidP="005149BA">
      <w:pPr>
        <w:numPr>
          <w:ilvl w:val="0"/>
          <w:numId w:val="16"/>
        </w:numPr>
        <w:pBdr>
          <w:top w:val="nil"/>
          <w:left w:val="nil"/>
          <w:bottom w:val="nil"/>
          <w:right w:val="nil"/>
          <w:between w:val="nil"/>
        </w:pBdr>
        <w:ind w:left="284" w:hanging="284"/>
        <w:jc w:val="both"/>
      </w:pPr>
      <w:hyperlink r:id="rId18">
        <w:r w:rsidR="006C5FC0">
          <w:rPr>
            <w:rFonts w:eastAsia="Arial" w:cs="Arial"/>
            <w:color w:val="000000"/>
            <w:szCs w:val="22"/>
          </w:rPr>
          <w:t>Índice de Información Clasificada y Reservada – Resolución de Adopción 2018</w:t>
        </w:r>
      </w:hyperlink>
    </w:p>
    <w:p w14:paraId="11F5D535" w14:textId="77777777" w:rsidR="006C5FC0" w:rsidRDefault="00B86D2D" w:rsidP="005149BA">
      <w:pPr>
        <w:numPr>
          <w:ilvl w:val="0"/>
          <w:numId w:val="16"/>
        </w:numPr>
        <w:pBdr>
          <w:top w:val="nil"/>
          <w:left w:val="nil"/>
          <w:bottom w:val="nil"/>
          <w:right w:val="nil"/>
          <w:between w:val="nil"/>
        </w:pBdr>
        <w:ind w:left="284" w:hanging="284"/>
        <w:jc w:val="both"/>
      </w:pPr>
      <w:hyperlink r:id="rId19">
        <w:r w:rsidR="006C5FC0">
          <w:rPr>
            <w:rFonts w:eastAsia="Arial" w:cs="Arial"/>
            <w:color w:val="000000"/>
            <w:szCs w:val="22"/>
          </w:rPr>
          <w:t>Esquema de Publicación de Información</w:t>
        </w:r>
      </w:hyperlink>
    </w:p>
    <w:p w14:paraId="1F0119D0" w14:textId="77777777" w:rsidR="006C5FC0" w:rsidRDefault="00B86D2D" w:rsidP="005149BA">
      <w:pPr>
        <w:numPr>
          <w:ilvl w:val="0"/>
          <w:numId w:val="16"/>
        </w:numPr>
        <w:pBdr>
          <w:top w:val="nil"/>
          <w:left w:val="nil"/>
          <w:bottom w:val="nil"/>
          <w:right w:val="nil"/>
          <w:between w:val="nil"/>
        </w:pBdr>
        <w:ind w:left="284" w:hanging="284"/>
        <w:jc w:val="both"/>
      </w:pPr>
      <w:hyperlink r:id="rId20">
        <w:r w:rsidR="006C5FC0">
          <w:rPr>
            <w:rFonts w:eastAsia="Arial" w:cs="Arial"/>
            <w:color w:val="000000"/>
            <w:szCs w:val="22"/>
          </w:rPr>
          <w:t>Programa de Gestión Documental</w:t>
        </w:r>
      </w:hyperlink>
    </w:p>
    <w:p w14:paraId="084805F3" w14:textId="77777777" w:rsidR="006C5FC0" w:rsidRDefault="00B86D2D" w:rsidP="005149BA">
      <w:pPr>
        <w:numPr>
          <w:ilvl w:val="0"/>
          <w:numId w:val="16"/>
        </w:numPr>
        <w:pBdr>
          <w:top w:val="nil"/>
          <w:left w:val="nil"/>
          <w:bottom w:val="nil"/>
          <w:right w:val="nil"/>
          <w:between w:val="nil"/>
        </w:pBdr>
        <w:ind w:left="284" w:hanging="284"/>
        <w:jc w:val="both"/>
      </w:pPr>
      <w:hyperlink r:id="rId21">
        <w:r w:rsidR="006C5FC0">
          <w:rPr>
            <w:rFonts w:eastAsia="Arial" w:cs="Arial"/>
            <w:color w:val="000000"/>
            <w:szCs w:val="22"/>
          </w:rPr>
          <w:t>Tablas de Retención Documental y Tabla de Valoración Documental</w:t>
        </w:r>
      </w:hyperlink>
    </w:p>
    <w:p w14:paraId="4E18F665" w14:textId="77777777" w:rsidR="006C5FC0" w:rsidRDefault="00B86D2D" w:rsidP="005149BA">
      <w:pPr>
        <w:numPr>
          <w:ilvl w:val="0"/>
          <w:numId w:val="16"/>
        </w:numPr>
        <w:pBdr>
          <w:top w:val="nil"/>
          <w:left w:val="nil"/>
          <w:bottom w:val="nil"/>
          <w:right w:val="nil"/>
          <w:between w:val="nil"/>
        </w:pBdr>
        <w:ind w:left="284" w:hanging="284"/>
        <w:jc w:val="both"/>
      </w:pPr>
      <w:hyperlink r:id="rId22">
        <w:r w:rsidR="006C5FC0">
          <w:rPr>
            <w:rFonts w:eastAsia="Arial" w:cs="Arial"/>
            <w:color w:val="000000"/>
            <w:szCs w:val="22"/>
          </w:rPr>
          <w:t>Costos de reproducción de la información pública</w:t>
        </w:r>
      </w:hyperlink>
    </w:p>
    <w:p w14:paraId="2EB16698" w14:textId="77777777" w:rsidR="006C5FC0" w:rsidRDefault="006C5FC0" w:rsidP="005149BA">
      <w:pPr>
        <w:jc w:val="both"/>
      </w:pPr>
    </w:p>
    <w:p w14:paraId="66B9B041" w14:textId="77777777" w:rsidR="006C5FC0" w:rsidRDefault="006C5FC0" w:rsidP="005149BA">
      <w:pPr>
        <w:jc w:val="both"/>
      </w:pPr>
      <w:r>
        <w:rPr>
          <w:noProof/>
          <w:lang w:val="es-MX" w:eastAsia="es-MX"/>
        </w:rPr>
        <w:drawing>
          <wp:inline distT="0" distB="0" distL="0" distR="0" wp14:anchorId="0EFE8C58" wp14:editId="565AD4CC">
            <wp:extent cx="5612130" cy="1176999"/>
            <wp:effectExtent l="9525" t="9525" r="9525" b="9525"/>
            <wp:docPr id="32" name="image9.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10;&#10;Descripción generada automáticamente"/>
                    <pic:cNvPicPr preferRelativeResize="0"/>
                  </pic:nvPicPr>
                  <pic:blipFill>
                    <a:blip r:embed="rId23"/>
                    <a:srcRect t="4734" b="54491"/>
                    <a:stretch>
                      <a:fillRect/>
                    </a:stretch>
                  </pic:blipFill>
                  <pic:spPr>
                    <a:xfrm>
                      <a:off x="0" y="0"/>
                      <a:ext cx="5612130" cy="1176999"/>
                    </a:xfrm>
                    <a:prstGeom prst="rect">
                      <a:avLst/>
                    </a:prstGeom>
                    <a:ln w="9525">
                      <a:solidFill>
                        <a:srgbClr val="000000"/>
                      </a:solidFill>
                      <a:prstDash val="solid"/>
                    </a:ln>
                  </pic:spPr>
                </pic:pic>
              </a:graphicData>
            </a:graphic>
          </wp:inline>
        </w:drawing>
      </w:r>
    </w:p>
    <w:p w14:paraId="7CABA20C" w14:textId="77777777" w:rsidR="006C5FC0" w:rsidRDefault="006C5FC0" w:rsidP="005149BA">
      <w:pPr>
        <w:jc w:val="both"/>
      </w:pPr>
    </w:p>
    <w:p w14:paraId="5F74B0E6" w14:textId="58736F80" w:rsidR="006C5FC0" w:rsidRDefault="006C5FC0" w:rsidP="005149BA">
      <w:pPr>
        <w:jc w:val="both"/>
      </w:pPr>
      <w:r>
        <w:t>Con respecto al cumplimiento de lo dispuesto en el anexo 4 de la Resolución 1519 de 2020, acápite 4.2 Estándares de publicación d</w:t>
      </w:r>
      <w:r w:rsidR="00CA67E6">
        <w:t>e datos abiertos, se observa lo</w:t>
      </w:r>
      <w:r>
        <w:t xml:space="preserve"> siguiente para cada numeral:</w:t>
      </w:r>
    </w:p>
    <w:p w14:paraId="1AB36237" w14:textId="77777777" w:rsidR="006C5FC0" w:rsidRDefault="006C5FC0" w:rsidP="005149BA">
      <w:pPr>
        <w:jc w:val="both"/>
      </w:pPr>
    </w:p>
    <w:p w14:paraId="6ECB98B7" w14:textId="77777777" w:rsidR="006C5FC0" w:rsidRDefault="006C5FC0" w:rsidP="005149BA">
      <w:pPr>
        <w:numPr>
          <w:ilvl w:val="0"/>
          <w:numId w:val="14"/>
        </w:numPr>
        <w:pBdr>
          <w:top w:val="nil"/>
          <w:left w:val="nil"/>
          <w:bottom w:val="nil"/>
          <w:right w:val="nil"/>
          <w:between w:val="nil"/>
        </w:pBdr>
        <w:jc w:val="both"/>
        <w:rPr>
          <w:i/>
          <w:color w:val="000000"/>
        </w:rPr>
      </w:pPr>
      <w:r>
        <w:rPr>
          <w:rFonts w:eastAsia="Arial" w:cs="Arial"/>
          <w:i/>
          <w:color w:val="000000"/>
          <w:szCs w:val="22"/>
        </w:rPr>
        <w:t>Los sujetos obligados que cuenten con portales propios de datos abiertos, deberán federarlos al Portal de Datos Abiertos www.datos.gov.co o el que haga sus veces, de forma que éste último sea punto de acceso a los datos abiertos.</w:t>
      </w:r>
    </w:p>
    <w:p w14:paraId="13AEA24A" w14:textId="77777777" w:rsidR="006C5FC0" w:rsidRDefault="006C5FC0" w:rsidP="005149BA">
      <w:pPr>
        <w:jc w:val="both"/>
      </w:pPr>
    </w:p>
    <w:p w14:paraId="2D94A376" w14:textId="344E0119" w:rsidR="006C5FC0" w:rsidRDefault="006C5FC0" w:rsidP="005149BA">
      <w:pPr>
        <w:jc w:val="both"/>
      </w:pPr>
      <w:r>
        <w:t xml:space="preserve">La entidad cuenta </w:t>
      </w:r>
      <w:r w:rsidR="00CA67E6">
        <w:t>link</w:t>
      </w:r>
      <w:r>
        <w:t xml:space="preserve"> de datos abiertos el cual se encuentra vinculado con el Portal de Datos Abiertos </w:t>
      </w:r>
      <w:hyperlink r:id="rId24">
        <w:r>
          <w:rPr>
            <w:color w:val="000080"/>
            <w:u w:val="single"/>
          </w:rPr>
          <w:t>www.datos.gov.co</w:t>
        </w:r>
      </w:hyperlink>
      <w:r>
        <w:t>.</w:t>
      </w:r>
    </w:p>
    <w:p w14:paraId="3A4FB0A5" w14:textId="77777777" w:rsidR="006C5FC0" w:rsidRDefault="006C5FC0" w:rsidP="005149BA">
      <w:pPr>
        <w:jc w:val="both"/>
        <w:rPr>
          <w:u w:val="single"/>
        </w:rPr>
      </w:pPr>
    </w:p>
    <w:p w14:paraId="1E388E6C" w14:textId="77777777" w:rsidR="006C5FC0" w:rsidRDefault="006C5FC0" w:rsidP="005149BA">
      <w:pPr>
        <w:jc w:val="both"/>
      </w:pPr>
      <w:r>
        <w:rPr>
          <w:noProof/>
          <w:lang w:val="es-MX" w:eastAsia="es-MX"/>
        </w:rPr>
        <w:lastRenderedPageBreak/>
        <w:drawing>
          <wp:inline distT="0" distB="0" distL="0" distR="0" wp14:anchorId="75A2853A" wp14:editId="76DDEA38">
            <wp:extent cx="5676181" cy="1699732"/>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11751" r="-1140" b="34402"/>
                    <a:stretch>
                      <a:fillRect/>
                    </a:stretch>
                  </pic:blipFill>
                  <pic:spPr>
                    <a:xfrm>
                      <a:off x="0" y="0"/>
                      <a:ext cx="5676181" cy="1699732"/>
                    </a:xfrm>
                    <a:prstGeom prst="rect">
                      <a:avLst/>
                    </a:prstGeom>
                    <a:ln/>
                  </pic:spPr>
                </pic:pic>
              </a:graphicData>
            </a:graphic>
          </wp:inline>
        </w:drawing>
      </w:r>
      <w:r>
        <w:t xml:space="preserve"> </w:t>
      </w:r>
    </w:p>
    <w:p w14:paraId="7ABC8EF6" w14:textId="77777777" w:rsidR="006C5FC0" w:rsidRDefault="006C5FC0" w:rsidP="005149BA">
      <w:pPr>
        <w:jc w:val="both"/>
      </w:pPr>
    </w:p>
    <w:p w14:paraId="2EC56961" w14:textId="77777777" w:rsidR="006C5FC0" w:rsidRDefault="006C5FC0" w:rsidP="005149BA">
      <w:pPr>
        <w:jc w:val="both"/>
      </w:pPr>
    </w:p>
    <w:p w14:paraId="66688B5F" w14:textId="77777777" w:rsidR="006C5FC0" w:rsidRDefault="006C5FC0" w:rsidP="005149BA">
      <w:pPr>
        <w:numPr>
          <w:ilvl w:val="0"/>
          <w:numId w:val="14"/>
        </w:numPr>
        <w:pBdr>
          <w:top w:val="nil"/>
          <w:left w:val="nil"/>
          <w:bottom w:val="nil"/>
          <w:right w:val="nil"/>
          <w:between w:val="nil"/>
        </w:pBdr>
        <w:jc w:val="both"/>
        <w:rPr>
          <w:i/>
          <w:color w:val="000000"/>
        </w:rPr>
      </w:pPr>
      <w:r>
        <w:rPr>
          <w:rFonts w:eastAsia="Arial" w:cs="Arial"/>
          <w:i/>
          <w:color w:val="000000"/>
          <w:szCs w:val="22"/>
        </w:rPr>
        <w:t>El registro de activos de información y el análisis de criticidad de la información, debe cargarse a través de la herramienta disponible en el Portal de Datos Abiertos, datos.gov.co, o el que haga sus veces.</w:t>
      </w:r>
    </w:p>
    <w:p w14:paraId="53B7B33F" w14:textId="77777777" w:rsidR="006C5FC0" w:rsidRDefault="006C5FC0" w:rsidP="005149BA">
      <w:pPr>
        <w:jc w:val="both"/>
        <w:rPr>
          <w:i/>
        </w:rPr>
      </w:pPr>
    </w:p>
    <w:p w14:paraId="49645BC4" w14:textId="582A16D7" w:rsidR="006C5FC0" w:rsidRDefault="006C5FC0" w:rsidP="005149BA">
      <w:pPr>
        <w:jc w:val="both"/>
      </w:pPr>
      <w:r>
        <w:t>Una vez consultado el Portal de Datos Abiertos, no se identifica la información con respecto al registro de activos de información y el análisis de criticidad de la información del Instituto Distrital de Patrimonio Cultural IDPC</w:t>
      </w:r>
      <w:r w:rsidR="00CA67E6">
        <w:t xml:space="preserve">, ya que en el portal </w:t>
      </w:r>
      <w:hyperlink r:id="rId26">
        <w:r w:rsidR="00CA67E6">
          <w:rPr>
            <w:color w:val="000080"/>
            <w:u w:val="single"/>
          </w:rPr>
          <w:t>www.datos.gov.co</w:t>
        </w:r>
      </w:hyperlink>
      <w:r w:rsidR="00CA67E6">
        <w:t xml:space="preserve"> direcciona a un sitio en la página Web del IDPC que no cuenta con accesibilidad.</w:t>
      </w:r>
    </w:p>
    <w:p w14:paraId="2A214CEA" w14:textId="77777777" w:rsidR="006C5FC0" w:rsidRDefault="006C5FC0" w:rsidP="005149BA">
      <w:pPr>
        <w:jc w:val="both"/>
      </w:pPr>
    </w:p>
    <w:p w14:paraId="5A907743" w14:textId="77777777" w:rsidR="006C5FC0" w:rsidRDefault="006C5FC0" w:rsidP="005149BA">
      <w:pPr>
        <w:numPr>
          <w:ilvl w:val="0"/>
          <w:numId w:val="14"/>
        </w:numPr>
        <w:pBdr>
          <w:top w:val="nil"/>
          <w:left w:val="nil"/>
          <w:bottom w:val="nil"/>
          <w:right w:val="nil"/>
          <w:between w:val="nil"/>
        </w:pBdr>
        <w:jc w:val="both"/>
        <w:rPr>
          <w:i/>
          <w:color w:val="000000"/>
        </w:rPr>
      </w:pPr>
      <w:r>
        <w:rPr>
          <w:rFonts w:eastAsia="Arial" w:cs="Arial"/>
          <w:i/>
          <w:color w:val="000000"/>
          <w:szCs w:val="22"/>
        </w:rPr>
        <w:t>Aprobar y publicar la licencia de datos abiertos, mediante la cual se determina el alcance, uso y aprovechamiento que los particulares o terceros interesados puedan efectuar sobre los mismos. En todo caso, se sugiere que la licencia reconozca la producción o generación de los datos por parte de la entidad pública, señalando que ésta no será responsable por la utilización, tratamiento, transformación de los datos, ni tampoco, sobre cualquier tipo de responsabilidad legal o económica sobre el uso directo o indirecto que se realice.</w:t>
      </w:r>
    </w:p>
    <w:p w14:paraId="733C1F67" w14:textId="77777777" w:rsidR="006C5FC0" w:rsidRDefault="006C5FC0" w:rsidP="005149BA">
      <w:pPr>
        <w:jc w:val="both"/>
      </w:pPr>
    </w:p>
    <w:p w14:paraId="648D98FE" w14:textId="77777777" w:rsidR="006C5FC0" w:rsidRDefault="006C5FC0" w:rsidP="005149BA">
      <w:pPr>
        <w:jc w:val="both"/>
      </w:pPr>
      <w:r>
        <w:t xml:space="preserve">No se observó publicación la licencia de datos abiertos, mediante el cual se determina el alcance, uso y aprovechamiento que los particulares o terceros interesados puedan efectuar sobre los datos abiertos publicados por el instituto.  </w:t>
      </w:r>
    </w:p>
    <w:p w14:paraId="27333BBD" w14:textId="77777777" w:rsidR="006C5FC0" w:rsidRDefault="006C5FC0" w:rsidP="005149BA">
      <w:pPr>
        <w:jc w:val="both"/>
      </w:pPr>
    </w:p>
    <w:p w14:paraId="738797FA" w14:textId="77777777" w:rsidR="006C5FC0" w:rsidRDefault="006C5FC0" w:rsidP="005149BA">
      <w:pPr>
        <w:numPr>
          <w:ilvl w:val="0"/>
          <w:numId w:val="14"/>
        </w:numPr>
        <w:pBdr>
          <w:top w:val="nil"/>
          <w:left w:val="nil"/>
          <w:bottom w:val="nil"/>
          <w:right w:val="nil"/>
          <w:between w:val="nil"/>
        </w:pBdr>
        <w:jc w:val="both"/>
        <w:rPr>
          <w:i/>
          <w:color w:val="000000"/>
        </w:rPr>
      </w:pPr>
      <w:r>
        <w:rPr>
          <w:rFonts w:eastAsia="Arial" w:cs="Arial"/>
          <w:i/>
          <w:color w:val="000000"/>
          <w:szCs w:val="22"/>
        </w:rPr>
        <w:t>Los sujetos obligados deben observar la Guía Nacional de Datos Abiertos en Colombia, la Guía de Estándares de Calidad e Interoperabilidad, el Marco de Arquitectura Empresarial, el Marco de Interoperabilidad y los Lineamientos técnicos para la producción y gestión de información geográfica, como insumos necesarios para la planeación, publicación y promoción del uso y aprovechamiento de los datos abiertos.</w:t>
      </w:r>
    </w:p>
    <w:p w14:paraId="33DE3540" w14:textId="77777777" w:rsidR="006C5FC0" w:rsidRDefault="006C5FC0" w:rsidP="005149BA">
      <w:pPr>
        <w:jc w:val="both"/>
        <w:rPr>
          <w:i/>
        </w:rPr>
      </w:pPr>
    </w:p>
    <w:p w14:paraId="6EADB396" w14:textId="77777777" w:rsidR="006C5FC0" w:rsidRDefault="006C5FC0" w:rsidP="005149BA">
      <w:pPr>
        <w:jc w:val="both"/>
      </w:pPr>
      <w:r>
        <w:t xml:space="preserve">Una vez verificada la plataforma Mapas de Bogotá, en el link http://mapas.bogota.gov.co/ y el Sistema de Gestión de Metadatos del Distrito (http://metadatos.ideca.gov.co/geoportal/), no se evidenció la información relacionada con “Inventario Patrimonio Mueble” Monumentos. </w:t>
      </w:r>
    </w:p>
    <w:p w14:paraId="18CF6B72" w14:textId="77777777" w:rsidR="006C5FC0" w:rsidRDefault="006C5FC0" w:rsidP="005149BA">
      <w:pPr>
        <w:jc w:val="both"/>
      </w:pPr>
    </w:p>
    <w:p w14:paraId="6859A1E5" w14:textId="77777777" w:rsidR="006C5FC0" w:rsidRDefault="006C5FC0" w:rsidP="005149BA">
      <w:pPr>
        <w:numPr>
          <w:ilvl w:val="0"/>
          <w:numId w:val="14"/>
        </w:numPr>
        <w:pBdr>
          <w:top w:val="nil"/>
          <w:left w:val="nil"/>
          <w:bottom w:val="nil"/>
          <w:right w:val="nil"/>
          <w:between w:val="nil"/>
        </w:pBdr>
        <w:jc w:val="both"/>
        <w:rPr>
          <w:i/>
          <w:color w:val="000000"/>
        </w:rPr>
      </w:pPr>
      <w:r>
        <w:rPr>
          <w:rFonts w:eastAsia="Arial" w:cs="Arial"/>
          <w:i/>
          <w:color w:val="000000"/>
          <w:szCs w:val="22"/>
        </w:rPr>
        <w:t>Los sujetos obligados deben establecer un plan de apertura y uso de datos abiertos para una adecuada gobernanza de los datos de acuerdo con lo establecido en la Guía Nacional de Datos Abiertos en Colombia</w:t>
      </w:r>
    </w:p>
    <w:p w14:paraId="51A4B1D8" w14:textId="77777777" w:rsidR="006C5FC0" w:rsidRDefault="006C5FC0" w:rsidP="005149BA">
      <w:pPr>
        <w:jc w:val="both"/>
      </w:pPr>
    </w:p>
    <w:p w14:paraId="36479BA3" w14:textId="77777777" w:rsidR="006C5FC0" w:rsidRDefault="006C5FC0" w:rsidP="005149BA">
      <w:pPr>
        <w:jc w:val="both"/>
      </w:pPr>
      <w:r>
        <w:lastRenderedPageBreak/>
        <w:t>No se observó la publicación del plan de apertura y uso de datos abiertos para una adecuada gobernanza de los datos de acuerdo con lo establecido en la Guía Nacional de Datos Abiertos en Colombia.</w:t>
      </w:r>
    </w:p>
    <w:p w14:paraId="742A92D4" w14:textId="77777777" w:rsidR="006C5FC0" w:rsidRDefault="006C5FC0" w:rsidP="005149BA">
      <w:pPr>
        <w:jc w:val="both"/>
      </w:pPr>
    </w:p>
    <w:p w14:paraId="66055798" w14:textId="77777777" w:rsidR="005149BA" w:rsidRDefault="005149BA" w:rsidP="005149BA">
      <w:pPr>
        <w:jc w:val="both"/>
        <w:rPr>
          <w:b/>
        </w:rPr>
      </w:pPr>
    </w:p>
    <w:p w14:paraId="75FE5B86" w14:textId="77777777" w:rsidR="005149BA" w:rsidRPr="005149BA" w:rsidRDefault="005149BA" w:rsidP="005149BA">
      <w:pPr>
        <w:numPr>
          <w:ilvl w:val="0"/>
          <w:numId w:val="8"/>
        </w:numPr>
        <w:pBdr>
          <w:top w:val="nil"/>
          <w:left w:val="nil"/>
          <w:bottom w:val="nil"/>
          <w:right w:val="nil"/>
          <w:between w:val="nil"/>
        </w:pBdr>
        <w:jc w:val="center"/>
        <w:rPr>
          <w:rFonts w:eastAsia="Arial" w:cs="Arial"/>
          <w:b/>
          <w:color w:val="000000"/>
          <w:szCs w:val="22"/>
        </w:rPr>
      </w:pPr>
      <w:r>
        <w:rPr>
          <w:rFonts w:eastAsia="Arial" w:cs="Arial"/>
          <w:b/>
          <w:color w:val="000000"/>
          <w:szCs w:val="22"/>
        </w:rPr>
        <w:t>FORTALEZAS EVIDENCIADAS</w:t>
      </w:r>
    </w:p>
    <w:p w14:paraId="3A0A26CE" w14:textId="77777777" w:rsidR="005149BA" w:rsidRDefault="005149BA" w:rsidP="005149BA">
      <w:pPr>
        <w:rPr>
          <w:b/>
        </w:rPr>
      </w:pPr>
    </w:p>
    <w:p w14:paraId="327F81E1" w14:textId="77777777" w:rsidR="005149BA" w:rsidRDefault="005149BA" w:rsidP="005149BA">
      <w:pPr>
        <w:numPr>
          <w:ilvl w:val="0"/>
          <w:numId w:val="19"/>
        </w:numPr>
        <w:spacing w:line="259" w:lineRule="auto"/>
        <w:jc w:val="both"/>
        <w:rPr>
          <w:b/>
        </w:rPr>
      </w:pPr>
      <w:r>
        <w:t xml:space="preserve">La estructura general del menú de transparencia y acceso a la información se encuentra ajustada de acuerdo con los lineamientos establecidos y contiene los requisitos mínimos de cumplimiento, para la mayoría de los criterios evaluados. </w:t>
      </w:r>
    </w:p>
    <w:p w14:paraId="60A674CB" w14:textId="77777777" w:rsidR="005149BA" w:rsidRDefault="005149BA" w:rsidP="005149BA">
      <w:pPr>
        <w:numPr>
          <w:ilvl w:val="0"/>
          <w:numId w:val="19"/>
        </w:numPr>
        <w:spacing w:line="259" w:lineRule="auto"/>
        <w:jc w:val="both"/>
        <w:rPr>
          <w:b/>
        </w:rPr>
      </w:pPr>
      <w:r>
        <w:t>La información publicada en el menú de transparencia y acceso a la información es funcional, práctica y puntual lo cual permite que los ciudadanos identifiquen los principales aspectos de la entidad.</w:t>
      </w:r>
    </w:p>
    <w:p w14:paraId="6CDB8AB3" w14:textId="77777777" w:rsidR="005149BA" w:rsidRDefault="005149BA" w:rsidP="005149BA">
      <w:pPr>
        <w:numPr>
          <w:ilvl w:val="0"/>
          <w:numId w:val="19"/>
        </w:numPr>
        <w:spacing w:line="259" w:lineRule="auto"/>
        <w:jc w:val="both"/>
        <w:rPr>
          <w:b/>
        </w:rPr>
      </w:pPr>
      <w:r>
        <w:t xml:space="preserve">La entidad implementó el aplicativo SISBIC que permite, de manera ágil, la consulta de información institucional por parte de los usuarios. </w:t>
      </w:r>
    </w:p>
    <w:p w14:paraId="3D64F801" w14:textId="77777777" w:rsidR="005149BA" w:rsidRDefault="005149BA" w:rsidP="005149BA">
      <w:pPr>
        <w:numPr>
          <w:ilvl w:val="0"/>
          <w:numId w:val="19"/>
        </w:numPr>
        <w:spacing w:line="259" w:lineRule="auto"/>
        <w:jc w:val="both"/>
        <w:rPr>
          <w:b/>
        </w:rPr>
      </w:pPr>
      <w:r>
        <w:t xml:space="preserve">La entidad cuenta con talento humano que muestra buena disposición para la oportuna entrega de la información. </w:t>
      </w:r>
    </w:p>
    <w:p w14:paraId="658B0552" w14:textId="77777777" w:rsidR="005149BA" w:rsidRDefault="005149BA" w:rsidP="005149BA">
      <w:pPr>
        <w:jc w:val="both"/>
        <w:rPr>
          <w:b/>
        </w:rPr>
      </w:pPr>
      <w:r>
        <w:t xml:space="preserve"> </w:t>
      </w:r>
    </w:p>
    <w:p w14:paraId="2157F528" w14:textId="77777777" w:rsidR="005149BA" w:rsidRDefault="005149BA" w:rsidP="005149BA">
      <w:pPr>
        <w:rPr>
          <w:b/>
        </w:rPr>
      </w:pPr>
    </w:p>
    <w:p w14:paraId="4664B541" w14:textId="77777777" w:rsidR="005149BA" w:rsidRPr="005149BA" w:rsidRDefault="005149BA" w:rsidP="005149BA">
      <w:pPr>
        <w:numPr>
          <w:ilvl w:val="0"/>
          <w:numId w:val="8"/>
        </w:numPr>
        <w:pBdr>
          <w:top w:val="nil"/>
          <w:left w:val="nil"/>
          <w:bottom w:val="nil"/>
          <w:right w:val="nil"/>
          <w:between w:val="nil"/>
        </w:pBdr>
        <w:jc w:val="center"/>
        <w:rPr>
          <w:rFonts w:eastAsia="Arial" w:cs="Arial"/>
          <w:b/>
          <w:color w:val="000000"/>
          <w:szCs w:val="22"/>
        </w:rPr>
      </w:pPr>
      <w:r>
        <w:rPr>
          <w:rFonts w:eastAsia="Arial" w:cs="Arial"/>
          <w:b/>
          <w:color w:val="000000"/>
          <w:szCs w:val="22"/>
        </w:rPr>
        <w:t>OBSERVACIONES</w:t>
      </w:r>
    </w:p>
    <w:p w14:paraId="208A6185" w14:textId="77777777" w:rsidR="005149BA" w:rsidRDefault="005149BA" w:rsidP="005149BA">
      <w:pPr>
        <w:rPr>
          <w:b/>
        </w:rPr>
      </w:pPr>
    </w:p>
    <w:p w14:paraId="77CBFC29" w14:textId="77777777" w:rsidR="005149BA" w:rsidRDefault="005149BA" w:rsidP="005149BA">
      <w:pPr>
        <w:spacing w:line="276" w:lineRule="auto"/>
        <w:jc w:val="both"/>
      </w:pPr>
      <w:r>
        <w:t>Se cumple parcialmente con lo establecido en los ítems que se señalan a continuación respecto a los lineamientos de estandarización de contenidos definidos en el anexo no. 2 de la Resolución 1519 de 2020:</w:t>
      </w:r>
    </w:p>
    <w:p w14:paraId="6795B0B8" w14:textId="77777777" w:rsidR="005149BA" w:rsidRDefault="005149BA" w:rsidP="005149BA">
      <w:pPr>
        <w:numPr>
          <w:ilvl w:val="0"/>
          <w:numId w:val="20"/>
        </w:numPr>
        <w:spacing w:line="276" w:lineRule="auto"/>
        <w:jc w:val="both"/>
      </w:pPr>
      <w:r>
        <w:t>Numeral 1.2 Estructura orgánica – Organigrama: Se observa que la información requerida se encuentra publicada en tres diferentes enlaces, por lo cual, se recomienda asociar los datos de la estructura organizacional con el fin de que las partes interesadas puedan consultar la totalidad de la información, sin lugar a confusiones. Por otro lado, se reitera la observación realizada en el informe anterior, toda vez que, el segundo acto administrativo Acuerdo 02 de 2019, al abrir este documento genera error.</w:t>
      </w:r>
    </w:p>
    <w:p w14:paraId="74A97E8C" w14:textId="77777777" w:rsidR="005149BA" w:rsidRDefault="005149BA" w:rsidP="005149BA">
      <w:pPr>
        <w:numPr>
          <w:ilvl w:val="0"/>
          <w:numId w:val="20"/>
        </w:numPr>
        <w:spacing w:line="276" w:lineRule="auto"/>
        <w:jc w:val="both"/>
      </w:pPr>
      <w:r>
        <w:t>Numeral 1.6 Directorio de entidades: Se identifica que los enlaces del Instituto Distrital de Recreación y Deportes y el de la Fundación Gilberto Álzate Avendaño generan un error.</w:t>
      </w:r>
    </w:p>
    <w:p w14:paraId="2568BCCB" w14:textId="77777777" w:rsidR="005149BA" w:rsidRDefault="005149BA" w:rsidP="005149BA">
      <w:pPr>
        <w:numPr>
          <w:ilvl w:val="0"/>
          <w:numId w:val="20"/>
        </w:numPr>
        <w:spacing w:line="276" w:lineRule="auto"/>
        <w:jc w:val="both"/>
      </w:pPr>
      <w:r>
        <w:t>Numeral 1.12 Información sobre decisiones que pueden afectar al público: Se verifica el funcionamiento del enlace y la información correspondiente identificando que la información referente a la estrategia de transparencia, atención a la ciudadanía y participación se encuentra desactualizada.</w:t>
      </w:r>
    </w:p>
    <w:p w14:paraId="3E1F7C02" w14:textId="77777777" w:rsidR="005149BA" w:rsidRDefault="005149BA" w:rsidP="005149BA">
      <w:pPr>
        <w:numPr>
          <w:ilvl w:val="0"/>
          <w:numId w:val="20"/>
        </w:numPr>
        <w:spacing w:line="276" w:lineRule="auto"/>
        <w:jc w:val="both"/>
      </w:pPr>
      <w:r>
        <w:t>Numeral 2.1.1 Leyes: Se observa que el documento correspondiente a la Ley Estatutaria 1757 de 22015 no permite la búsqueda de información en su interior de acuerdo con lo dispuesto en el Anexo 2 de la Resolución 1519 de 2020, numeral 2.4.1 criterios generales de población de información, en su literal g, inciso i. Adicionalmente, al ingresar al enlace del Decreto Nacional 1077 de 2015, que se encuentra duplicado, se genera un error.</w:t>
      </w:r>
    </w:p>
    <w:p w14:paraId="58E51E69" w14:textId="77777777" w:rsidR="005149BA" w:rsidRDefault="005149BA" w:rsidP="005149BA">
      <w:pPr>
        <w:numPr>
          <w:ilvl w:val="0"/>
          <w:numId w:val="20"/>
        </w:numPr>
        <w:spacing w:line="276" w:lineRule="auto"/>
        <w:jc w:val="both"/>
      </w:pPr>
      <w:r>
        <w:lastRenderedPageBreak/>
        <w:t>Numeral 2.1.5 Políticas, lineamientos y manuales: Se identifica que la política antisoborno no contiene la información referente a la aprobación del documento, el archivo Excel de los Planes de Trabajo de Talento Humano se encuentra desactualizado, el enlace del Manual de Cartera Tributaria presenta un error, la información correspondiente a los planes de servicio al ciudadano se encuentra desactualizada y el enlace para la consulta del Modelo de Atención a la Ciudadanía y Manual Operativo también genera un error.</w:t>
      </w:r>
    </w:p>
    <w:p w14:paraId="68CC7922" w14:textId="77777777" w:rsidR="005149BA" w:rsidRDefault="005149BA" w:rsidP="005149BA">
      <w:pPr>
        <w:numPr>
          <w:ilvl w:val="0"/>
          <w:numId w:val="20"/>
        </w:numPr>
        <w:spacing w:line="276" w:lineRule="auto"/>
        <w:jc w:val="both"/>
      </w:pPr>
      <w:r>
        <w:t>Numeral 2.2.1 Sistema Único de Información Normativa SUIN: En el módulo de normatividad, se encuentra la opción de búsqueda de normas cuyo redirige a la página de consulta del Régimen Legal de Bogotá. No obstante, se señala que el enlace para consulta del Sistema Único de Información Normativa SIUN no se encuentra asociado.</w:t>
      </w:r>
    </w:p>
    <w:p w14:paraId="07500923" w14:textId="77777777" w:rsidR="005149BA" w:rsidRDefault="005149BA" w:rsidP="005149BA">
      <w:pPr>
        <w:numPr>
          <w:ilvl w:val="0"/>
          <w:numId w:val="20"/>
        </w:numPr>
        <w:spacing w:line="276" w:lineRule="auto"/>
        <w:jc w:val="both"/>
      </w:pPr>
      <w:r>
        <w:t>Numeral 3.4 Manual de contratación, adquisición y/o compras: El enlace del manual de supervisión e interventoría genera un error y los documentos correspondientes a la resolución de aprobación del manual de contratación, manual de contratación, resolución de honorarios de contratistas 2020 y resolución de honorarios de contratistas 2019 no permiten la búsqueda de información en su interior de acuerdo con lo dispuesto en el Anexo 2 de la Resolución 1519 de 2020, numeral 2.4.1 criterios generales de población de información, en su literal g, inciso i.</w:t>
      </w:r>
    </w:p>
    <w:p w14:paraId="247B39E4" w14:textId="77777777" w:rsidR="005149BA" w:rsidRDefault="005149BA" w:rsidP="005149BA">
      <w:pPr>
        <w:numPr>
          <w:ilvl w:val="0"/>
          <w:numId w:val="20"/>
        </w:numPr>
        <w:spacing w:line="276" w:lineRule="auto"/>
        <w:jc w:val="both"/>
      </w:pPr>
      <w:r>
        <w:t>Numeral 4.1 Presupuesto general de ingresos, gastos e inversión: No se observa el anexo de las rentas o ingreso, tasas y frecuencias de cobro en formato abierto para consulta de los interesados. Además, los documentos que corresponden a acuerdos no permiten la búsqueda de información en su interior de acuerdo con lo dispuesto en el Anexo 2 de la Resolución 1519 de 2020, numeral 2.4.1 criterios generales de población de información, en su literal g, inciso i y los enlaces de los años 2017 y 2018 presentan errores.</w:t>
      </w:r>
    </w:p>
    <w:p w14:paraId="26689FD2" w14:textId="77777777" w:rsidR="005149BA" w:rsidRDefault="005149BA" w:rsidP="005149BA">
      <w:pPr>
        <w:numPr>
          <w:ilvl w:val="0"/>
          <w:numId w:val="20"/>
        </w:numPr>
        <w:spacing w:line="276" w:lineRule="auto"/>
        <w:jc w:val="both"/>
      </w:pPr>
      <w:r>
        <w:t>Numeral 4.7 Informes de gestión, evaluación y auditoría: No se evidencian los informes mensuales de rendición de cuentas ante la Contraloría para los periodos de febrero a diciembre de 2020 y de mayo a diciembre de 2021. Por otra parte, se observa que el informe de Auditoría de Gestión del Talento Humano no cuenta con fecha de publicación en la página web de acuerdo con lo dispuesto en el Anexo 2 de la Resolución 1519 de 2020, numeral 2.4.1 criterios generales de población de información, en su literal e.</w:t>
      </w:r>
    </w:p>
    <w:p w14:paraId="16C7F36A" w14:textId="77777777" w:rsidR="005149BA" w:rsidRDefault="005149BA" w:rsidP="005149BA">
      <w:pPr>
        <w:numPr>
          <w:ilvl w:val="0"/>
          <w:numId w:val="20"/>
        </w:numPr>
        <w:spacing w:line="276" w:lineRule="auto"/>
        <w:jc w:val="both"/>
      </w:pPr>
      <w:r>
        <w:t>Numeral 4.9 Informe sobre Defensa Pública y Prevención del Daño Antijurídico: Se identifica que los informes del tercer trimestre de 2020 y anteriores generan un error. Asimismo, los documentos no cuentan con fecha de publicación en la página web de acuerdo con lo dispuesto en el Anexo 2 de la Resolución 1519 de 2020, numeral 2.4.1 criterios generales de población de información, en su literal e.</w:t>
      </w:r>
    </w:p>
    <w:p w14:paraId="0FD1DEDC" w14:textId="77777777" w:rsidR="005149BA" w:rsidRDefault="005149BA" w:rsidP="005149BA">
      <w:pPr>
        <w:numPr>
          <w:ilvl w:val="0"/>
          <w:numId w:val="20"/>
        </w:numPr>
        <w:spacing w:line="276" w:lineRule="auto"/>
        <w:jc w:val="both"/>
      </w:pPr>
      <w:r>
        <w:t>Numeral 6 Participa: Se observa que el enlace que corresponde a la consulta ciudadana genera un error.</w:t>
      </w:r>
    </w:p>
    <w:p w14:paraId="015F5DFD" w14:textId="4499A29D" w:rsidR="005149BA" w:rsidRDefault="005149BA" w:rsidP="005149BA">
      <w:pPr>
        <w:numPr>
          <w:ilvl w:val="0"/>
          <w:numId w:val="20"/>
        </w:numPr>
        <w:spacing w:line="276" w:lineRule="auto"/>
        <w:jc w:val="both"/>
      </w:pPr>
      <w:r>
        <w:t>Numeral 9 Obligación de reporte de información específica por parte de la entidad: Se evidencia que los informes de seguimiento PMR – Indicadores de objetivo y de producto se encuentran publicados hasta octubre de 2021.</w:t>
      </w:r>
    </w:p>
    <w:p w14:paraId="42A57200" w14:textId="77777777" w:rsidR="005149BA" w:rsidRDefault="005149BA" w:rsidP="005149BA">
      <w:pPr>
        <w:spacing w:line="276" w:lineRule="auto"/>
        <w:jc w:val="both"/>
      </w:pPr>
      <w:r>
        <w:lastRenderedPageBreak/>
        <w:t>Se cumple parcialmente con lo establecido en los ítems que se señalan a continuación respecto a las condiciones de seguridad digital y programación de código fuente en el anexo no. 3 de la Resolución 1519 de 2020:</w:t>
      </w:r>
    </w:p>
    <w:p w14:paraId="60134197" w14:textId="77777777" w:rsidR="005149BA" w:rsidRDefault="005149BA" w:rsidP="005149BA">
      <w:pPr>
        <w:numPr>
          <w:ilvl w:val="0"/>
          <w:numId w:val="20"/>
        </w:numPr>
        <w:pBdr>
          <w:top w:val="nil"/>
          <w:left w:val="nil"/>
          <w:bottom w:val="nil"/>
          <w:right w:val="nil"/>
          <w:between w:val="nil"/>
        </w:pBdr>
        <w:spacing w:line="276" w:lineRule="auto"/>
        <w:jc w:val="both"/>
      </w:pPr>
      <w:r>
        <w:t>Numeral 3.2.2.7 Exigir mecanismos de autenticación dentro de los sitios web a través de la creación de contraseñas fuertes y solicitar renovaciones periódicas de las mismas garantizando la accesibilidad de persona con discapacidad: No se evidencia que el proceso garantice la accesibilidad de personas con discapacidad.</w:t>
      </w:r>
    </w:p>
    <w:p w14:paraId="5DC8301F" w14:textId="77777777" w:rsidR="005149BA" w:rsidRDefault="005149BA" w:rsidP="005149BA">
      <w:pPr>
        <w:numPr>
          <w:ilvl w:val="0"/>
          <w:numId w:val="20"/>
        </w:numPr>
        <w:pBdr>
          <w:top w:val="nil"/>
          <w:left w:val="nil"/>
          <w:bottom w:val="nil"/>
          <w:right w:val="nil"/>
          <w:between w:val="nil"/>
        </w:pBdr>
        <w:spacing w:line="276" w:lineRule="auto"/>
        <w:jc w:val="both"/>
      </w:pPr>
      <w:r>
        <w:t>Numeral 3.2.2.10 Ocultar y restringir páginas de acceso administrativo: La página web del SISBIC no cuenta con un módulo administrativo, por tanto, se pretende hacer un uso inicial por medio de la base de datos en tanto se desarrolla.</w:t>
      </w:r>
    </w:p>
    <w:p w14:paraId="63EAEF2C" w14:textId="77777777" w:rsidR="005149BA" w:rsidRDefault="005149BA" w:rsidP="005149BA">
      <w:pPr>
        <w:numPr>
          <w:ilvl w:val="0"/>
          <w:numId w:val="20"/>
        </w:numPr>
        <w:pBdr>
          <w:top w:val="nil"/>
          <w:left w:val="nil"/>
          <w:bottom w:val="nil"/>
          <w:right w:val="nil"/>
          <w:between w:val="nil"/>
        </w:pBdr>
        <w:spacing w:line="276" w:lineRule="auto"/>
        <w:jc w:val="both"/>
      </w:pPr>
      <w:r>
        <w:t>Numeral 3.2.2.15 Implementar mensajes genéricos de error, que no revelen información acerca de la tecnología usada, excepciones o parámetros que dispararon el error específico, los cuales deberán ser comprensibles por parte de las personas, incluyendo la accesibilidad para las personas con discapacidad: Se remite el plan de trabajo establecido para la completa y adecuada implementación del Anexo 1 y 2 de la resolución 1519 de 2020.</w:t>
      </w:r>
    </w:p>
    <w:p w14:paraId="46E669FD" w14:textId="77777777" w:rsidR="005149BA" w:rsidRDefault="005149BA" w:rsidP="005149BA">
      <w:pPr>
        <w:numPr>
          <w:ilvl w:val="0"/>
          <w:numId w:val="20"/>
        </w:numPr>
        <w:pBdr>
          <w:top w:val="nil"/>
          <w:left w:val="nil"/>
          <w:bottom w:val="nil"/>
          <w:right w:val="nil"/>
          <w:between w:val="nil"/>
        </w:pBdr>
        <w:spacing w:line="276" w:lineRule="auto"/>
        <w:jc w:val="both"/>
      </w:pPr>
      <w:r>
        <w:t>Numeral 3.3.2 Cumplir con la estandarización de código fuente para portales web, siguiendo las buenas prácticas del W3C (World Web Wide Consortium), de forma que permita la correcta visualización de la información a los usuarios: Se remite el plan de trabajo establecido para la completa y adecuada implementación del Anexo 1 y 2 de la resolución 1519 de 2020.</w:t>
      </w:r>
    </w:p>
    <w:p w14:paraId="107CE42F" w14:textId="77777777" w:rsidR="005149BA" w:rsidRDefault="005149BA" w:rsidP="005149BA">
      <w:pPr>
        <w:numPr>
          <w:ilvl w:val="0"/>
          <w:numId w:val="20"/>
        </w:numPr>
        <w:pBdr>
          <w:top w:val="nil"/>
          <w:left w:val="nil"/>
          <w:bottom w:val="nil"/>
          <w:right w:val="nil"/>
          <w:between w:val="nil"/>
        </w:pBdr>
        <w:spacing w:line="276" w:lineRule="auto"/>
        <w:jc w:val="both"/>
      </w:pPr>
      <w:r>
        <w:t>Numeral 3.3.3 Adoptar validadores HTML y CCS para la continua revisión del sitio web y su mejora continua, a través de las buenas prácticas del W3C (World Web Wide Consortium): Se remite el plan de trabajo establecido para la completa y adecuada implementación del Anexo 1 y 2 de la resolución 1519 de 2020</w:t>
      </w:r>
      <w:r>
        <w:rPr>
          <w:sz w:val="21"/>
          <w:szCs w:val="21"/>
        </w:rPr>
        <w:t>.</w:t>
      </w:r>
    </w:p>
    <w:p w14:paraId="224A8750" w14:textId="77777777" w:rsidR="005149BA" w:rsidRDefault="005149BA" w:rsidP="005149BA">
      <w:pPr>
        <w:pBdr>
          <w:top w:val="nil"/>
          <w:left w:val="nil"/>
          <w:bottom w:val="nil"/>
          <w:right w:val="nil"/>
          <w:between w:val="nil"/>
        </w:pBdr>
        <w:ind w:left="720"/>
        <w:rPr>
          <w:b/>
          <w:color w:val="000000"/>
        </w:rPr>
      </w:pPr>
    </w:p>
    <w:p w14:paraId="76BE3AD8" w14:textId="77777777" w:rsidR="005149BA" w:rsidRDefault="005149BA" w:rsidP="005149BA">
      <w:pPr>
        <w:pBdr>
          <w:top w:val="nil"/>
          <w:left w:val="nil"/>
          <w:bottom w:val="nil"/>
          <w:right w:val="nil"/>
          <w:between w:val="nil"/>
        </w:pBdr>
        <w:ind w:left="720"/>
        <w:rPr>
          <w:b/>
          <w:color w:val="000000"/>
        </w:rPr>
      </w:pPr>
    </w:p>
    <w:p w14:paraId="2035D04C" w14:textId="77777777" w:rsidR="005149BA" w:rsidRPr="005149BA" w:rsidRDefault="005149BA" w:rsidP="005149BA">
      <w:pPr>
        <w:numPr>
          <w:ilvl w:val="0"/>
          <w:numId w:val="8"/>
        </w:numPr>
        <w:pBdr>
          <w:top w:val="nil"/>
          <w:left w:val="nil"/>
          <w:bottom w:val="nil"/>
          <w:right w:val="nil"/>
          <w:between w:val="nil"/>
        </w:pBdr>
        <w:jc w:val="center"/>
        <w:rPr>
          <w:rFonts w:eastAsia="Arial" w:cs="Arial"/>
          <w:b/>
          <w:color w:val="000000"/>
          <w:szCs w:val="22"/>
        </w:rPr>
      </w:pPr>
      <w:r>
        <w:rPr>
          <w:rFonts w:eastAsia="Arial" w:cs="Arial"/>
          <w:b/>
          <w:color w:val="000000"/>
          <w:szCs w:val="22"/>
        </w:rPr>
        <w:t>NO CONFORMIDADES DETECTADAS</w:t>
      </w:r>
    </w:p>
    <w:p w14:paraId="4B84AAFB" w14:textId="77777777" w:rsidR="005149BA" w:rsidRDefault="005149BA" w:rsidP="005149BA">
      <w:pPr>
        <w:pBdr>
          <w:top w:val="nil"/>
          <w:left w:val="nil"/>
          <w:bottom w:val="nil"/>
          <w:right w:val="nil"/>
          <w:between w:val="nil"/>
        </w:pBdr>
        <w:ind w:left="720"/>
        <w:rPr>
          <w:b/>
          <w:color w:val="000000"/>
        </w:rPr>
      </w:pPr>
    </w:p>
    <w:p w14:paraId="3BA041F1" w14:textId="0CDA602D" w:rsidR="005149BA" w:rsidRDefault="005149BA" w:rsidP="005149BA">
      <w:pPr>
        <w:numPr>
          <w:ilvl w:val="0"/>
          <w:numId w:val="20"/>
        </w:numPr>
        <w:pBdr>
          <w:top w:val="nil"/>
          <w:left w:val="nil"/>
          <w:bottom w:val="nil"/>
          <w:right w:val="nil"/>
          <w:between w:val="nil"/>
        </w:pBdr>
        <w:spacing w:line="276" w:lineRule="auto"/>
        <w:jc w:val="both"/>
      </w:pPr>
      <w:r>
        <w:t>Incumplimiento en cuanto a estandarización de contenidos, numeral 1.5, debido a que el directorio de servidores públicos, empleados o contratistas no se encuentra directamente asociado al enlace de la publicación de la información que contiene el directorio en el Sistema de Información de Empleo Público – SIGEP</w:t>
      </w:r>
      <w:r w:rsidR="00772B1A">
        <w:t xml:space="preserve"> o para el caso del Distrito, el SIDEAP</w:t>
      </w:r>
      <w:r>
        <w:t>.</w:t>
      </w:r>
    </w:p>
    <w:p w14:paraId="0E0E7D77" w14:textId="77777777" w:rsidR="005149BA" w:rsidRDefault="005149BA" w:rsidP="005149BA">
      <w:pPr>
        <w:numPr>
          <w:ilvl w:val="0"/>
          <w:numId w:val="20"/>
        </w:numPr>
        <w:pBdr>
          <w:top w:val="nil"/>
          <w:left w:val="nil"/>
          <w:bottom w:val="nil"/>
          <w:right w:val="nil"/>
          <w:between w:val="nil"/>
        </w:pBdr>
        <w:spacing w:line="276" w:lineRule="auto"/>
        <w:jc w:val="both"/>
      </w:pPr>
      <w:r>
        <w:t>Incumplimiento en cuanto a estandarización de contenidos, numeral 1.8, dado que en el micrositio de transparencia y acceso a la información pública no se encuentra la opción directa de servicio al público, normas, formulario y protocolo de atención.</w:t>
      </w:r>
    </w:p>
    <w:p w14:paraId="5CEFF992" w14:textId="77777777" w:rsidR="005149BA" w:rsidRDefault="005149BA" w:rsidP="005149BA">
      <w:pPr>
        <w:numPr>
          <w:ilvl w:val="0"/>
          <w:numId w:val="20"/>
        </w:numPr>
        <w:pBdr>
          <w:top w:val="nil"/>
          <w:left w:val="nil"/>
          <w:bottom w:val="nil"/>
          <w:right w:val="nil"/>
          <w:between w:val="nil"/>
        </w:pBdr>
        <w:spacing w:line="276" w:lineRule="auto"/>
        <w:jc w:val="both"/>
      </w:pPr>
      <w:r>
        <w:t>Incumplimiento en cuanto a estandarización de contenidos, numeral 3.5, teniendo en cuenta que en el módulo de contratación se encuentra la opción de formatos de contratos o pliego tipo, pero no es posible acceder a la información.</w:t>
      </w:r>
    </w:p>
    <w:p w14:paraId="7D4650D8" w14:textId="77777777" w:rsidR="005149BA" w:rsidRDefault="005149BA" w:rsidP="005149BA">
      <w:pPr>
        <w:jc w:val="both"/>
      </w:pPr>
    </w:p>
    <w:p w14:paraId="0D986383" w14:textId="77777777" w:rsidR="005149BA" w:rsidRDefault="005149BA" w:rsidP="005149BA">
      <w:pPr>
        <w:rPr>
          <w:b/>
        </w:rPr>
      </w:pPr>
    </w:p>
    <w:p w14:paraId="2A2E4194" w14:textId="77777777" w:rsidR="005149BA" w:rsidRPr="005149BA" w:rsidRDefault="005149BA" w:rsidP="005149BA">
      <w:pPr>
        <w:numPr>
          <w:ilvl w:val="0"/>
          <w:numId w:val="8"/>
        </w:numPr>
        <w:pBdr>
          <w:top w:val="nil"/>
          <w:left w:val="nil"/>
          <w:bottom w:val="nil"/>
          <w:right w:val="nil"/>
          <w:between w:val="nil"/>
        </w:pBdr>
        <w:jc w:val="center"/>
        <w:rPr>
          <w:rFonts w:eastAsia="Arial" w:cs="Arial"/>
          <w:b/>
          <w:color w:val="000000"/>
          <w:szCs w:val="22"/>
        </w:rPr>
      </w:pPr>
      <w:r>
        <w:rPr>
          <w:rFonts w:eastAsia="Arial" w:cs="Arial"/>
          <w:b/>
          <w:color w:val="000000"/>
          <w:szCs w:val="22"/>
        </w:rPr>
        <w:t>CONCLUSIÓN GENERAL</w:t>
      </w:r>
    </w:p>
    <w:p w14:paraId="4B968BF4" w14:textId="77777777" w:rsidR="005149BA" w:rsidRDefault="005149BA" w:rsidP="005149BA">
      <w:pPr>
        <w:rPr>
          <w:b/>
        </w:rPr>
      </w:pPr>
    </w:p>
    <w:p w14:paraId="6983EA87" w14:textId="77777777" w:rsidR="005149BA" w:rsidRDefault="005149BA" w:rsidP="005149BA">
      <w:pPr>
        <w:jc w:val="both"/>
      </w:pPr>
      <w:r>
        <w:lastRenderedPageBreak/>
        <w:t>Se evidenciaron avances con respecto a la estructura de la página web institucional cumpliendo parcialmente con los criterios normativos aplicables en cuanto a diseño, contenido, accesibilidad y consulta de la información pública. Sin embargo, se identificaron enlaces que no permiten visualizar los contenidos requeridos, lo cual es contrario a los lineamientos establecidos en el anexo 2 de la Resolución 1519 de 2020.</w:t>
      </w:r>
    </w:p>
    <w:p w14:paraId="04C9238C" w14:textId="77777777" w:rsidR="005149BA" w:rsidRDefault="005149BA" w:rsidP="005149BA">
      <w:pPr>
        <w:jc w:val="both"/>
      </w:pPr>
    </w:p>
    <w:p w14:paraId="336577EB" w14:textId="77777777" w:rsidR="005149BA" w:rsidRDefault="005149BA" w:rsidP="005149BA">
      <w:pPr>
        <w:pBdr>
          <w:top w:val="nil"/>
          <w:left w:val="nil"/>
          <w:bottom w:val="nil"/>
          <w:right w:val="nil"/>
          <w:between w:val="nil"/>
        </w:pBdr>
        <w:jc w:val="both"/>
        <w:rPr>
          <w:color w:val="000000"/>
        </w:rPr>
      </w:pPr>
      <w:r>
        <w:rPr>
          <w:rFonts w:eastAsia="Arial" w:cs="Arial"/>
          <w:color w:val="000000"/>
          <w:szCs w:val="22"/>
        </w:rPr>
        <w:t>En cuanto al aplicativo SISBIC, se observó que se han establecido controles para su funcionamiento, cumpliendo parcialmente con las condiciones mínimas técnicas y de seguridad digital de acuerdo con el anexo 3 de la Resolución 1519 de 2020.</w:t>
      </w:r>
    </w:p>
    <w:p w14:paraId="56B645D7" w14:textId="77777777" w:rsidR="005149BA" w:rsidRDefault="005149BA" w:rsidP="005149BA">
      <w:pPr>
        <w:pBdr>
          <w:top w:val="nil"/>
          <w:left w:val="nil"/>
          <w:bottom w:val="nil"/>
          <w:right w:val="nil"/>
          <w:between w:val="nil"/>
        </w:pBdr>
        <w:jc w:val="both"/>
        <w:rPr>
          <w:color w:val="000000"/>
        </w:rPr>
      </w:pPr>
    </w:p>
    <w:p w14:paraId="61CC96B1" w14:textId="77777777" w:rsidR="005149BA" w:rsidRDefault="005149BA" w:rsidP="005149BA">
      <w:pPr>
        <w:pBdr>
          <w:top w:val="nil"/>
          <w:left w:val="nil"/>
          <w:bottom w:val="nil"/>
          <w:right w:val="nil"/>
          <w:between w:val="nil"/>
        </w:pBdr>
        <w:jc w:val="both"/>
        <w:rPr>
          <w:color w:val="000000"/>
        </w:rPr>
      </w:pPr>
    </w:p>
    <w:p w14:paraId="29A23049" w14:textId="77777777" w:rsidR="005149BA" w:rsidRPr="005149BA" w:rsidRDefault="005149BA" w:rsidP="005149BA">
      <w:pPr>
        <w:numPr>
          <w:ilvl w:val="0"/>
          <w:numId w:val="8"/>
        </w:numPr>
        <w:pBdr>
          <w:top w:val="nil"/>
          <w:left w:val="nil"/>
          <w:bottom w:val="nil"/>
          <w:right w:val="nil"/>
          <w:between w:val="nil"/>
        </w:pBdr>
        <w:jc w:val="center"/>
        <w:rPr>
          <w:rFonts w:eastAsia="Arial" w:cs="Arial"/>
          <w:b/>
          <w:color w:val="000000"/>
          <w:szCs w:val="22"/>
        </w:rPr>
      </w:pPr>
      <w:r>
        <w:rPr>
          <w:rFonts w:eastAsia="Arial" w:cs="Arial"/>
          <w:b/>
          <w:color w:val="000000"/>
          <w:szCs w:val="22"/>
        </w:rPr>
        <w:t>RECOMENDACIONES</w:t>
      </w:r>
    </w:p>
    <w:p w14:paraId="4E231891" w14:textId="77777777" w:rsidR="005149BA" w:rsidRDefault="005149BA" w:rsidP="005149BA">
      <w:pPr>
        <w:jc w:val="both"/>
        <w:rPr>
          <w:b/>
        </w:rPr>
      </w:pPr>
    </w:p>
    <w:p w14:paraId="3372476C" w14:textId="77777777" w:rsidR="005149BA" w:rsidRDefault="005149BA" w:rsidP="005149BA">
      <w:pPr>
        <w:numPr>
          <w:ilvl w:val="0"/>
          <w:numId w:val="20"/>
        </w:numPr>
        <w:spacing w:line="276" w:lineRule="auto"/>
        <w:jc w:val="both"/>
      </w:pPr>
      <w:r>
        <w:t>Actualizar el directorio de servidores públicos y contratistas.</w:t>
      </w:r>
    </w:p>
    <w:p w14:paraId="422ABE6B" w14:textId="77777777" w:rsidR="005149BA" w:rsidRDefault="005149BA" w:rsidP="005149BA">
      <w:pPr>
        <w:numPr>
          <w:ilvl w:val="0"/>
          <w:numId w:val="20"/>
        </w:numPr>
        <w:spacing w:line="276" w:lineRule="auto"/>
        <w:jc w:val="both"/>
      </w:pPr>
      <w:r>
        <w:t>Revisar y ajustar la numeración de algunas subcategorías, toda vez que, estás no coinciden, con la estructura de contenidos del menú de transparencia y acceso a la información incluida en el Anexo 2 de la Resolución 1519 de 2020.</w:t>
      </w:r>
    </w:p>
    <w:p w14:paraId="7CD7F3F2" w14:textId="77777777" w:rsidR="005149BA" w:rsidRDefault="005149BA" w:rsidP="005149BA">
      <w:pPr>
        <w:numPr>
          <w:ilvl w:val="0"/>
          <w:numId w:val="20"/>
        </w:numPr>
        <w:spacing w:line="276" w:lineRule="auto"/>
        <w:jc w:val="both"/>
      </w:pPr>
      <w:r>
        <w:t>Continuar con la actualización del menú destacado “Participa”, con el fin de dar cumplimiento a lo establecido en la normatividad vigente.</w:t>
      </w:r>
    </w:p>
    <w:p w14:paraId="03B68C65" w14:textId="77777777" w:rsidR="005149BA" w:rsidRDefault="005149BA" w:rsidP="005149BA">
      <w:pPr>
        <w:numPr>
          <w:ilvl w:val="0"/>
          <w:numId w:val="20"/>
        </w:numPr>
        <w:spacing w:line="276" w:lineRule="auto"/>
        <w:jc w:val="both"/>
      </w:pPr>
      <w:r>
        <w:t>Garantizar la actualización y la disponibilidad permanente de la información a publicar del Instituto, mediante una evaluación periódica, y con exigencias en las diferentes áreas responsables, por el cumplimiento normativo aplicable; caso contrario, la Entidad se expone a sanciones de tipo administrativo.</w:t>
      </w:r>
    </w:p>
    <w:p w14:paraId="0D34AD60" w14:textId="77777777" w:rsidR="005149BA" w:rsidRDefault="005149BA" w:rsidP="005149BA">
      <w:pPr>
        <w:numPr>
          <w:ilvl w:val="0"/>
          <w:numId w:val="20"/>
        </w:numPr>
        <w:spacing w:line="276" w:lineRule="auto"/>
        <w:jc w:val="both"/>
      </w:pPr>
      <w:r>
        <w:t xml:space="preserve">Generar y publicar la licencia de datos abiertos, mediante la cual se determina el alcance, uso y aprovechamiento que los particulares o terceros interesados puedan efectuar sobre los datos abiertos publicados por el Instituto. </w:t>
      </w:r>
    </w:p>
    <w:p w14:paraId="38EBF592" w14:textId="77777777" w:rsidR="005149BA" w:rsidRDefault="005149BA" w:rsidP="005149BA">
      <w:pPr>
        <w:jc w:val="both"/>
      </w:pPr>
    </w:p>
    <w:p w14:paraId="5BD31159" w14:textId="59DB32FE" w:rsidR="00B036B5" w:rsidRDefault="00B036B5" w:rsidP="005149BA">
      <w:pPr>
        <w:jc w:val="both"/>
      </w:pPr>
    </w:p>
    <w:sectPr w:rsidR="00B036B5" w:rsidSect="002F1F7E">
      <w:headerReference w:type="default" r:id="rId27"/>
      <w:footerReference w:type="default" r:id="rId28"/>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04046" w14:textId="77777777" w:rsidR="00B86D2D" w:rsidRDefault="00B86D2D" w:rsidP="00106E49">
      <w:r>
        <w:separator/>
      </w:r>
    </w:p>
  </w:endnote>
  <w:endnote w:type="continuationSeparator" w:id="0">
    <w:p w14:paraId="4FF92C33" w14:textId="77777777" w:rsidR="00B86D2D" w:rsidRDefault="00B86D2D"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B48E8" w14:paraId="4649E5C5" w14:textId="77777777" w:rsidTr="00455B38">
      <w:tc>
        <w:tcPr>
          <w:tcW w:w="2942" w:type="dxa"/>
        </w:tcPr>
        <w:p w14:paraId="5B4A80BF" w14:textId="260E9B2A" w:rsidR="000B48E8" w:rsidRPr="00455B38" w:rsidRDefault="000B48E8"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0B48E8" w:rsidRDefault="000B48E8">
          <w:pPr>
            <w:pStyle w:val="Piedepgina"/>
          </w:pPr>
        </w:p>
      </w:tc>
      <w:tc>
        <w:tcPr>
          <w:tcW w:w="2943" w:type="dxa"/>
        </w:tcPr>
        <w:p w14:paraId="52C40D95" w14:textId="77777777" w:rsidR="000B48E8" w:rsidRDefault="000B48E8">
          <w:pPr>
            <w:pStyle w:val="Piedepgina"/>
          </w:pPr>
        </w:p>
      </w:tc>
    </w:tr>
  </w:tbl>
  <w:p w14:paraId="5B4AE9E1" w14:textId="77777777" w:rsidR="000B48E8" w:rsidRPr="00455B38" w:rsidRDefault="000B48E8"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485E9" w14:textId="77777777" w:rsidR="00B86D2D" w:rsidRDefault="00B86D2D" w:rsidP="00106E49">
      <w:r>
        <w:separator/>
      </w:r>
    </w:p>
  </w:footnote>
  <w:footnote w:type="continuationSeparator" w:id="0">
    <w:p w14:paraId="3A730BDC" w14:textId="77777777" w:rsidR="00B86D2D" w:rsidRDefault="00B86D2D"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0B48E8" w14:paraId="17F55E8E" w14:textId="77777777" w:rsidTr="00F1402C">
      <w:trPr>
        <w:trHeight w:val="268"/>
      </w:trPr>
      <w:tc>
        <w:tcPr>
          <w:tcW w:w="800" w:type="pct"/>
          <w:vMerge w:val="restart"/>
          <w:vAlign w:val="center"/>
        </w:tcPr>
        <w:p w14:paraId="7FFF3766" w14:textId="301B7BC8" w:rsidR="000B48E8" w:rsidRDefault="000B48E8" w:rsidP="00455B38">
          <w:pPr>
            <w:pStyle w:val="Encabezado"/>
            <w:jc w:val="center"/>
          </w:pPr>
          <w:r>
            <w:rPr>
              <w:noProof/>
              <w:lang w:val="es-MX" w:eastAsia="es-MX"/>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0B48E8" w:rsidRPr="002F1F7E" w:rsidRDefault="000B48E8"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0B48E8" w:rsidRPr="00C2554A" w:rsidRDefault="000B48E8"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*20221200041303*</w:t>
          </w:r>
        </w:p>
        <w:p w14:paraId="6A124EDA" w14:textId="375563B4" w:rsidR="000B48E8" w:rsidRDefault="000B48E8"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20221200041303</w:t>
          </w:r>
        </w:p>
        <w:p w14:paraId="5B67E539" w14:textId="77777777" w:rsidR="000B48E8" w:rsidRDefault="000B48E8"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18-02-2022</w:t>
          </w:r>
        </w:p>
        <w:p w14:paraId="19561F24" w14:textId="111174F6" w:rsidR="000B48E8" w:rsidRDefault="000B48E8"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673121">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673121">
            <w:rPr>
              <w:rFonts w:cs="Arial"/>
              <w:noProof/>
              <w:sz w:val="18"/>
              <w:szCs w:val="18"/>
            </w:rPr>
            <w:t>15</w:t>
          </w:r>
          <w:r w:rsidRPr="006C56C7">
            <w:rPr>
              <w:rFonts w:cs="Arial"/>
              <w:sz w:val="18"/>
              <w:szCs w:val="18"/>
            </w:rPr>
            <w:fldChar w:fldCharType="end"/>
          </w:r>
        </w:p>
      </w:tc>
    </w:tr>
    <w:tr w:rsidR="000B48E8" w14:paraId="08F8725E" w14:textId="77777777" w:rsidTr="00F1402C">
      <w:trPr>
        <w:trHeight w:val="343"/>
      </w:trPr>
      <w:tc>
        <w:tcPr>
          <w:tcW w:w="800" w:type="pct"/>
          <w:vMerge/>
          <w:vAlign w:val="center"/>
        </w:tcPr>
        <w:p w14:paraId="657EB559" w14:textId="77777777" w:rsidR="000B48E8" w:rsidRDefault="000B48E8" w:rsidP="00455B38">
          <w:pPr>
            <w:pStyle w:val="Encabezado"/>
            <w:jc w:val="center"/>
          </w:pPr>
        </w:p>
      </w:tc>
      <w:tc>
        <w:tcPr>
          <w:tcW w:w="2489" w:type="pct"/>
          <w:vAlign w:val="center"/>
        </w:tcPr>
        <w:p w14:paraId="48FFF810" w14:textId="1FEBDBD4" w:rsidR="000B48E8" w:rsidRPr="002F1F7E" w:rsidRDefault="000B48E8"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0B48E8" w:rsidRDefault="000B48E8" w:rsidP="00455B38">
          <w:pPr>
            <w:pStyle w:val="Encabezado"/>
            <w:jc w:val="center"/>
          </w:pPr>
        </w:p>
      </w:tc>
    </w:tr>
    <w:tr w:rsidR="000B48E8" w14:paraId="3DC35361" w14:textId="77777777" w:rsidTr="00F1402C">
      <w:tc>
        <w:tcPr>
          <w:tcW w:w="800" w:type="pct"/>
          <w:vMerge/>
          <w:vAlign w:val="center"/>
        </w:tcPr>
        <w:p w14:paraId="581663E7" w14:textId="77777777" w:rsidR="000B48E8" w:rsidRDefault="000B48E8" w:rsidP="00455B38">
          <w:pPr>
            <w:pStyle w:val="Encabezado"/>
            <w:jc w:val="center"/>
          </w:pPr>
        </w:p>
      </w:tc>
      <w:tc>
        <w:tcPr>
          <w:tcW w:w="2489" w:type="pct"/>
          <w:vAlign w:val="center"/>
        </w:tcPr>
        <w:p w14:paraId="6E036EAE" w14:textId="216961A6" w:rsidR="000B48E8" w:rsidRPr="002F1F7E" w:rsidRDefault="000B48E8"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0B48E8" w:rsidRDefault="000B48E8" w:rsidP="00455B38">
          <w:pPr>
            <w:pStyle w:val="Encabezado"/>
            <w:jc w:val="center"/>
          </w:pPr>
        </w:p>
      </w:tc>
    </w:tr>
  </w:tbl>
  <w:p w14:paraId="1D78BD1D" w14:textId="77777777" w:rsidR="000B48E8" w:rsidRDefault="000B48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295F"/>
    <w:multiLevelType w:val="multilevel"/>
    <w:tmpl w:val="9AC85FC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DA7563"/>
    <w:multiLevelType w:val="multilevel"/>
    <w:tmpl w:val="2BD876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BB6136"/>
    <w:multiLevelType w:val="multilevel"/>
    <w:tmpl w:val="5728FB3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702DD"/>
    <w:multiLevelType w:val="multilevel"/>
    <w:tmpl w:val="F1749B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E7D2450"/>
    <w:multiLevelType w:val="multilevel"/>
    <w:tmpl w:val="AB8EEE12"/>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F1E40D7"/>
    <w:multiLevelType w:val="multilevel"/>
    <w:tmpl w:val="982E85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5A48FE"/>
    <w:multiLevelType w:val="multilevel"/>
    <w:tmpl w:val="DF0EA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8D7D65"/>
    <w:multiLevelType w:val="multilevel"/>
    <w:tmpl w:val="B7582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D2192A"/>
    <w:multiLevelType w:val="hybridMultilevel"/>
    <w:tmpl w:val="86D8A85E"/>
    <w:lvl w:ilvl="0" w:tplc="99D06FCC">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06366C0"/>
    <w:multiLevelType w:val="multilevel"/>
    <w:tmpl w:val="33080E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644B5F"/>
    <w:multiLevelType w:val="multilevel"/>
    <w:tmpl w:val="82DCA9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AC5DC4"/>
    <w:multiLevelType w:val="multilevel"/>
    <w:tmpl w:val="E7CAE9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495236"/>
    <w:multiLevelType w:val="multilevel"/>
    <w:tmpl w:val="48E61196"/>
    <w:lvl w:ilvl="0">
      <w:start w:val="1"/>
      <w:numFmt w:val="decimal"/>
      <w:lvlText w:val="%1."/>
      <w:lvlJc w:val="left"/>
      <w:pPr>
        <w:ind w:left="720" w:hanging="36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66DA78BD"/>
    <w:multiLevelType w:val="multilevel"/>
    <w:tmpl w:val="61BE4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921011"/>
    <w:multiLevelType w:val="multilevel"/>
    <w:tmpl w:val="1CB6CF10"/>
    <w:lvl w:ilvl="0">
      <w:start w:val="2"/>
      <w:numFmt w:val="bullet"/>
      <w:lvlText w:val="-"/>
      <w:lvlJc w:val="left"/>
      <w:pPr>
        <w:ind w:left="720" w:hanging="360"/>
      </w:pPr>
      <w:rPr>
        <w:rFonts w:ascii="Arial" w:eastAsia="Arial" w:hAnsi="Arial" w:cs="Arial"/>
      </w:rPr>
    </w:lvl>
    <w:lvl w:ilvl="1">
      <w:start w:va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B376CF"/>
    <w:multiLevelType w:val="multilevel"/>
    <w:tmpl w:val="7D106E9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EE0004"/>
    <w:multiLevelType w:val="multilevel"/>
    <w:tmpl w:val="965A65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16172C0"/>
    <w:multiLevelType w:val="multilevel"/>
    <w:tmpl w:val="01429A8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201842"/>
    <w:multiLevelType w:val="multilevel"/>
    <w:tmpl w:val="C6CE4646"/>
    <w:lvl w:ilvl="0">
      <w:start w:val="2"/>
      <w:numFmt w:val="bullet"/>
      <w:lvlText w:val="-"/>
      <w:lvlJc w:val="left"/>
      <w:pPr>
        <w:ind w:left="720" w:hanging="360"/>
      </w:pPr>
      <w:rPr>
        <w:rFonts w:ascii="Arial" w:eastAsia="Arial" w:hAnsi="Arial" w:cs="Arial"/>
      </w:rPr>
    </w:lvl>
    <w:lvl w:ilvl="1">
      <w:start w:va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8E4CF5"/>
    <w:multiLevelType w:val="multilevel"/>
    <w:tmpl w:val="2CD68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2"/>
  </w:num>
  <w:num w:numId="3">
    <w:abstractNumId w:val="17"/>
  </w:num>
  <w:num w:numId="4">
    <w:abstractNumId w:val="15"/>
  </w:num>
  <w:num w:numId="5">
    <w:abstractNumId w:val="9"/>
  </w:num>
  <w:num w:numId="6">
    <w:abstractNumId w:val="11"/>
  </w:num>
  <w:num w:numId="7">
    <w:abstractNumId w:val="3"/>
  </w:num>
  <w:num w:numId="8">
    <w:abstractNumId w:val="12"/>
  </w:num>
  <w:num w:numId="9">
    <w:abstractNumId w:val="19"/>
  </w:num>
  <w:num w:numId="10">
    <w:abstractNumId w:val="10"/>
  </w:num>
  <w:num w:numId="11">
    <w:abstractNumId w:val="16"/>
  </w:num>
  <w:num w:numId="12">
    <w:abstractNumId w:val="0"/>
  </w:num>
  <w:num w:numId="13">
    <w:abstractNumId w:val="13"/>
  </w:num>
  <w:num w:numId="14">
    <w:abstractNumId w:val="6"/>
  </w:num>
  <w:num w:numId="15">
    <w:abstractNumId w:val="18"/>
  </w:num>
  <w:num w:numId="16">
    <w:abstractNumId w:val="5"/>
  </w:num>
  <w:num w:numId="17">
    <w:abstractNumId w:val="7"/>
  </w:num>
  <w:num w:numId="18">
    <w:abstractNumId w:val="4"/>
  </w:num>
  <w:num w:numId="19">
    <w:abstractNumId w:val="1"/>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C30"/>
    <w:rsid w:val="00001E0A"/>
    <w:rsid w:val="000038EB"/>
    <w:rsid w:val="00003B87"/>
    <w:rsid w:val="00005EB6"/>
    <w:rsid w:val="00006EBC"/>
    <w:rsid w:val="000126E5"/>
    <w:rsid w:val="00012E7B"/>
    <w:rsid w:val="00014E3D"/>
    <w:rsid w:val="00016817"/>
    <w:rsid w:val="00021ACC"/>
    <w:rsid w:val="00027A0D"/>
    <w:rsid w:val="00033035"/>
    <w:rsid w:val="00037FBA"/>
    <w:rsid w:val="00042E6A"/>
    <w:rsid w:val="0004363A"/>
    <w:rsid w:val="00046124"/>
    <w:rsid w:val="0005125E"/>
    <w:rsid w:val="00056C6B"/>
    <w:rsid w:val="0006330B"/>
    <w:rsid w:val="00066907"/>
    <w:rsid w:val="000738D3"/>
    <w:rsid w:val="00076B5B"/>
    <w:rsid w:val="000804B7"/>
    <w:rsid w:val="000855C4"/>
    <w:rsid w:val="000859ED"/>
    <w:rsid w:val="0008647C"/>
    <w:rsid w:val="000871CF"/>
    <w:rsid w:val="00091436"/>
    <w:rsid w:val="0009216A"/>
    <w:rsid w:val="00094C3C"/>
    <w:rsid w:val="00095CBD"/>
    <w:rsid w:val="00097C7B"/>
    <w:rsid w:val="000A0D13"/>
    <w:rsid w:val="000A2352"/>
    <w:rsid w:val="000A28FA"/>
    <w:rsid w:val="000A4F21"/>
    <w:rsid w:val="000B1352"/>
    <w:rsid w:val="000B48E8"/>
    <w:rsid w:val="000B5814"/>
    <w:rsid w:val="000B72C9"/>
    <w:rsid w:val="000C03D0"/>
    <w:rsid w:val="000C0B95"/>
    <w:rsid w:val="000C676C"/>
    <w:rsid w:val="000C7028"/>
    <w:rsid w:val="000E5C38"/>
    <w:rsid w:val="000E7B0A"/>
    <w:rsid w:val="000F076F"/>
    <w:rsid w:val="000F118E"/>
    <w:rsid w:val="000F3262"/>
    <w:rsid w:val="000F7C5C"/>
    <w:rsid w:val="001001F4"/>
    <w:rsid w:val="00104BB4"/>
    <w:rsid w:val="00104FC3"/>
    <w:rsid w:val="0010634E"/>
    <w:rsid w:val="00106E49"/>
    <w:rsid w:val="0011190D"/>
    <w:rsid w:val="001135A7"/>
    <w:rsid w:val="001138D8"/>
    <w:rsid w:val="00114933"/>
    <w:rsid w:val="00122D13"/>
    <w:rsid w:val="00123C99"/>
    <w:rsid w:val="00125892"/>
    <w:rsid w:val="001274A1"/>
    <w:rsid w:val="00127B55"/>
    <w:rsid w:val="00127E58"/>
    <w:rsid w:val="00140502"/>
    <w:rsid w:val="00146916"/>
    <w:rsid w:val="00164BB1"/>
    <w:rsid w:val="00164E2E"/>
    <w:rsid w:val="00167EAE"/>
    <w:rsid w:val="00172F30"/>
    <w:rsid w:val="00176234"/>
    <w:rsid w:val="001762F3"/>
    <w:rsid w:val="00176479"/>
    <w:rsid w:val="001862AC"/>
    <w:rsid w:val="001870F7"/>
    <w:rsid w:val="001879B9"/>
    <w:rsid w:val="0019000C"/>
    <w:rsid w:val="00194CB4"/>
    <w:rsid w:val="0019693F"/>
    <w:rsid w:val="001A0174"/>
    <w:rsid w:val="001A0DEA"/>
    <w:rsid w:val="001A2C33"/>
    <w:rsid w:val="001A33AD"/>
    <w:rsid w:val="001A3A3A"/>
    <w:rsid w:val="001A4EF4"/>
    <w:rsid w:val="001A7812"/>
    <w:rsid w:val="001A7DAA"/>
    <w:rsid w:val="001B47F2"/>
    <w:rsid w:val="001C0073"/>
    <w:rsid w:val="001C3DF1"/>
    <w:rsid w:val="001D206B"/>
    <w:rsid w:val="001D2412"/>
    <w:rsid w:val="001D2BA7"/>
    <w:rsid w:val="001D42AB"/>
    <w:rsid w:val="001D7959"/>
    <w:rsid w:val="001E22AC"/>
    <w:rsid w:val="001E256E"/>
    <w:rsid w:val="001E5AB4"/>
    <w:rsid w:val="001E7B28"/>
    <w:rsid w:val="001F0705"/>
    <w:rsid w:val="001F0D74"/>
    <w:rsid w:val="001F2718"/>
    <w:rsid w:val="001F30DC"/>
    <w:rsid w:val="001F32F9"/>
    <w:rsid w:val="001F392C"/>
    <w:rsid w:val="001F5B5D"/>
    <w:rsid w:val="001F688D"/>
    <w:rsid w:val="001F7174"/>
    <w:rsid w:val="002006F7"/>
    <w:rsid w:val="00200BF5"/>
    <w:rsid w:val="0020225F"/>
    <w:rsid w:val="00204063"/>
    <w:rsid w:val="002048E8"/>
    <w:rsid w:val="002052AE"/>
    <w:rsid w:val="00205492"/>
    <w:rsid w:val="00212F93"/>
    <w:rsid w:val="00213500"/>
    <w:rsid w:val="00213879"/>
    <w:rsid w:val="00222A8C"/>
    <w:rsid w:val="00225255"/>
    <w:rsid w:val="00225F14"/>
    <w:rsid w:val="00233754"/>
    <w:rsid w:val="00236AAB"/>
    <w:rsid w:val="00241D44"/>
    <w:rsid w:val="00244287"/>
    <w:rsid w:val="00247653"/>
    <w:rsid w:val="00252625"/>
    <w:rsid w:val="0026057C"/>
    <w:rsid w:val="0026324B"/>
    <w:rsid w:val="00263B79"/>
    <w:rsid w:val="00263CB1"/>
    <w:rsid w:val="00266976"/>
    <w:rsid w:val="00267646"/>
    <w:rsid w:val="002701CA"/>
    <w:rsid w:val="00270C54"/>
    <w:rsid w:val="00275432"/>
    <w:rsid w:val="00276F4E"/>
    <w:rsid w:val="00277558"/>
    <w:rsid w:val="002804ED"/>
    <w:rsid w:val="0028438C"/>
    <w:rsid w:val="002870B0"/>
    <w:rsid w:val="00287A78"/>
    <w:rsid w:val="0029673D"/>
    <w:rsid w:val="002A25ED"/>
    <w:rsid w:val="002A420A"/>
    <w:rsid w:val="002B4CE8"/>
    <w:rsid w:val="002C47D0"/>
    <w:rsid w:val="002C5036"/>
    <w:rsid w:val="002C56BA"/>
    <w:rsid w:val="002C5C11"/>
    <w:rsid w:val="002D4DC9"/>
    <w:rsid w:val="002D6052"/>
    <w:rsid w:val="002E0810"/>
    <w:rsid w:val="002E3E82"/>
    <w:rsid w:val="002E7DA7"/>
    <w:rsid w:val="002F190E"/>
    <w:rsid w:val="002F1F7E"/>
    <w:rsid w:val="002F21AE"/>
    <w:rsid w:val="002F39B0"/>
    <w:rsid w:val="002F3C6E"/>
    <w:rsid w:val="002F72BA"/>
    <w:rsid w:val="002F7536"/>
    <w:rsid w:val="0030140F"/>
    <w:rsid w:val="00303C15"/>
    <w:rsid w:val="00304C65"/>
    <w:rsid w:val="00306040"/>
    <w:rsid w:val="00313DF7"/>
    <w:rsid w:val="00321C4A"/>
    <w:rsid w:val="00322D0B"/>
    <w:rsid w:val="003274E6"/>
    <w:rsid w:val="00345F6A"/>
    <w:rsid w:val="0034657C"/>
    <w:rsid w:val="0035024E"/>
    <w:rsid w:val="00350C93"/>
    <w:rsid w:val="003512A0"/>
    <w:rsid w:val="003534CD"/>
    <w:rsid w:val="00354315"/>
    <w:rsid w:val="003553A3"/>
    <w:rsid w:val="00355632"/>
    <w:rsid w:val="003614C7"/>
    <w:rsid w:val="003632BE"/>
    <w:rsid w:val="0036639D"/>
    <w:rsid w:val="00385B17"/>
    <w:rsid w:val="00387EAA"/>
    <w:rsid w:val="003909BB"/>
    <w:rsid w:val="003A04E0"/>
    <w:rsid w:val="003A2F79"/>
    <w:rsid w:val="003A3CC0"/>
    <w:rsid w:val="003A701C"/>
    <w:rsid w:val="003A7972"/>
    <w:rsid w:val="003C72F4"/>
    <w:rsid w:val="003D1F2B"/>
    <w:rsid w:val="003D2292"/>
    <w:rsid w:val="003E03B3"/>
    <w:rsid w:val="003F1C05"/>
    <w:rsid w:val="003F47E7"/>
    <w:rsid w:val="003F5C44"/>
    <w:rsid w:val="003F6AC7"/>
    <w:rsid w:val="00403BF2"/>
    <w:rsid w:val="00406C1A"/>
    <w:rsid w:val="0041192D"/>
    <w:rsid w:val="00412793"/>
    <w:rsid w:val="00424FAE"/>
    <w:rsid w:val="00427815"/>
    <w:rsid w:val="004305C2"/>
    <w:rsid w:val="004332B4"/>
    <w:rsid w:val="00436734"/>
    <w:rsid w:val="00437003"/>
    <w:rsid w:val="00437B2C"/>
    <w:rsid w:val="00437E1C"/>
    <w:rsid w:val="004414A3"/>
    <w:rsid w:val="0044225B"/>
    <w:rsid w:val="00446703"/>
    <w:rsid w:val="00451C17"/>
    <w:rsid w:val="004534AB"/>
    <w:rsid w:val="004543FB"/>
    <w:rsid w:val="00455B38"/>
    <w:rsid w:val="0045782D"/>
    <w:rsid w:val="00460BAA"/>
    <w:rsid w:val="004621C6"/>
    <w:rsid w:val="00462DC8"/>
    <w:rsid w:val="00467C88"/>
    <w:rsid w:val="004767B8"/>
    <w:rsid w:val="0047718B"/>
    <w:rsid w:val="004825B6"/>
    <w:rsid w:val="00492BE7"/>
    <w:rsid w:val="004A2D5F"/>
    <w:rsid w:val="004A341A"/>
    <w:rsid w:val="004A6E96"/>
    <w:rsid w:val="004B04F3"/>
    <w:rsid w:val="004B3F04"/>
    <w:rsid w:val="004B6ECC"/>
    <w:rsid w:val="004B7F4B"/>
    <w:rsid w:val="004C6E40"/>
    <w:rsid w:val="004D0B16"/>
    <w:rsid w:val="004D2BE1"/>
    <w:rsid w:val="004D2F23"/>
    <w:rsid w:val="004D4B24"/>
    <w:rsid w:val="004D5FCB"/>
    <w:rsid w:val="004D7D08"/>
    <w:rsid w:val="004E0D1F"/>
    <w:rsid w:val="004E3184"/>
    <w:rsid w:val="004E6167"/>
    <w:rsid w:val="004F204B"/>
    <w:rsid w:val="004F3DDE"/>
    <w:rsid w:val="004F4A3B"/>
    <w:rsid w:val="004F500C"/>
    <w:rsid w:val="00500AFD"/>
    <w:rsid w:val="00501EAF"/>
    <w:rsid w:val="00510C12"/>
    <w:rsid w:val="005115BF"/>
    <w:rsid w:val="00511CDF"/>
    <w:rsid w:val="005149BA"/>
    <w:rsid w:val="00515CB0"/>
    <w:rsid w:val="00521E20"/>
    <w:rsid w:val="005238BC"/>
    <w:rsid w:val="00524CEF"/>
    <w:rsid w:val="00526B25"/>
    <w:rsid w:val="005316E9"/>
    <w:rsid w:val="00532741"/>
    <w:rsid w:val="00535D5A"/>
    <w:rsid w:val="0053639C"/>
    <w:rsid w:val="00537A79"/>
    <w:rsid w:val="00540EC7"/>
    <w:rsid w:val="00541402"/>
    <w:rsid w:val="00541CA1"/>
    <w:rsid w:val="00544A0E"/>
    <w:rsid w:val="00556C6E"/>
    <w:rsid w:val="00562FC0"/>
    <w:rsid w:val="0056357D"/>
    <w:rsid w:val="00567C47"/>
    <w:rsid w:val="005724E7"/>
    <w:rsid w:val="00575F80"/>
    <w:rsid w:val="00575FED"/>
    <w:rsid w:val="005766AA"/>
    <w:rsid w:val="00577949"/>
    <w:rsid w:val="00584120"/>
    <w:rsid w:val="005860F8"/>
    <w:rsid w:val="00586520"/>
    <w:rsid w:val="005915D0"/>
    <w:rsid w:val="005955C5"/>
    <w:rsid w:val="005A1629"/>
    <w:rsid w:val="005A24E5"/>
    <w:rsid w:val="005B2285"/>
    <w:rsid w:val="005B37B6"/>
    <w:rsid w:val="005B6988"/>
    <w:rsid w:val="005B7D6E"/>
    <w:rsid w:val="005C216F"/>
    <w:rsid w:val="005C2B14"/>
    <w:rsid w:val="005D0C15"/>
    <w:rsid w:val="005D108F"/>
    <w:rsid w:val="005D2213"/>
    <w:rsid w:val="005D370A"/>
    <w:rsid w:val="005D3EDD"/>
    <w:rsid w:val="005D7C4A"/>
    <w:rsid w:val="005E342B"/>
    <w:rsid w:val="005E5F63"/>
    <w:rsid w:val="005E68BD"/>
    <w:rsid w:val="005F1E3F"/>
    <w:rsid w:val="005F2D4F"/>
    <w:rsid w:val="005F31D7"/>
    <w:rsid w:val="005F3CE2"/>
    <w:rsid w:val="0060093E"/>
    <w:rsid w:val="00601EF5"/>
    <w:rsid w:val="00603F07"/>
    <w:rsid w:val="00604B1A"/>
    <w:rsid w:val="006067AF"/>
    <w:rsid w:val="006068CA"/>
    <w:rsid w:val="00606903"/>
    <w:rsid w:val="00610ED7"/>
    <w:rsid w:val="00615538"/>
    <w:rsid w:val="006169E8"/>
    <w:rsid w:val="006177A3"/>
    <w:rsid w:val="006203C2"/>
    <w:rsid w:val="00621C48"/>
    <w:rsid w:val="00625C13"/>
    <w:rsid w:val="00627592"/>
    <w:rsid w:val="0063139E"/>
    <w:rsid w:val="006363D5"/>
    <w:rsid w:val="00643BBD"/>
    <w:rsid w:val="006535D3"/>
    <w:rsid w:val="006560F7"/>
    <w:rsid w:val="00662320"/>
    <w:rsid w:val="0066385B"/>
    <w:rsid w:val="00664CC3"/>
    <w:rsid w:val="00667BDA"/>
    <w:rsid w:val="00672DD3"/>
    <w:rsid w:val="00673121"/>
    <w:rsid w:val="00673BA4"/>
    <w:rsid w:val="0068102B"/>
    <w:rsid w:val="006812A9"/>
    <w:rsid w:val="0068345B"/>
    <w:rsid w:val="0068483D"/>
    <w:rsid w:val="006856F9"/>
    <w:rsid w:val="006911C8"/>
    <w:rsid w:val="006933D2"/>
    <w:rsid w:val="00694E7E"/>
    <w:rsid w:val="006A265D"/>
    <w:rsid w:val="006A43DE"/>
    <w:rsid w:val="006A5240"/>
    <w:rsid w:val="006A55CF"/>
    <w:rsid w:val="006A6CAE"/>
    <w:rsid w:val="006B3A8B"/>
    <w:rsid w:val="006B69C2"/>
    <w:rsid w:val="006C027E"/>
    <w:rsid w:val="006C0930"/>
    <w:rsid w:val="006C532D"/>
    <w:rsid w:val="006C5FC0"/>
    <w:rsid w:val="006C6A36"/>
    <w:rsid w:val="006D49C8"/>
    <w:rsid w:val="006D53BD"/>
    <w:rsid w:val="006D7B1B"/>
    <w:rsid w:val="006E590C"/>
    <w:rsid w:val="006E69DE"/>
    <w:rsid w:val="006E78C1"/>
    <w:rsid w:val="006F79F3"/>
    <w:rsid w:val="00703683"/>
    <w:rsid w:val="0070696F"/>
    <w:rsid w:val="00711B93"/>
    <w:rsid w:val="00711EC2"/>
    <w:rsid w:val="00715BA0"/>
    <w:rsid w:val="00716BE6"/>
    <w:rsid w:val="00721AFD"/>
    <w:rsid w:val="0072405B"/>
    <w:rsid w:val="0072527E"/>
    <w:rsid w:val="007252DB"/>
    <w:rsid w:val="00736130"/>
    <w:rsid w:val="00740A9F"/>
    <w:rsid w:val="00740F31"/>
    <w:rsid w:val="0074405F"/>
    <w:rsid w:val="007454F7"/>
    <w:rsid w:val="0074653C"/>
    <w:rsid w:val="007473C6"/>
    <w:rsid w:val="007510D0"/>
    <w:rsid w:val="0075280B"/>
    <w:rsid w:val="007532DF"/>
    <w:rsid w:val="00753CE6"/>
    <w:rsid w:val="00754DFA"/>
    <w:rsid w:val="0076082E"/>
    <w:rsid w:val="00772B1A"/>
    <w:rsid w:val="0077337E"/>
    <w:rsid w:val="0077635A"/>
    <w:rsid w:val="007808CA"/>
    <w:rsid w:val="00780E97"/>
    <w:rsid w:val="00782CFB"/>
    <w:rsid w:val="00782E18"/>
    <w:rsid w:val="007845AB"/>
    <w:rsid w:val="00784CD4"/>
    <w:rsid w:val="007871E7"/>
    <w:rsid w:val="00790DF7"/>
    <w:rsid w:val="0079367D"/>
    <w:rsid w:val="007941BB"/>
    <w:rsid w:val="007A408F"/>
    <w:rsid w:val="007A7195"/>
    <w:rsid w:val="007B2F57"/>
    <w:rsid w:val="007B56AF"/>
    <w:rsid w:val="007B5A88"/>
    <w:rsid w:val="007C01F7"/>
    <w:rsid w:val="007C563F"/>
    <w:rsid w:val="007D0F88"/>
    <w:rsid w:val="007D430F"/>
    <w:rsid w:val="007E1557"/>
    <w:rsid w:val="007E168A"/>
    <w:rsid w:val="007E187A"/>
    <w:rsid w:val="007E1BB4"/>
    <w:rsid w:val="007E2315"/>
    <w:rsid w:val="007E2820"/>
    <w:rsid w:val="007E6F40"/>
    <w:rsid w:val="007F0886"/>
    <w:rsid w:val="007F25B3"/>
    <w:rsid w:val="007F2742"/>
    <w:rsid w:val="0080575A"/>
    <w:rsid w:val="00807574"/>
    <w:rsid w:val="00812354"/>
    <w:rsid w:val="00813BF1"/>
    <w:rsid w:val="00822561"/>
    <w:rsid w:val="00822AA9"/>
    <w:rsid w:val="008233BE"/>
    <w:rsid w:val="00825C2A"/>
    <w:rsid w:val="008265CA"/>
    <w:rsid w:val="008309E3"/>
    <w:rsid w:val="00830F24"/>
    <w:rsid w:val="00833417"/>
    <w:rsid w:val="00836634"/>
    <w:rsid w:val="00842D44"/>
    <w:rsid w:val="00844A3B"/>
    <w:rsid w:val="0085636D"/>
    <w:rsid w:val="00856F1B"/>
    <w:rsid w:val="00864588"/>
    <w:rsid w:val="00871E5C"/>
    <w:rsid w:val="00872462"/>
    <w:rsid w:val="00874985"/>
    <w:rsid w:val="0087540D"/>
    <w:rsid w:val="00876072"/>
    <w:rsid w:val="00876109"/>
    <w:rsid w:val="0087621C"/>
    <w:rsid w:val="00882D88"/>
    <w:rsid w:val="008839FA"/>
    <w:rsid w:val="00886188"/>
    <w:rsid w:val="00887C40"/>
    <w:rsid w:val="0089606D"/>
    <w:rsid w:val="008A18C2"/>
    <w:rsid w:val="008A4307"/>
    <w:rsid w:val="008B2924"/>
    <w:rsid w:val="008B3FE4"/>
    <w:rsid w:val="008C2782"/>
    <w:rsid w:val="008C3372"/>
    <w:rsid w:val="008C33B8"/>
    <w:rsid w:val="008D0B9E"/>
    <w:rsid w:val="008D22B8"/>
    <w:rsid w:val="008D4FE8"/>
    <w:rsid w:val="008D7B7A"/>
    <w:rsid w:val="008E0569"/>
    <w:rsid w:val="008E2054"/>
    <w:rsid w:val="008E3681"/>
    <w:rsid w:val="008E5688"/>
    <w:rsid w:val="008F1AF7"/>
    <w:rsid w:val="00901100"/>
    <w:rsid w:val="00902648"/>
    <w:rsid w:val="00902940"/>
    <w:rsid w:val="0091046F"/>
    <w:rsid w:val="009114FF"/>
    <w:rsid w:val="009120A7"/>
    <w:rsid w:val="00913A32"/>
    <w:rsid w:val="00915D9A"/>
    <w:rsid w:val="00917E81"/>
    <w:rsid w:val="00920287"/>
    <w:rsid w:val="0092422C"/>
    <w:rsid w:val="00924639"/>
    <w:rsid w:val="0092474A"/>
    <w:rsid w:val="00927D62"/>
    <w:rsid w:val="00931365"/>
    <w:rsid w:val="00931EEF"/>
    <w:rsid w:val="00936730"/>
    <w:rsid w:val="00937D34"/>
    <w:rsid w:val="0094174C"/>
    <w:rsid w:val="00944969"/>
    <w:rsid w:val="00947700"/>
    <w:rsid w:val="009506C3"/>
    <w:rsid w:val="009519AF"/>
    <w:rsid w:val="00951B85"/>
    <w:rsid w:val="00953656"/>
    <w:rsid w:val="00955685"/>
    <w:rsid w:val="00960BB1"/>
    <w:rsid w:val="009632CA"/>
    <w:rsid w:val="009640AB"/>
    <w:rsid w:val="009758F4"/>
    <w:rsid w:val="00982294"/>
    <w:rsid w:val="00982C0B"/>
    <w:rsid w:val="009856AF"/>
    <w:rsid w:val="00985F98"/>
    <w:rsid w:val="00993BF4"/>
    <w:rsid w:val="00994C42"/>
    <w:rsid w:val="009955E2"/>
    <w:rsid w:val="009A05C8"/>
    <w:rsid w:val="009A152C"/>
    <w:rsid w:val="009A17D1"/>
    <w:rsid w:val="009A31D5"/>
    <w:rsid w:val="009A36F5"/>
    <w:rsid w:val="009A3BCF"/>
    <w:rsid w:val="009A3E1D"/>
    <w:rsid w:val="009A4696"/>
    <w:rsid w:val="009A72EE"/>
    <w:rsid w:val="009A7E9A"/>
    <w:rsid w:val="009B1141"/>
    <w:rsid w:val="009B64D9"/>
    <w:rsid w:val="009C31BE"/>
    <w:rsid w:val="009C5226"/>
    <w:rsid w:val="009D5637"/>
    <w:rsid w:val="009D5AB1"/>
    <w:rsid w:val="009D62EB"/>
    <w:rsid w:val="009F22FB"/>
    <w:rsid w:val="009F2D79"/>
    <w:rsid w:val="00A03062"/>
    <w:rsid w:val="00A031B2"/>
    <w:rsid w:val="00A04B4C"/>
    <w:rsid w:val="00A04E20"/>
    <w:rsid w:val="00A068E1"/>
    <w:rsid w:val="00A07153"/>
    <w:rsid w:val="00A0755B"/>
    <w:rsid w:val="00A11868"/>
    <w:rsid w:val="00A17256"/>
    <w:rsid w:val="00A17971"/>
    <w:rsid w:val="00A17F7E"/>
    <w:rsid w:val="00A241BF"/>
    <w:rsid w:val="00A265F2"/>
    <w:rsid w:val="00A277FE"/>
    <w:rsid w:val="00A27CB5"/>
    <w:rsid w:val="00A351AC"/>
    <w:rsid w:val="00A47282"/>
    <w:rsid w:val="00A47C91"/>
    <w:rsid w:val="00A50818"/>
    <w:rsid w:val="00A508E1"/>
    <w:rsid w:val="00A53C46"/>
    <w:rsid w:val="00A54521"/>
    <w:rsid w:val="00A549AF"/>
    <w:rsid w:val="00A55BB8"/>
    <w:rsid w:val="00A575EA"/>
    <w:rsid w:val="00A64604"/>
    <w:rsid w:val="00A66A1E"/>
    <w:rsid w:val="00A66E7D"/>
    <w:rsid w:val="00A71985"/>
    <w:rsid w:val="00A73796"/>
    <w:rsid w:val="00A74645"/>
    <w:rsid w:val="00A74EEE"/>
    <w:rsid w:val="00A75259"/>
    <w:rsid w:val="00A76806"/>
    <w:rsid w:val="00A95A55"/>
    <w:rsid w:val="00A96104"/>
    <w:rsid w:val="00AA1A50"/>
    <w:rsid w:val="00AA54F6"/>
    <w:rsid w:val="00AB0C73"/>
    <w:rsid w:val="00AB4162"/>
    <w:rsid w:val="00AB64C3"/>
    <w:rsid w:val="00AB704B"/>
    <w:rsid w:val="00AC02AA"/>
    <w:rsid w:val="00AC29FE"/>
    <w:rsid w:val="00AC3529"/>
    <w:rsid w:val="00AC457B"/>
    <w:rsid w:val="00AC51E1"/>
    <w:rsid w:val="00AD28D5"/>
    <w:rsid w:val="00AD5550"/>
    <w:rsid w:val="00AD5687"/>
    <w:rsid w:val="00AE0069"/>
    <w:rsid w:val="00AE4C67"/>
    <w:rsid w:val="00AF76AB"/>
    <w:rsid w:val="00B011B5"/>
    <w:rsid w:val="00B036B5"/>
    <w:rsid w:val="00B042E9"/>
    <w:rsid w:val="00B04A0B"/>
    <w:rsid w:val="00B04B0F"/>
    <w:rsid w:val="00B05456"/>
    <w:rsid w:val="00B15988"/>
    <w:rsid w:val="00B21B97"/>
    <w:rsid w:val="00B24A6D"/>
    <w:rsid w:val="00B27F3B"/>
    <w:rsid w:val="00B31949"/>
    <w:rsid w:val="00B31F3E"/>
    <w:rsid w:val="00B46F53"/>
    <w:rsid w:val="00B5082C"/>
    <w:rsid w:val="00B53907"/>
    <w:rsid w:val="00B56226"/>
    <w:rsid w:val="00B60CCE"/>
    <w:rsid w:val="00B6674B"/>
    <w:rsid w:val="00B86D2D"/>
    <w:rsid w:val="00B871F1"/>
    <w:rsid w:val="00B945A0"/>
    <w:rsid w:val="00BA306E"/>
    <w:rsid w:val="00BA5252"/>
    <w:rsid w:val="00BA7D39"/>
    <w:rsid w:val="00BB2E3E"/>
    <w:rsid w:val="00BC188E"/>
    <w:rsid w:val="00BC723C"/>
    <w:rsid w:val="00BD564F"/>
    <w:rsid w:val="00BD56E1"/>
    <w:rsid w:val="00BE1826"/>
    <w:rsid w:val="00BE4ACA"/>
    <w:rsid w:val="00BE60CE"/>
    <w:rsid w:val="00BF2E67"/>
    <w:rsid w:val="00BF5337"/>
    <w:rsid w:val="00C0362F"/>
    <w:rsid w:val="00C07641"/>
    <w:rsid w:val="00C0765A"/>
    <w:rsid w:val="00C10D02"/>
    <w:rsid w:val="00C122CD"/>
    <w:rsid w:val="00C205EF"/>
    <w:rsid w:val="00C20619"/>
    <w:rsid w:val="00C214A1"/>
    <w:rsid w:val="00C23380"/>
    <w:rsid w:val="00C24AFE"/>
    <w:rsid w:val="00C24C17"/>
    <w:rsid w:val="00C25988"/>
    <w:rsid w:val="00C26820"/>
    <w:rsid w:val="00C2690A"/>
    <w:rsid w:val="00C32E98"/>
    <w:rsid w:val="00C35B21"/>
    <w:rsid w:val="00C377C1"/>
    <w:rsid w:val="00C417BD"/>
    <w:rsid w:val="00C4409F"/>
    <w:rsid w:val="00C50733"/>
    <w:rsid w:val="00C51111"/>
    <w:rsid w:val="00C516A1"/>
    <w:rsid w:val="00C51D86"/>
    <w:rsid w:val="00C52127"/>
    <w:rsid w:val="00C530B9"/>
    <w:rsid w:val="00C54279"/>
    <w:rsid w:val="00C57A46"/>
    <w:rsid w:val="00C6479B"/>
    <w:rsid w:val="00C67235"/>
    <w:rsid w:val="00C71265"/>
    <w:rsid w:val="00C725A2"/>
    <w:rsid w:val="00C8171E"/>
    <w:rsid w:val="00C82EA5"/>
    <w:rsid w:val="00C8512F"/>
    <w:rsid w:val="00C87ABC"/>
    <w:rsid w:val="00C87DE7"/>
    <w:rsid w:val="00C90C19"/>
    <w:rsid w:val="00C930ED"/>
    <w:rsid w:val="00C96E58"/>
    <w:rsid w:val="00CA08B5"/>
    <w:rsid w:val="00CA2B18"/>
    <w:rsid w:val="00CA67E6"/>
    <w:rsid w:val="00CB1B61"/>
    <w:rsid w:val="00CC05C8"/>
    <w:rsid w:val="00CC1380"/>
    <w:rsid w:val="00CC2A66"/>
    <w:rsid w:val="00CC4023"/>
    <w:rsid w:val="00CC6684"/>
    <w:rsid w:val="00CC6840"/>
    <w:rsid w:val="00CD24BE"/>
    <w:rsid w:val="00CD4722"/>
    <w:rsid w:val="00CE0D24"/>
    <w:rsid w:val="00CE38F4"/>
    <w:rsid w:val="00CE4BD0"/>
    <w:rsid w:val="00CF345C"/>
    <w:rsid w:val="00D0184A"/>
    <w:rsid w:val="00D109D9"/>
    <w:rsid w:val="00D15DD9"/>
    <w:rsid w:val="00D20655"/>
    <w:rsid w:val="00D22918"/>
    <w:rsid w:val="00D37080"/>
    <w:rsid w:val="00D5126C"/>
    <w:rsid w:val="00D5274C"/>
    <w:rsid w:val="00D533C9"/>
    <w:rsid w:val="00D54AD6"/>
    <w:rsid w:val="00D55D87"/>
    <w:rsid w:val="00D570AB"/>
    <w:rsid w:val="00D6201D"/>
    <w:rsid w:val="00D646CF"/>
    <w:rsid w:val="00D74B1D"/>
    <w:rsid w:val="00D76687"/>
    <w:rsid w:val="00D77F4B"/>
    <w:rsid w:val="00D8314A"/>
    <w:rsid w:val="00D85B8B"/>
    <w:rsid w:val="00D90DD6"/>
    <w:rsid w:val="00D932C5"/>
    <w:rsid w:val="00D9419E"/>
    <w:rsid w:val="00DA1A3A"/>
    <w:rsid w:val="00DA1D03"/>
    <w:rsid w:val="00DA2019"/>
    <w:rsid w:val="00DA290C"/>
    <w:rsid w:val="00DA2E55"/>
    <w:rsid w:val="00DA2EF6"/>
    <w:rsid w:val="00DB2FA1"/>
    <w:rsid w:val="00DB3374"/>
    <w:rsid w:val="00DB4CDA"/>
    <w:rsid w:val="00DB5C3A"/>
    <w:rsid w:val="00DC5796"/>
    <w:rsid w:val="00DD02F6"/>
    <w:rsid w:val="00DD1B70"/>
    <w:rsid w:val="00DD304D"/>
    <w:rsid w:val="00DD4653"/>
    <w:rsid w:val="00DD69A7"/>
    <w:rsid w:val="00DE0000"/>
    <w:rsid w:val="00DE0492"/>
    <w:rsid w:val="00DE1C8D"/>
    <w:rsid w:val="00DE328D"/>
    <w:rsid w:val="00DE4340"/>
    <w:rsid w:val="00DE4EDF"/>
    <w:rsid w:val="00DF2656"/>
    <w:rsid w:val="00DF3517"/>
    <w:rsid w:val="00DF658B"/>
    <w:rsid w:val="00E004B9"/>
    <w:rsid w:val="00E05C2C"/>
    <w:rsid w:val="00E12A2A"/>
    <w:rsid w:val="00E13310"/>
    <w:rsid w:val="00E159B2"/>
    <w:rsid w:val="00E16430"/>
    <w:rsid w:val="00E27B26"/>
    <w:rsid w:val="00E30734"/>
    <w:rsid w:val="00E30F6B"/>
    <w:rsid w:val="00E33A66"/>
    <w:rsid w:val="00E34E98"/>
    <w:rsid w:val="00E459D8"/>
    <w:rsid w:val="00E5259F"/>
    <w:rsid w:val="00E53124"/>
    <w:rsid w:val="00E54F9F"/>
    <w:rsid w:val="00E60E2A"/>
    <w:rsid w:val="00E655B7"/>
    <w:rsid w:val="00E70AF9"/>
    <w:rsid w:val="00E84E4E"/>
    <w:rsid w:val="00E85887"/>
    <w:rsid w:val="00E86A2F"/>
    <w:rsid w:val="00E93025"/>
    <w:rsid w:val="00E9455F"/>
    <w:rsid w:val="00E94CF0"/>
    <w:rsid w:val="00EB27D8"/>
    <w:rsid w:val="00EB3181"/>
    <w:rsid w:val="00EB6A28"/>
    <w:rsid w:val="00EB78F7"/>
    <w:rsid w:val="00EC1531"/>
    <w:rsid w:val="00ED35DA"/>
    <w:rsid w:val="00ED4039"/>
    <w:rsid w:val="00EE040B"/>
    <w:rsid w:val="00EE0BE0"/>
    <w:rsid w:val="00EE1D31"/>
    <w:rsid w:val="00EE4FB9"/>
    <w:rsid w:val="00EE65F9"/>
    <w:rsid w:val="00EF4592"/>
    <w:rsid w:val="00EF69B8"/>
    <w:rsid w:val="00EF7C0E"/>
    <w:rsid w:val="00F01EA1"/>
    <w:rsid w:val="00F029A8"/>
    <w:rsid w:val="00F02E7E"/>
    <w:rsid w:val="00F05D90"/>
    <w:rsid w:val="00F05F58"/>
    <w:rsid w:val="00F07E49"/>
    <w:rsid w:val="00F13EB2"/>
    <w:rsid w:val="00F1402C"/>
    <w:rsid w:val="00F144D8"/>
    <w:rsid w:val="00F232E3"/>
    <w:rsid w:val="00F2655E"/>
    <w:rsid w:val="00F30EBA"/>
    <w:rsid w:val="00F33612"/>
    <w:rsid w:val="00F348B8"/>
    <w:rsid w:val="00F43E44"/>
    <w:rsid w:val="00F4426C"/>
    <w:rsid w:val="00F44367"/>
    <w:rsid w:val="00F4632F"/>
    <w:rsid w:val="00F47666"/>
    <w:rsid w:val="00F528FB"/>
    <w:rsid w:val="00F544F0"/>
    <w:rsid w:val="00F5759E"/>
    <w:rsid w:val="00F609D4"/>
    <w:rsid w:val="00F60EFF"/>
    <w:rsid w:val="00F66871"/>
    <w:rsid w:val="00F66C98"/>
    <w:rsid w:val="00F67F12"/>
    <w:rsid w:val="00F71CD8"/>
    <w:rsid w:val="00F739AD"/>
    <w:rsid w:val="00F73BAE"/>
    <w:rsid w:val="00F73FDB"/>
    <w:rsid w:val="00F769A6"/>
    <w:rsid w:val="00F84B55"/>
    <w:rsid w:val="00F950DE"/>
    <w:rsid w:val="00F979F3"/>
    <w:rsid w:val="00FA46B4"/>
    <w:rsid w:val="00FA6C33"/>
    <w:rsid w:val="00FB5767"/>
    <w:rsid w:val="00FB61E7"/>
    <w:rsid w:val="00FC4DFB"/>
    <w:rsid w:val="00FC780E"/>
    <w:rsid w:val="00FD1802"/>
    <w:rsid w:val="00FD2DF8"/>
    <w:rsid w:val="00FD4C09"/>
    <w:rsid w:val="00FD52AD"/>
    <w:rsid w:val="00FE2733"/>
    <w:rsid w:val="00FE2C2A"/>
    <w:rsid w:val="00FE4317"/>
    <w:rsid w:val="00FF1516"/>
    <w:rsid w:val="00FF44DE"/>
    <w:rsid w:val="00FF4D2D"/>
    <w:rsid w:val="00FF53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701DD6E8-635D-45B7-A94C-8918A00A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E8"/>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uiPriority w:val="99"/>
    <w:rsid w:val="007C563F"/>
    <w:rPr>
      <w:color w:val="000080"/>
      <w:u w:val="single"/>
    </w:rPr>
  </w:style>
  <w:style w:type="character" w:styleId="Refdecomentario">
    <w:name w:val="annotation reference"/>
    <w:basedOn w:val="Fuentedeprrafopredeter"/>
    <w:uiPriority w:val="99"/>
    <w:semiHidden/>
    <w:unhideWhenUsed/>
    <w:rsid w:val="00016817"/>
    <w:rPr>
      <w:sz w:val="16"/>
      <w:szCs w:val="16"/>
    </w:rPr>
  </w:style>
  <w:style w:type="paragraph" w:styleId="Textocomentario">
    <w:name w:val="annotation text"/>
    <w:basedOn w:val="Normal"/>
    <w:link w:val="TextocomentarioCar"/>
    <w:uiPriority w:val="99"/>
    <w:unhideWhenUsed/>
    <w:rsid w:val="00016817"/>
    <w:rPr>
      <w:sz w:val="20"/>
      <w:szCs w:val="20"/>
    </w:rPr>
  </w:style>
  <w:style w:type="character" w:customStyle="1" w:styleId="TextocomentarioCar">
    <w:name w:val="Texto comentario Car"/>
    <w:basedOn w:val="Fuentedeprrafopredeter"/>
    <w:link w:val="Textocomentario"/>
    <w:uiPriority w:val="99"/>
    <w:rsid w:val="00016817"/>
    <w:rPr>
      <w:sz w:val="20"/>
      <w:szCs w:val="20"/>
    </w:rPr>
  </w:style>
  <w:style w:type="paragraph" w:styleId="Asuntodelcomentario">
    <w:name w:val="annotation subject"/>
    <w:basedOn w:val="Textocomentario"/>
    <w:next w:val="Textocomentario"/>
    <w:link w:val="AsuntodelcomentarioCar"/>
    <w:uiPriority w:val="99"/>
    <w:semiHidden/>
    <w:unhideWhenUsed/>
    <w:rsid w:val="00016817"/>
    <w:rPr>
      <w:b/>
      <w:bCs/>
    </w:rPr>
  </w:style>
  <w:style w:type="character" w:customStyle="1" w:styleId="AsuntodelcomentarioCar">
    <w:name w:val="Asunto del comentario Car"/>
    <w:basedOn w:val="TextocomentarioCar"/>
    <w:link w:val="Asuntodelcomentario"/>
    <w:uiPriority w:val="99"/>
    <w:semiHidden/>
    <w:rsid w:val="00016817"/>
    <w:rPr>
      <w:b/>
      <w:bCs/>
      <w:sz w:val="20"/>
      <w:szCs w:val="20"/>
    </w:rPr>
  </w:style>
  <w:style w:type="paragraph" w:styleId="Textodeglobo">
    <w:name w:val="Balloon Text"/>
    <w:basedOn w:val="Normal"/>
    <w:link w:val="TextodegloboCar"/>
    <w:uiPriority w:val="99"/>
    <w:semiHidden/>
    <w:unhideWhenUsed/>
    <w:rsid w:val="000168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817"/>
    <w:rPr>
      <w:rFonts w:ascii="Segoe UI" w:hAnsi="Segoe UI" w:cs="Segoe UI"/>
      <w:sz w:val="18"/>
      <w:szCs w:val="18"/>
    </w:rPr>
  </w:style>
  <w:style w:type="paragraph" w:styleId="NormalWeb">
    <w:name w:val="Normal (Web)"/>
    <w:basedOn w:val="Normal"/>
    <w:uiPriority w:val="99"/>
    <w:semiHidden/>
    <w:unhideWhenUsed/>
    <w:rsid w:val="001A33AD"/>
    <w:pPr>
      <w:spacing w:before="100" w:beforeAutospacing="1" w:after="100" w:afterAutospacing="1"/>
    </w:pPr>
    <w:rPr>
      <w:rFonts w:ascii="Times New Roman" w:eastAsia="Times New Roman" w:hAnsi="Times New Roman" w:cs="Times New Roman"/>
      <w:sz w:val="24"/>
      <w:lang w:eastAsia="es-CO"/>
    </w:rPr>
  </w:style>
  <w:style w:type="character" w:styleId="Hipervnculovisitado">
    <w:name w:val="FollowedHyperlink"/>
    <w:basedOn w:val="Fuentedeprrafopredeter"/>
    <w:uiPriority w:val="99"/>
    <w:semiHidden/>
    <w:unhideWhenUsed/>
    <w:rsid w:val="001A33AD"/>
    <w:rPr>
      <w:color w:val="BA6906"/>
      <w:u w:val="single"/>
    </w:rPr>
  </w:style>
  <w:style w:type="paragraph" w:customStyle="1" w:styleId="font5">
    <w:name w:val="font5"/>
    <w:basedOn w:val="Normal"/>
    <w:rsid w:val="001A33AD"/>
    <w:pPr>
      <w:spacing w:before="100" w:beforeAutospacing="1" w:after="100" w:afterAutospacing="1"/>
    </w:pPr>
    <w:rPr>
      <w:rFonts w:ascii="Calibri" w:eastAsia="Times New Roman" w:hAnsi="Calibri" w:cs="Calibri"/>
      <w:color w:val="000000"/>
      <w:szCs w:val="22"/>
      <w:lang w:eastAsia="es-CO"/>
    </w:rPr>
  </w:style>
  <w:style w:type="paragraph" w:customStyle="1" w:styleId="font6">
    <w:name w:val="font6"/>
    <w:basedOn w:val="Normal"/>
    <w:rsid w:val="001A33AD"/>
    <w:pPr>
      <w:spacing w:before="100" w:beforeAutospacing="1" w:after="100" w:afterAutospacing="1"/>
    </w:pPr>
    <w:rPr>
      <w:rFonts w:ascii="Calibri" w:eastAsia="Times New Roman" w:hAnsi="Calibri" w:cs="Calibri"/>
      <w:b/>
      <w:bCs/>
      <w:color w:val="000000"/>
      <w:szCs w:val="22"/>
      <w:lang w:eastAsia="es-CO"/>
    </w:rPr>
  </w:style>
  <w:style w:type="paragraph" w:customStyle="1" w:styleId="font7">
    <w:name w:val="font7"/>
    <w:basedOn w:val="Normal"/>
    <w:rsid w:val="001A33AD"/>
    <w:pPr>
      <w:spacing w:before="100" w:beforeAutospacing="1" w:after="100" w:afterAutospacing="1"/>
    </w:pPr>
    <w:rPr>
      <w:rFonts w:ascii="Calibri" w:eastAsia="Times New Roman" w:hAnsi="Calibri" w:cs="Calibri"/>
      <w:szCs w:val="22"/>
      <w:lang w:eastAsia="es-CO"/>
    </w:rPr>
  </w:style>
  <w:style w:type="paragraph" w:customStyle="1" w:styleId="font8">
    <w:name w:val="font8"/>
    <w:basedOn w:val="Normal"/>
    <w:rsid w:val="001A33AD"/>
    <w:pPr>
      <w:spacing w:before="100" w:beforeAutospacing="1" w:after="100" w:afterAutospacing="1"/>
    </w:pPr>
    <w:rPr>
      <w:rFonts w:ascii="Calibri" w:eastAsia="Times New Roman" w:hAnsi="Calibri" w:cs="Calibri"/>
      <w:color w:val="FF0000"/>
      <w:szCs w:val="22"/>
      <w:lang w:eastAsia="es-CO"/>
    </w:rPr>
  </w:style>
  <w:style w:type="paragraph" w:customStyle="1" w:styleId="font9">
    <w:name w:val="font9"/>
    <w:basedOn w:val="Normal"/>
    <w:rsid w:val="001A33AD"/>
    <w:pPr>
      <w:spacing w:before="100" w:beforeAutospacing="1" w:after="100" w:afterAutospacing="1"/>
    </w:pPr>
    <w:rPr>
      <w:rFonts w:ascii="Calibri" w:eastAsia="Times New Roman" w:hAnsi="Calibri" w:cs="Calibri"/>
      <w:color w:val="CC6600"/>
      <w:szCs w:val="22"/>
      <w:lang w:eastAsia="es-CO"/>
    </w:rPr>
  </w:style>
  <w:style w:type="paragraph" w:customStyle="1" w:styleId="font10">
    <w:name w:val="font10"/>
    <w:basedOn w:val="Normal"/>
    <w:rsid w:val="001A33AD"/>
    <w:pPr>
      <w:spacing w:before="100" w:beforeAutospacing="1" w:after="100" w:afterAutospacing="1"/>
    </w:pPr>
    <w:rPr>
      <w:rFonts w:ascii="Calibri" w:eastAsia="Times New Roman" w:hAnsi="Calibri" w:cs="Calibri"/>
      <w:b/>
      <w:bCs/>
      <w:color w:val="0070C0"/>
      <w:szCs w:val="22"/>
      <w:lang w:eastAsia="es-CO"/>
    </w:rPr>
  </w:style>
  <w:style w:type="paragraph" w:customStyle="1" w:styleId="font11">
    <w:name w:val="font11"/>
    <w:basedOn w:val="Normal"/>
    <w:rsid w:val="001A33AD"/>
    <w:pPr>
      <w:spacing w:before="100" w:beforeAutospacing="1" w:after="100" w:afterAutospacing="1"/>
    </w:pPr>
    <w:rPr>
      <w:rFonts w:ascii="Calibri" w:eastAsia="Times New Roman" w:hAnsi="Calibri" w:cs="Calibri"/>
      <w:b/>
      <w:bCs/>
      <w:color w:val="FF0000"/>
      <w:szCs w:val="22"/>
      <w:lang w:eastAsia="es-CO"/>
    </w:rPr>
  </w:style>
  <w:style w:type="paragraph" w:customStyle="1" w:styleId="xl65">
    <w:name w:val="xl65"/>
    <w:basedOn w:val="Normal"/>
    <w:rsid w:val="001A33AD"/>
    <w:pPr>
      <w:pBdr>
        <w:top w:val="single" w:sz="4" w:space="0" w:color="auto"/>
        <w:left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66">
    <w:name w:val="xl66"/>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7">
    <w:name w:val="xl6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68">
    <w:name w:val="xl6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lang w:eastAsia="es-CO"/>
    </w:rPr>
  </w:style>
  <w:style w:type="paragraph" w:customStyle="1" w:styleId="xl69">
    <w:name w:val="xl6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0">
    <w:name w:val="xl7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1">
    <w:name w:val="xl71"/>
    <w:basedOn w:val="Normal"/>
    <w:rsid w:val="001A33AD"/>
    <w:pPr>
      <w:pBdr>
        <w:top w:val="single" w:sz="4" w:space="0" w:color="000000"/>
        <w:left w:val="single" w:sz="4" w:space="0" w:color="auto"/>
        <w:bottom w:val="single" w:sz="4" w:space="0" w:color="auto"/>
        <w:right w:val="single" w:sz="4" w:space="0" w:color="auto"/>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72">
    <w:name w:val="xl72"/>
    <w:basedOn w:val="Normal"/>
    <w:rsid w:val="001A33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73">
    <w:name w:val="xl7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74">
    <w:name w:val="xl7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75">
    <w:name w:val="xl75"/>
    <w:basedOn w:val="Normal"/>
    <w:rsid w:val="001A33AD"/>
    <w:pP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76">
    <w:name w:val="xl76"/>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77">
    <w:name w:val="xl77"/>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8">
    <w:name w:val="xl78"/>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79">
    <w:name w:val="xl79"/>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0">
    <w:name w:val="xl8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1">
    <w:name w:val="xl8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2">
    <w:name w:val="xl82"/>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3">
    <w:name w:val="xl83"/>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b/>
      <w:bCs/>
      <w:sz w:val="24"/>
      <w:lang w:eastAsia="es-CO"/>
    </w:rPr>
  </w:style>
  <w:style w:type="paragraph" w:customStyle="1" w:styleId="xl84">
    <w:name w:val="xl8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b/>
      <w:bCs/>
      <w:sz w:val="24"/>
      <w:lang w:eastAsia="es-CO"/>
    </w:rPr>
  </w:style>
  <w:style w:type="paragraph" w:customStyle="1" w:styleId="xl85">
    <w:name w:val="xl85"/>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b/>
      <w:bCs/>
      <w:sz w:val="24"/>
      <w:lang w:eastAsia="es-CO"/>
    </w:rPr>
  </w:style>
  <w:style w:type="paragraph" w:customStyle="1" w:styleId="xl86">
    <w:name w:val="xl86"/>
    <w:basedOn w:val="Normal"/>
    <w:rsid w:val="001A33AD"/>
    <w:pPr>
      <w:pBdr>
        <w:top w:val="single" w:sz="4" w:space="0" w:color="000000"/>
        <w:left w:val="single" w:sz="4" w:space="0" w:color="000000"/>
        <w:right w:val="single" w:sz="4" w:space="0" w:color="000000"/>
      </w:pBdr>
      <w:shd w:val="clear" w:color="F7CAAC" w:fill="B2DE82"/>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87">
    <w:name w:val="xl87"/>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8">
    <w:name w:val="xl88"/>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89">
    <w:name w:val="xl89"/>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0">
    <w:name w:val="xl90"/>
    <w:basedOn w:val="Normal"/>
    <w:rsid w:val="001A33AD"/>
    <w:pPr>
      <w:pBdr>
        <w:top w:val="single" w:sz="4" w:space="0" w:color="auto"/>
        <w:left w:val="single" w:sz="4" w:space="0" w:color="auto"/>
        <w:right w:val="single" w:sz="4" w:space="0" w:color="auto"/>
      </w:pBdr>
      <w:shd w:val="clear" w:color="000000" w:fill="B2DE82"/>
      <w:spacing w:before="100" w:beforeAutospacing="1" w:after="100" w:afterAutospacing="1"/>
      <w:jc w:val="center"/>
      <w:textAlignment w:val="center"/>
    </w:pPr>
    <w:rPr>
      <w:rFonts w:eastAsia="Times New Roman" w:cs="Arial"/>
      <w:sz w:val="24"/>
      <w:lang w:eastAsia="es-CO"/>
    </w:rPr>
  </w:style>
  <w:style w:type="paragraph" w:customStyle="1" w:styleId="xl91">
    <w:name w:val="xl91"/>
    <w:basedOn w:val="Normal"/>
    <w:rsid w:val="001A33AD"/>
    <w:pPr>
      <w:pBdr>
        <w:top w:val="single" w:sz="4" w:space="0" w:color="auto"/>
        <w:left w:val="single" w:sz="4" w:space="0" w:color="auto"/>
        <w:bottom w:val="single" w:sz="4" w:space="0" w:color="auto"/>
        <w:right w:val="single" w:sz="4" w:space="0" w:color="auto"/>
      </w:pBdr>
      <w:shd w:val="clear" w:color="000000" w:fill="B2DE82"/>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2">
    <w:name w:val="xl92"/>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3">
    <w:name w:val="xl93"/>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4">
    <w:name w:val="xl94"/>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95">
    <w:name w:val="xl95"/>
    <w:basedOn w:val="Normal"/>
    <w:rsid w:val="001A33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6">
    <w:name w:val="xl96"/>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97">
    <w:name w:val="xl97"/>
    <w:basedOn w:val="Normal"/>
    <w:rsid w:val="001A33AD"/>
    <w:pPr>
      <w:pBdr>
        <w:top w:val="single" w:sz="4" w:space="0" w:color="000000"/>
        <w:left w:val="single" w:sz="4" w:space="0" w:color="000000"/>
        <w:right w:val="single" w:sz="4" w:space="0" w:color="000000"/>
      </w:pBdr>
      <w:shd w:val="clear" w:color="F7CAAC" w:fill="FF99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98">
    <w:name w:val="xl98"/>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99">
    <w:name w:val="xl99"/>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0">
    <w:name w:val="xl100"/>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01">
    <w:name w:val="xl101"/>
    <w:basedOn w:val="Normal"/>
    <w:rsid w:val="001A33AD"/>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2">
    <w:name w:val="xl102"/>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03">
    <w:name w:val="xl103"/>
    <w:basedOn w:val="Normal"/>
    <w:rsid w:val="001A33AD"/>
    <w:pPr>
      <w:pBdr>
        <w:top w:val="single" w:sz="4" w:space="0" w:color="000000"/>
        <w:left w:val="single" w:sz="4" w:space="0" w:color="000000"/>
      </w:pBdr>
      <w:shd w:val="clear" w:color="F7CAAC" w:fill="FFFF99"/>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04">
    <w:name w:val="xl104"/>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5">
    <w:name w:val="xl105"/>
    <w:basedOn w:val="Normal"/>
    <w:rsid w:val="001A33AD"/>
    <w:pP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06">
    <w:name w:val="xl106"/>
    <w:basedOn w:val="Normal"/>
    <w:rsid w:val="001A33AD"/>
    <w:pPr>
      <w:spacing w:before="100" w:beforeAutospacing="1" w:after="100" w:afterAutospacing="1"/>
      <w:textAlignment w:val="center"/>
    </w:pPr>
    <w:rPr>
      <w:rFonts w:eastAsia="Times New Roman" w:cs="Arial"/>
      <w:b/>
      <w:bCs/>
      <w:sz w:val="24"/>
      <w:lang w:eastAsia="es-CO"/>
    </w:rPr>
  </w:style>
  <w:style w:type="paragraph" w:customStyle="1" w:styleId="xl107">
    <w:name w:val="xl107"/>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08">
    <w:name w:val="xl108"/>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09">
    <w:name w:val="xl10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10">
    <w:name w:val="xl110"/>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1">
    <w:name w:val="xl111"/>
    <w:basedOn w:val="Normal"/>
    <w:rsid w:val="001A33AD"/>
    <w:pPr>
      <w:pBdr>
        <w:top w:val="single" w:sz="4" w:space="0" w:color="auto"/>
        <w:left w:val="single" w:sz="4" w:space="0" w:color="auto"/>
        <w:right w:val="single" w:sz="4" w:space="0" w:color="auto"/>
      </w:pBdr>
      <w:shd w:val="clear" w:color="000000" w:fill="FF9999"/>
      <w:spacing w:before="100" w:beforeAutospacing="1" w:after="100" w:afterAutospacing="1"/>
      <w:jc w:val="center"/>
      <w:textAlignment w:val="center"/>
    </w:pPr>
    <w:rPr>
      <w:rFonts w:eastAsia="Times New Roman" w:cs="Arial"/>
      <w:sz w:val="24"/>
      <w:lang w:eastAsia="es-CO"/>
    </w:rPr>
  </w:style>
  <w:style w:type="paragraph" w:customStyle="1" w:styleId="xl112">
    <w:name w:val="xl112"/>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3">
    <w:name w:val="xl113"/>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u w:val="single"/>
      <w:lang w:eastAsia="es-CO"/>
    </w:rPr>
  </w:style>
  <w:style w:type="paragraph" w:customStyle="1" w:styleId="xl114">
    <w:name w:val="xl114"/>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sz w:val="24"/>
      <w:u w:val="single"/>
      <w:lang w:eastAsia="es-CO"/>
    </w:rPr>
  </w:style>
  <w:style w:type="paragraph" w:customStyle="1" w:styleId="xl115">
    <w:name w:val="xl115"/>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color w:val="FF0000"/>
      <w:sz w:val="24"/>
      <w:lang w:eastAsia="es-CO"/>
    </w:rPr>
  </w:style>
  <w:style w:type="paragraph" w:customStyle="1" w:styleId="xl116">
    <w:name w:val="xl116"/>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7">
    <w:name w:val="xl117"/>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8">
    <w:name w:val="xl118"/>
    <w:basedOn w:val="Normal"/>
    <w:rsid w:val="001A33AD"/>
    <w:pPr>
      <w:pBdr>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19">
    <w:name w:val="xl119"/>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color w:val="FF0000"/>
      <w:sz w:val="24"/>
      <w:lang w:eastAsia="es-CO"/>
    </w:rPr>
  </w:style>
  <w:style w:type="paragraph" w:customStyle="1" w:styleId="xl120">
    <w:name w:val="xl120"/>
    <w:basedOn w:val="Normal"/>
    <w:rsid w:val="001A33AD"/>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s="Arial"/>
      <w:sz w:val="24"/>
      <w:lang w:eastAsia="es-CO"/>
    </w:rPr>
  </w:style>
  <w:style w:type="paragraph" w:customStyle="1" w:styleId="xl121">
    <w:name w:val="xl121"/>
    <w:basedOn w:val="Normal"/>
    <w:rsid w:val="001A33AD"/>
    <w:pPr>
      <w:pBdr>
        <w:top w:val="single" w:sz="4" w:space="0" w:color="auto"/>
        <w:left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2">
    <w:name w:val="xl122"/>
    <w:basedOn w:val="Normal"/>
    <w:rsid w:val="001A33AD"/>
    <w:pPr>
      <w:pBdr>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23">
    <w:name w:val="xl123"/>
    <w:basedOn w:val="Normal"/>
    <w:rsid w:val="001A33AD"/>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4">
    <w:name w:val="xl124"/>
    <w:basedOn w:val="Normal"/>
    <w:rsid w:val="001A33AD"/>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25">
    <w:name w:val="xl125"/>
    <w:basedOn w:val="Normal"/>
    <w:rsid w:val="001A33AD"/>
    <w:pPr>
      <w:spacing w:before="100" w:beforeAutospacing="1" w:after="100" w:afterAutospacing="1"/>
      <w:textAlignment w:val="center"/>
    </w:pPr>
    <w:rPr>
      <w:rFonts w:eastAsia="Times New Roman" w:cs="Arial"/>
      <w:sz w:val="24"/>
      <w:lang w:eastAsia="es-CO"/>
    </w:rPr>
  </w:style>
  <w:style w:type="paragraph" w:customStyle="1" w:styleId="xl126">
    <w:name w:val="xl126"/>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27">
    <w:name w:val="xl127"/>
    <w:basedOn w:val="Normal"/>
    <w:rsid w:val="001A33A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lang w:eastAsia="es-CO"/>
    </w:rPr>
  </w:style>
  <w:style w:type="paragraph" w:customStyle="1" w:styleId="xl128">
    <w:name w:val="xl128"/>
    <w:basedOn w:val="Normal"/>
    <w:rsid w:val="001A33A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29">
    <w:name w:val="xl129"/>
    <w:basedOn w:val="Normal"/>
    <w:rsid w:val="001A33AD"/>
    <w:pPr>
      <w:pBdr>
        <w:top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Calibri"/>
      <w:sz w:val="24"/>
      <w:lang w:eastAsia="es-CO"/>
    </w:rPr>
  </w:style>
  <w:style w:type="paragraph" w:customStyle="1" w:styleId="xl130">
    <w:name w:val="xl130"/>
    <w:basedOn w:val="Normal"/>
    <w:rsid w:val="001A33AD"/>
    <w:pPr>
      <w:pBdr>
        <w:top w:val="single" w:sz="4" w:space="0" w:color="auto"/>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1">
    <w:name w:val="xl131"/>
    <w:basedOn w:val="Normal"/>
    <w:rsid w:val="001A33AD"/>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2">
    <w:name w:val="xl132"/>
    <w:basedOn w:val="Normal"/>
    <w:rsid w:val="001A33AD"/>
    <w:pPr>
      <w:pBdr>
        <w:top w:val="single" w:sz="4" w:space="0" w:color="auto"/>
        <w:lef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3">
    <w:name w:val="xl133"/>
    <w:basedOn w:val="Normal"/>
    <w:rsid w:val="001A33AD"/>
    <w:pPr>
      <w:pBdr>
        <w:top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4">
    <w:name w:val="xl134"/>
    <w:basedOn w:val="Normal"/>
    <w:rsid w:val="001A33A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5">
    <w:name w:val="xl135"/>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s-CO"/>
    </w:rPr>
  </w:style>
  <w:style w:type="paragraph" w:customStyle="1" w:styleId="xl136">
    <w:name w:val="xl136"/>
    <w:basedOn w:val="Normal"/>
    <w:rsid w:val="001A33AD"/>
    <w:pPr>
      <w:pBdr>
        <w:left w:val="single" w:sz="4" w:space="0" w:color="auto"/>
        <w:right w:val="single" w:sz="4" w:space="0" w:color="auto"/>
      </w:pBdr>
      <w:spacing w:before="100" w:beforeAutospacing="1" w:after="100" w:afterAutospacing="1"/>
      <w:textAlignment w:val="center"/>
    </w:pPr>
    <w:rPr>
      <w:rFonts w:ascii="Calibri" w:eastAsia="Times New Roman" w:hAnsi="Calibri" w:cs="Calibri"/>
      <w:sz w:val="24"/>
      <w:lang w:eastAsia="es-CO"/>
    </w:rPr>
  </w:style>
  <w:style w:type="paragraph" w:customStyle="1" w:styleId="xl137">
    <w:name w:val="xl137"/>
    <w:basedOn w:val="Normal"/>
    <w:rsid w:val="001A33AD"/>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8">
    <w:name w:val="xl138"/>
    <w:basedOn w:val="Normal"/>
    <w:rsid w:val="001A33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39">
    <w:name w:val="xl139"/>
    <w:basedOn w:val="Normal"/>
    <w:rsid w:val="001A33AD"/>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0">
    <w:name w:val="xl140"/>
    <w:basedOn w:val="Normal"/>
    <w:rsid w:val="001A33AD"/>
    <w:pPr>
      <w:pBdr>
        <w:top w:val="single" w:sz="4" w:space="0" w:color="auto"/>
        <w:bottom w:val="single" w:sz="4" w:space="0" w:color="auto"/>
      </w:pBdr>
      <w:spacing w:before="100" w:beforeAutospacing="1" w:after="100" w:afterAutospacing="1"/>
      <w:textAlignment w:val="top"/>
    </w:pPr>
    <w:rPr>
      <w:rFonts w:ascii="Calibri" w:eastAsia="Times New Roman" w:hAnsi="Calibri" w:cs="Calibri"/>
      <w:sz w:val="24"/>
      <w:lang w:eastAsia="es-CO"/>
    </w:rPr>
  </w:style>
  <w:style w:type="paragraph" w:customStyle="1" w:styleId="xl141">
    <w:name w:val="xl141"/>
    <w:basedOn w:val="Normal"/>
    <w:rsid w:val="001A33A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lang w:eastAsia="es-CO"/>
    </w:rPr>
  </w:style>
  <w:style w:type="paragraph" w:customStyle="1" w:styleId="xl142">
    <w:name w:val="xl142"/>
    <w:basedOn w:val="Normal"/>
    <w:rsid w:val="001A33AD"/>
    <w:pPr>
      <w:spacing w:before="100" w:beforeAutospacing="1" w:after="100" w:afterAutospacing="1"/>
      <w:jc w:val="center"/>
    </w:pPr>
    <w:rPr>
      <w:rFonts w:ascii="Calibri" w:eastAsia="Times New Roman" w:hAnsi="Calibri" w:cs="Calibri"/>
      <w:sz w:val="24"/>
      <w:lang w:eastAsia="es-CO"/>
    </w:rPr>
  </w:style>
  <w:style w:type="paragraph" w:customStyle="1" w:styleId="xl143">
    <w:name w:val="xl143"/>
    <w:basedOn w:val="Normal"/>
    <w:rsid w:val="001A33AD"/>
    <w:pPr>
      <w:pBdr>
        <w:bottom w:val="single" w:sz="4" w:space="0" w:color="000000"/>
      </w:pBdr>
      <w:spacing w:before="100" w:beforeAutospacing="1" w:after="100" w:afterAutospacing="1"/>
      <w:jc w:val="center"/>
    </w:pPr>
    <w:rPr>
      <w:rFonts w:ascii="Calibri" w:eastAsia="Times New Roman" w:hAnsi="Calibri" w:cs="Calibri"/>
      <w:sz w:val="24"/>
      <w:lang w:eastAsia="es-CO"/>
    </w:rPr>
  </w:style>
  <w:style w:type="paragraph" w:customStyle="1" w:styleId="xl144">
    <w:name w:val="xl144"/>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5">
    <w:name w:val="xl145"/>
    <w:basedOn w:val="Normal"/>
    <w:rsid w:val="001A33AD"/>
    <w:pPr>
      <w:pBdr>
        <w:top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6">
    <w:name w:val="xl146"/>
    <w:basedOn w:val="Normal"/>
    <w:rsid w:val="001A33AD"/>
    <w:pPr>
      <w:pBdr>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7">
    <w:name w:val="xl147"/>
    <w:basedOn w:val="Normal"/>
    <w:rsid w:val="001A33AD"/>
    <w:pPr>
      <w:pBdr>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b/>
      <w:bCs/>
      <w:sz w:val="24"/>
      <w:lang w:eastAsia="es-CO"/>
    </w:rPr>
  </w:style>
  <w:style w:type="paragraph" w:customStyle="1" w:styleId="xl148">
    <w:name w:val="xl148"/>
    <w:basedOn w:val="Normal"/>
    <w:rsid w:val="001A33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4"/>
      <w:lang w:eastAsia="es-CO"/>
    </w:rPr>
  </w:style>
  <w:style w:type="paragraph" w:customStyle="1" w:styleId="xl149">
    <w:name w:val="xl149"/>
    <w:basedOn w:val="Normal"/>
    <w:rsid w:val="001A33AD"/>
    <w:pPr>
      <w:pBdr>
        <w:top w:val="single" w:sz="4" w:space="0" w:color="000000"/>
        <w:left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0">
    <w:name w:val="xl150"/>
    <w:basedOn w:val="Normal"/>
    <w:rsid w:val="001A33AD"/>
    <w:pPr>
      <w:pBdr>
        <w:top w:val="single" w:sz="4" w:space="0" w:color="000000"/>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1">
    <w:name w:val="xl151"/>
    <w:basedOn w:val="Normal"/>
    <w:rsid w:val="001A33AD"/>
    <w:pPr>
      <w:pBdr>
        <w:bottom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2">
    <w:name w:val="xl152"/>
    <w:basedOn w:val="Normal"/>
    <w:rsid w:val="001A33AD"/>
    <w:pPr>
      <w:pBdr>
        <w:lef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3">
    <w:name w:val="xl153"/>
    <w:basedOn w:val="Normal"/>
    <w:rsid w:val="001A33AD"/>
    <w:pP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4">
    <w:name w:val="xl154"/>
    <w:basedOn w:val="Normal"/>
    <w:rsid w:val="001A33AD"/>
    <w:pPr>
      <w:pBdr>
        <w:top w:val="single" w:sz="4" w:space="0" w:color="000000"/>
        <w:right w:val="single" w:sz="4" w:space="0" w:color="000000"/>
      </w:pBdr>
      <w:shd w:val="clear" w:color="F7CAAC" w:fill="F7CAAC"/>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5">
    <w:name w:val="xl155"/>
    <w:basedOn w:val="Normal"/>
    <w:rsid w:val="001A33AD"/>
    <w:pPr>
      <w:pBdr>
        <w:top w:val="single" w:sz="4" w:space="0" w:color="000000"/>
        <w:left w:val="single" w:sz="4" w:space="0" w:color="000000"/>
        <w:right w:val="single" w:sz="4" w:space="0" w:color="000000"/>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6">
    <w:name w:val="xl156"/>
    <w:basedOn w:val="Normal"/>
    <w:rsid w:val="001A33AD"/>
    <w:pPr>
      <w:pBdr>
        <w:top w:val="single" w:sz="4" w:space="0" w:color="000000"/>
        <w:left w:val="single" w:sz="4" w:space="0" w:color="000000"/>
        <w:right w:val="single" w:sz="4" w:space="0" w:color="000000"/>
      </w:pBdr>
      <w:spacing w:before="100" w:beforeAutospacing="1" w:after="100" w:afterAutospacing="1"/>
    </w:pPr>
    <w:rPr>
      <w:rFonts w:ascii="Calibri" w:eastAsia="Times New Roman" w:hAnsi="Calibri" w:cs="Calibri"/>
      <w:sz w:val="24"/>
      <w:lang w:eastAsia="es-CO"/>
    </w:rPr>
  </w:style>
  <w:style w:type="paragraph" w:customStyle="1" w:styleId="xl157">
    <w:name w:val="xl157"/>
    <w:basedOn w:val="Normal"/>
    <w:rsid w:val="001A33AD"/>
    <w:pPr>
      <w:pBdr>
        <w:top w:val="single" w:sz="4" w:space="0" w:color="000000"/>
        <w:left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 w:type="paragraph" w:customStyle="1" w:styleId="xl158">
    <w:name w:val="xl158"/>
    <w:basedOn w:val="Normal"/>
    <w:rsid w:val="001A33AD"/>
    <w:pPr>
      <w:pBdr>
        <w:top w:val="single" w:sz="4" w:space="0" w:color="000000"/>
        <w:bottom w:val="single" w:sz="4" w:space="0" w:color="auto"/>
      </w:pBdr>
      <w:shd w:val="clear" w:color="BFBFBF" w:fill="BFBFBF"/>
      <w:spacing w:before="100" w:beforeAutospacing="1" w:after="100" w:afterAutospacing="1"/>
      <w:jc w:val="center"/>
      <w:textAlignment w:val="center"/>
    </w:pPr>
    <w:rPr>
      <w:rFonts w:ascii="Calibri" w:eastAsia="Times New Roman" w:hAnsi="Calibri" w:cs="Calibri"/>
      <w:b/>
      <w:bCs/>
      <w:color w:val="000000"/>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0549">
      <w:bodyDiv w:val="1"/>
      <w:marLeft w:val="0"/>
      <w:marRight w:val="0"/>
      <w:marTop w:val="0"/>
      <w:marBottom w:val="0"/>
      <w:divBdr>
        <w:top w:val="none" w:sz="0" w:space="0" w:color="auto"/>
        <w:left w:val="none" w:sz="0" w:space="0" w:color="auto"/>
        <w:bottom w:val="none" w:sz="0" w:space="0" w:color="auto"/>
        <w:right w:val="none" w:sz="0" w:space="0" w:color="auto"/>
      </w:divBdr>
      <w:divsChild>
        <w:div w:id="2128232869">
          <w:marLeft w:val="0"/>
          <w:marRight w:val="0"/>
          <w:marTop w:val="0"/>
          <w:marBottom w:val="0"/>
          <w:divBdr>
            <w:top w:val="none" w:sz="0" w:space="0" w:color="auto"/>
            <w:left w:val="none" w:sz="0" w:space="0" w:color="auto"/>
            <w:bottom w:val="none" w:sz="0" w:space="0" w:color="auto"/>
            <w:right w:val="none" w:sz="0" w:space="0" w:color="auto"/>
          </w:divBdr>
          <w:divsChild>
            <w:div w:id="16226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6461">
      <w:bodyDiv w:val="1"/>
      <w:marLeft w:val="0"/>
      <w:marRight w:val="0"/>
      <w:marTop w:val="0"/>
      <w:marBottom w:val="0"/>
      <w:divBdr>
        <w:top w:val="none" w:sz="0" w:space="0" w:color="auto"/>
        <w:left w:val="none" w:sz="0" w:space="0" w:color="auto"/>
        <w:bottom w:val="none" w:sz="0" w:space="0" w:color="auto"/>
        <w:right w:val="none" w:sz="0" w:space="0" w:color="auto"/>
      </w:divBdr>
    </w:div>
    <w:div w:id="773747022">
      <w:bodyDiv w:val="1"/>
      <w:marLeft w:val="0"/>
      <w:marRight w:val="0"/>
      <w:marTop w:val="0"/>
      <w:marBottom w:val="0"/>
      <w:divBdr>
        <w:top w:val="none" w:sz="0" w:space="0" w:color="auto"/>
        <w:left w:val="none" w:sz="0" w:space="0" w:color="auto"/>
        <w:bottom w:val="none" w:sz="0" w:space="0" w:color="auto"/>
        <w:right w:val="none" w:sz="0" w:space="0" w:color="auto"/>
      </w:divBdr>
    </w:div>
    <w:div w:id="1362435892">
      <w:bodyDiv w:val="1"/>
      <w:marLeft w:val="0"/>
      <w:marRight w:val="0"/>
      <w:marTop w:val="0"/>
      <w:marBottom w:val="0"/>
      <w:divBdr>
        <w:top w:val="none" w:sz="0" w:space="0" w:color="auto"/>
        <w:left w:val="none" w:sz="0" w:space="0" w:color="auto"/>
        <w:bottom w:val="none" w:sz="0" w:space="0" w:color="auto"/>
        <w:right w:val="none" w:sz="0" w:space="0" w:color="auto"/>
      </w:divBdr>
    </w:div>
    <w:div w:id="142391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dpc.gov.co/indice-de-informacion-clasificada-y-reservada/" TargetMode="External"/><Relationship Id="rId26" Type="http://schemas.openxmlformats.org/officeDocument/2006/relationships/hyperlink" Target="http://www.datos.gov.co" TargetMode="External"/><Relationship Id="rId3" Type="http://schemas.openxmlformats.org/officeDocument/2006/relationships/settings" Target="settings.xml"/><Relationship Id="rId21" Type="http://schemas.openxmlformats.org/officeDocument/2006/relationships/hyperlink" Target="https://idpc.gov.co/10-6-tablas-de-retencion-documental-y-tabla-de-valoracion-documental/" TargetMode="External"/><Relationship Id="rId7" Type="http://schemas.openxmlformats.org/officeDocument/2006/relationships/hyperlink" Target="https://www.gov.co" TargetMode="External"/><Relationship Id="rId12" Type="http://schemas.openxmlformats.org/officeDocument/2006/relationships/image" Target="media/image5.png"/><Relationship Id="rId17" Type="http://schemas.openxmlformats.org/officeDocument/2006/relationships/hyperlink" Target="https://idpc.gov.co/10-2-registro-de-activos-de-informacion/"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idpc.gov.co/10-5-programa-de-gestion-documenta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datos.gov.co"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dpc.gov.co/10-4-esquema-de-publicacion-de-informac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dpc.gov.co/Transparencia/Resolucion%20372_2018.pd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4325</Words>
  <Characters>23791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28060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Eleana Marcela Paez Urrego</cp:lastModifiedBy>
  <cp:revision>2</cp:revision>
  <cp:lastPrinted>2022-02-15T02:15:00Z</cp:lastPrinted>
  <dcterms:created xsi:type="dcterms:W3CDTF">2022-03-01T01:01:00Z</dcterms:created>
  <dcterms:modified xsi:type="dcterms:W3CDTF">2022-03-01T01:01:00Z</dcterms:modified>
  <cp:category/>
  <cp:version>4</cp:version>
</cp:coreProperties>
</file>