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5"/>
        <w:gridCol w:w="834"/>
        <w:gridCol w:w="833"/>
        <w:gridCol w:w="833"/>
        <w:gridCol w:w="833"/>
        <w:gridCol w:w="833"/>
        <w:gridCol w:w="837"/>
      </w:tblGrid>
      <w:tr w:rsidR="0045782D" w14:paraId="0A3D8AC3" w14:textId="77777777" w:rsidTr="00F715CB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12923681" w14:textId="558DB7A2" w:rsidR="0045782D" w:rsidRPr="00AD5687" w:rsidRDefault="0045782D" w:rsidP="00F715CB">
            <w:pPr>
              <w:jc w:val="both"/>
              <w:rPr>
                <w:b/>
                <w:sz w:val="20"/>
                <w:szCs w:val="22"/>
              </w:rPr>
            </w:pPr>
            <w:bookmarkStart w:id="0" w:name="_GoBack"/>
            <w:bookmarkEnd w:id="0"/>
            <w:r w:rsidRPr="00AD5687">
              <w:rPr>
                <w:rFonts w:cs="Arial"/>
                <w:b/>
                <w:sz w:val="20"/>
                <w:szCs w:val="22"/>
              </w:rPr>
              <w:t>FECHA DE EMISIÓN DEL INFORME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14398F64" w14:textId="707D4FA8" w:rsidR="0045782D" w:rsidRPr="0045782D" w:rsidRDefault="0045782D" w:rsidP="00F715CB">
            <w:pPr>
              <w:jc w:val="center"/>
              <w:rPr>
                <w:b/>
                <w:color w:val="FFFFFF" w:themeColor="background1"/>
              </w:rPr>
            </w:pPr>
            <w:r w:rsidRPr="0045782D">
              <w:rPr>
                <w:b/>
              </w:rPr>
              <w:t>DÍA</w:t>
            </w:r>
          </w:p>
        </w:tc>
        <w:tc>
          <w:tcPr>
            <w:tcW w:w="472" w:type="pct"/>
            <w:vAlign w:val="center"/>
          </w:tcPr>
          <w:p w14:paraId="7F3EAFB0" w14:textId="7199D0EB" w:rsidR="0045782D" w:rsidRPr="00D357BD" w:rsidRDefault="00F715CB" w:rsidP="00F715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A43D5">
              <w:rPr>
                <w:bCs/>
              </w:rPr>
              <w:t>7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22E6F444" w14:textId="06ABE94D" w:rsidR="0045782D" w:rsidRPr="00D357BD" w:rsidRDefault="0045782D" w:rsidP="00F715CB">
            <w:pPr>
              <w:jc w:val="center"/>
              <w:rPr>
                <w:b/>
              </w:rPr>
            </w:pPr>
            <w:r w:rsidRPr="00D357BD">
              <w:rPr>
                <w:b/>
              </w:rPr>
              <w:t>MES</w:t>
            </w:r>
          </w:p>
        </w:tc>
        <w:tc>
          <w:tcPr>
            <w:tcW w:w="472" w:type="pct"/>
            <w:vAlign w:val="center"/>
          </w:tcPr>
          <w:p w14:paraId="11359BF7" w14:textId="5902793B" w:rsidR="0045782D" w:rsidRPr="00D357BD" w:rsidRDefault="00267F9E" w:rsidP="00F715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50ACFC3D" w14:textId="553771D2" w:rsidR="0045782D" w:rsidRPr="00D357BD" w:rsidRDefault="0045782D" w:rsidP="00F715CB">
            <w:pPr>
              <w:jc w:val="center"/>
              <w:rPr>
                <w:b/>
              </w:rPr>
            </w:pPr>
            <w:r w:rsidRPr="00D357BD">
              <w:rPr>
                <w:b/>
              </w:rPr>
              <w:t>AÑO</w:t>
            </w:r>
          </w:p>
        </w:tc>
        <w:tc>
          <w:tcPr>
            <w:tcW w:w="474" w:type="pct"/>
            <w:vAlign w:val="center"/>
          </w:tcPr>
          <w:p w14:paraId="0E41B807" w14:textId="2AE5D62D" w:rsidR="0045782D" w:rsidRPr="00D357BD" w:rsidRDefault="00D357BD" w:rsidP="00F715CB">
            <w:pPr>
              <w:jc w:val="center"/>
            </w:pPr>
            <w:r>
              <w:t>202</w:t>
            </w:r>
            <w:r w:rsidR="00267F9E">
              <w:t>2</w:t>
            </w:r>
          </w:p>
        </w:tc>
      </w:tr>
      <w:tr w:rsidR="0045782D" w14:paraId="149B1566" w14:textId="77777777" w:rsidTr="00F715CB">
        <w:trPr>
          <w:trHeight w:val="65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2AB28578" w14:textId="53990E23" w:rsidR="0045782D" w:rsidRPr="00AD5687" w:rsidRDefault="0045782D" w:rsidP="00F715CB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PROCESO, PROCEDIMIENTO O ACTIVIDAD EVALUADA</w:t>
            </w:r>
          </w:p>
        </w:tc>
        <w:tc>
          <w:tcPr>
            <w:tcW w:w="2834" w:type="pct"/>
            <w:gridSpan w:val="6"/>
            <w:vAlign w:val="center"/>
          </w:tcPr>
          <w:p w14:paraId="1DB71B32" w14:textId="0DC3148D" w:rsidR="00D357BD" w:rsidRPr="00D357BD" w:rsidRDefault="00267F9E" w:rsidP="00F715CB">
            <w:pPr>
              <w:pStyle w:val="Prrafodelista"/>
              <w:ind w:left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Seguimiento al Plan Anticorrupción y de Atención al Ciudadano Tercer Cuatrimestre 2021</w:t>
            </w:r>
          </w:p>
        </w:tc>
      </w:tr>
      <w:tr w:rsidR="0045782D" w14:paraId="1E7326F9" w14:textId="77777777" w:rsidTr="00F715CB">
        <w:trPr>
          <w:trHeight w:val="56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1C90A16E" w14:textId="33653F2A" w:rsidR="0045782D" w:rsidRPr="00AD5687" w:rsidRDefault="0045782D" w:rsidP="00F715CB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RESPONSABLE DEL PROCESO, PROCEDIMIENTO O ACTIVIDAD EVALUADA</w:t>
            </w:r>
          </w:p>
        </w:tc>
        <w:tc>
          <w:tcPr>
            <w:tcW w:w="2834" w:type="pct"/>
            <w:gridSpan w:val="6"/>
            <w:vAlign w:val="center"/>
          </w:tcPr>
          <w:p w14:paraId="738DB55A" w14:textId="75644F7C" w:rsidR="00D357BD" w:rsidRDefault="00267F9E" w:rsidP="00F715CB">
            <w:pPr>
              <w:pStyle w:val="Prrafodelista"/>
              <w:ind w:left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Todas las Dependencias</w:t>
            </w:r>
          </w:p>
        </w:tc>
      </w:tr>
      <w:tr w:rsidR="0045782D" w14:paraId="4069ACF0" w14:textId="77777777" w:rsidTr="00F715CB">
        <w:trPr>
          <w:trHeight w:val="563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42AAD9E0" w14:textId="64AC8B6E" w:rsidR="0045782D" w:rsidRPr="00AD5687" w:rsidRDefault="0045782D" w:rsidP="00F715CB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OBJETIVO GENERAL</w:t>
            </w:r>
          </w:p>
        </w:tc>
        <w:tc>
          <w:tcPr>
            <w:tcW w:w="2834" w:type="pct"/>
            <w:gridSpan w:val="6"/>
            <w:vAlign w:val="center"/>
          </w:tcPr>
          <w:p w14:paraId="2F7541CA" w14:textId="416FBC43" w:rsidR="00267F9E" w:rsidRDefault="00267F9E" w:rsidP="00F715CB">
            <w:pPr>
              <w:pStyle w:val="Prrafodelista"/>
              <w:ind w:left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Verificar el cumplimiento de las acciones incluidas en el Plan Anticorrupción y de Atención al Ciudadano</w:t>
            </w:r>
          </w:p>
        </w:tc>
      </w:tr>
      <w:tr w:rsidR="0045782D" w14:paraId="61758759" w14:textId="77777777" w:rsidTr="00F715CB">
        <w:trPr>
          <w:trHeight w:val="429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311C42C3" w14:textId="77D930F8" w:rsidR="0045782D" w:rsidRPr="00AD5687" w:rsidRDefault="0045782D" w:rsidP="00F715CB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ALCANCE</w:t>
            </w:r>
          </w:p>
        </w:tc>
        <w:tc>
          <w:tcPr>
            <w:tcW w:w="2834" w:type="pct"/>
            <w:gridSpan w:val="6"/>
            <w:vAlign w:val="center"/>
          </w:tcPr>
          <w:p w14:paraId="243A08EF" w14:textId="711A0775" w:rsidR="00267F9E" w:rsidRDefault="00267F9E" w:rsidP="00F715CB">
            <w:pPr>
              <w:pStyle w:val="Prrafodelista"/>
              <w:ind w:left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Tercer cuatrimestre de 2021</w:t>
            </w:r>
          </w:p>
        </w:tc>
      </w:tr>
      <w:tr w:rsidR="0045782D" w14:paraId="00289A75" w14:textId="77777777" w:rsidTr="00F715CB">
        <w:trPr>
          <w:trHeight w:val="1134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4D648F4" w14:textId="3189BBAA" w:rsidR="0045782D" w:rsidRPr="00AD5687" w:rsidRDefault="0045782D" w:rsidP="00F715CB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CRITERIOS</w:t>
            </w:r>
          </w:p>
        </w:tc>
        <w:tc>
          <w:tcPr>
            <w:tcW w:w="2834" w:type="pct"/>
            <w:gridSpan w:val="6"/>
            <w:vAlign w:val="center"/>
          </w:tcPr>
          <w:p w14:paraId="7682D877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6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 190 de 1995 “Por la cual se dictan normas tendientes a preservar la moralidad en la Administración Pública y se fijan disposiciones con el fin de erradicar la corrupción administrativa” </w:t>
            </w:r>
          </w:p>
          <w:p w14:paraId="14B7433F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6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 962 de 2005 “Por la cual se dictan disposiciones sobre racionalización de trámites y procedimientos administrativos de los organismos y entidades del Estado y de los particulares que ejercen funciones públicas o prestan servicios públicos” </w:t>
            </w:r>
          </w:p>
          <w:p w14:paraId="559B7EA9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6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 1474 de 2011 “Por la cual se dictan normas orientadas a fortalecer los mecanismos de prevención, investigación y sanción de actos de corrupción y la efectividad del control de la gestión pública” </w:t>
            </w:r>
          </w:p>
          <w:p w14:paraId="4956EAC4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6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 1712 de 2014 “Por medio de la cual se crea la Ley de Transparencia y del Derecho de Acceso a la Información Pública Nacional y se dictan otras disposiciones” </w:t>
            </w:r>
          </w:p>
          <w:p w14:paraId="26794516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6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 1755 de 2015 “Por medio de la cual se regula el Derecho Fundamental de Petición y se sustituye un título del Código de Procedimiento Administrativo y de lo Contencioso Administrativo” </w:t>
            </w:r>
          </w:p>
          <w:p w14:paraId="155C1557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6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 1757 de 2015 “Por la cual se dictan disposiciones en materia de promoción y protección del derecho a la participación democrática” </w:t>
            </w:r>
          </w:p>
          <w:p w14:paraId="08AB74DD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Decreto Ley 019 de 2012 “Por el cual se dictan normas para suprimir o reformar regulaciones, procedimientos y trámites innecesarios existentes en la Administración Pública”</w:t>
            </w:r>
          </w:p>
          <w:p w14:paraId="55142188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Decreto 103 de 2015 “Por el cual se reglamenta parcialmente la Ley 1712 de 2014 y se dictan otras disposiciones” </w:t>
            </w:r>
          </w:p>
          <w:p w14:paraId="005733E7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8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Decreto 1081 de 2015 “Por medio del cual se expide el Decreto Reglamentario Único del Sector Presidencia de la República” </w:t>
            </w:r>
          </w:p>
          <w:p w14:paraId="2C6EE210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8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Decreto 1083 de 2015 “Por medio del cual se expide el Decreto Único Reglamentario del Sector de Función Pública” </w:t>
            </w:r>
          </w:p>
          <w:p w14:paraId="34E33BAF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8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Decreto 124 de 2016 “Por el cual se sustituye el Título IV de la Parte 1 del Libro 2 del Decreto 1081 de 2015, relativo al “Plan Anticorrupción y de Atención al Ciudadano”” </w:t>
            </w:r>
          </w:p>
          <w:p w14:paraId="0C756F76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8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Decreto 648 de 2017 “Por el cual se modifica y adiciona el Decreto 1083 de 2015, Reglamentario Único del Sector de la Función Pública” </w:t>
            </w:r>
          </w:p>
          <w:p w14:paraId="1041AEE7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8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Decreto 612 del 4 de abril de 2018 “Por el cual se fijan directrices para la integración de los planes institucionales y estratégicos al Plan de Acción por parte de las entidades del Estado.”</w:t>
            </w:r>
          </w:p>
          <w:p w14:paraId="42DF8DC3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8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Decreto 338 de 2019 “Por el cual se modifica el Decreto 1083 de 2015, Único Reglamentario del Sector de Función Pública, en lo relacionado con el Sistema de Control Interno y se crea la Red Anticorrupción”</w:t>
            </w:r>
          </w:p>
          <w:p w14:paraId="154E5460" w14:textId="77777777" w:rsidR="00267F9E" w:rsidRDefault="00267F9E" w:rsidP="00F71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38" w:afterAutospacing="0"/>
              <w:ind w:left="3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Resolución 159 del 24 de agosto de 2020 “Por la cual se definen los estándares y directrices para publicar la información señalada en la Ley </w:t>
            </w:r>
            <w:hyperlink r:id="rId7" w:history="1">
              <w:r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1712 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del 2014 y se definen los requisitos materia de acceso a la información pública, accesibilidad web, seguridad digital, y datos abiertos”</w:t>
            </w:r>
          </w:p>
          <w:p w14:paraId="5BB9C0DC" w14:textId="790794E1" w:rsidR="0045782D" w:rsidRDefault="00267F9E" w:rsidP="00F715CB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15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Cartilla DAFP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“Estrategias para la Construcción del Plan Anticorrupción y de Atención al Ciudadano Versión 2”</w:t>
            </w:r>
          </w:p>
        </w:tc>
      </w:tr>
      <w:tr w:rsidR="0045782D" w14:paraId="4B60AD89" w14:textId="77777777" w:rsidTr="00F715CB">
        <w:trPr>
          <w:trHeight w:val="1134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7E409BC" w14:textId="3D499669" w:rsidR="0045782D" w:rsidRPr="00AD5687" w:rsidRDefault="0045782D" w:rsidP="00F715CB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lastRenderedPageBreak/>
              <w:t>PRUEBAS DE AUDITORÍA</w:t>
            </w:r>
          </w:p>
        </w:tc>
        <w:tc>
          <w:tcPr>
            <w:tcW w:w="2834" w:type="pct"/>
            <w:gridSpan w:val="6"/>
            <w:vAlign w:val="center"/>
          </w:tcPr>
          <w:p w14:paraId="52561496" w14:textId="1D314A61" w:rsidR="00267F9E" w:rsidRPr="00097C7B" w:rsidRDefault="00267F9E" w:rsidP="00F715CB">
            <w:pPr>
              <w:pStyle w:val="Prrafodelista"/>
              <w:ind w:left="0"/>
              <w:jc w:val="both"/>
              <w:rPr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Verificación documental alojados en las carpetas compartidas en Google Drive, registros sistemas de Información de la entidad y documentos e información registrada en la página Web de la entidad micrositio de transparencia y acceso a la información link: </w:t>
            </w:r>
            <w:r w:rsidR="00453BC2" w:rsidRPr="00453BC2">
              <w:rPr>
                <w:rFonts w:cs="Arial"/>
                <w:i/>
                <w:color w:val="0070C0"/>
                <w:sz w:val="20"/>
                <w:szCs w:val="20"/>
                <w:u w:val="single"/>
              </w:rPr>
              <w:t>https://idpc.gov.co/transparencia-y-acceso-a-la-informacion-publica-ley-1712-del-6-de-marzo-de-2014</w:t>
            </w:r>
          </w:p>
        </w:tc>
      </w:tr>
      <w:tr w:rsidR="0045782D" w14:paraId="3D795E5E" w14:textId="77777777" w:rsidTr="00F715CB">
        <w:trPr>
          <w:trHeight w:val="425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57E46A4" w14:textId="4B1C1735" w:rsidR="0045782D" w:rsidRPr="00AD5687" w:rsidRDefault="0045782D" w:rsidP="00F715CB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EQUIPO AUDITOR</w:t>
            </w:r>
          </w:p>
        </w:tc>
        <w:tc>
          <w:tcPr>
            <w:tcW w:w="2834" w:type="pct"/>
            <w:gridSpan w:val="6"/>
            <w:vAlign w:val="center"/>
          </w:tcPr>
          <w:p w14:paraId="0868F486" w14:textId="39ADD17C" w:rsidR="00453BC2" w:rsidRPr="00267F9E" w:rsidRDefault="00453BC2" w:rsidP="00F715CB">
            <w:pPr>
              <w:pStyle w:val="NormalWeb"/>
              <w:spacing w:before="0" w:beforeAutospacing="0" w:after="0" w:afterAutospacing="0"/>
              <w:jc w:val="both"/>
            </w:pPr>
            <w:r w:rsidRPr="00453BC2">
              <w:rPr>
                <w:rFonts w:ascii="Arial" w:hAnsi="Arial" w:cs="Arial"/>
                <w:color w:val="000000"/>
                <w:sz w:val="20"/>
                <w:szCs w:val="20"/>
              </w:rPr>
              <w:t>Edith Janneth Abella Sánchez</w:t>
            </w:r>
          </w:p>
        </w:tc>
      </w:tr>
      <w:tr w:rsidR="0045782D" w14:paraId="022BA904" w14:textId="77777777" w:rsidTr="00F715CB">
        <w:trPr>
          <w:trHeight w:val="701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C29F327" w14:textId="0FB316A9" w:rsidR="0045782D" w:rsidRPr="00AD5687" w:rsidRDefault="0045782D" w:rsidP="00F715CB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FECHA DE EJECUCIÓN DE LA AUDITORÍA</w:t>
            </w:r>
          </w:p>
        </w:tc>
        <w:tc>
          <w:tcPr>
            <w:tcW w:w="2834" w:type="pct"/>
            <w:gridSpan w:val="6"/>
            <w:vAlign w:val="center"/>
          </w:tcPr>
          <w:p w14:paraId="4061C768" w14:textId="3C24E9E9" w:rsidR="00453BC2" w:rsidRPr="00097C7B" w:rsidRDefault="009D04F0" w:rsidP="00F715CB">
            <w:pPr>
              <w:pStyle w:val="Prrafodelista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Del 1 al 17 de enero 2022 </w:t>
            </w:r>
          </w:p>
        </w:tc>
      </w:tr>
      <w:tr w:rsidR="0045782D" w14:paraId="48D3900F" w14:textId="77777777" w:rsidTr="00F715CB">
        <w:trPr>
          <w:trHeight w:val="825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5FFFB5D3" w14:textId="64791308" w:rsidR="0045782D" w:rsidRPr="00AD5687" w:rsidRDefault="0045782D" w:rsidP="00F715CB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INSUMOS</w:t>
            </w:r>
          </w:p>
        </w:tc>
        <w:tc>
          <w:tcPr>
            <w:tcW w:w="2834" w:type="pct"/>
            <w:gridSpan w:val="6"/>
            <w:vAlign w:val="center"/>
          </w:tcPr>
          <w:p w14:paraId="6FEF4268" w14:textId="5FED29BE" w:rsidR="00B573C1" w:rsidRPr="00F715CB" w:rsidRDefault="00B573C1" w:rsidP="00F715CB">
            <w:pPr>
              <w:pStyle w:val="Prrafodelista"/>
              <w:ind w:left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Los resultados, se fundamentan en la información</w:t>
            </w:r>
            <w:r w:rsidR="00F715CB" w:rsidRPr="00F715CB">
              <w:rPr>
                <w:rFonts w:cs="Arial"/>
                <w:color w:val="000000"/>
                <w:sz w:val="20"/>
                <w:szCs w:val="20"/>
              </w:rPr>
              <w:t xml:space="preserve"> solicitada a la Oficina Asesora de Planeación, a través del radicado 20221200</w:t>
            </w:r>
            <w:r w:rsidR="00F715CB">
              <w:rPr>
                <w:rFonts w:cs="Arial"/>
                <w:color w:val="000000"/>
                <w:sz w:val="20"/>
                <w:szCs w:val="20"/>
              </w:rPr>
              <w:t>00045</w:t>
            </w:r>
            <w:r w:rsidR="00F715CB" w:rsidRPr="00F715CB">
              <w:rPr>
                <w:rFonts w:cs="Arial"/>
                <w:color w:val="000000"/>
                <w:sz w:val="20"/>
                <w:szCs w:val="20"/>
              </w:rPr>
              <w:t xml:space="preserve">3 del 07/01/2022 y respondida con radicado </w:t>
            </w:r>
            <w:r w:rsidR="00F715CB">
              <w:rPr>
                <w:rFonts w:cs="Arial"/>
                <w:color w:val="000000"/>
                <w:sz w:val="20"/>
                <w:szCs w:val="20"/>
              </w:rPr>
              <w:t>2022220000051</w:t>
            </w:r>
            <w:r w:rsidR="00F715CB" w:rsidRPr="00F715CB">
              <w:rPr>
                <w:rFonts w:cs="Arial"/>
                <w:color w:val="000000"/>
                <w:sz w:val="20"/>
                <w:szCs w:val="20"/>
              </w:rPr>
              <w:t>3</w:t>
            </w:r>
            <w:r w:rsidR="00F715CB">
              <w:rPr>
                <w:rFonts w:cs="Arial"/>
                <w:color w:val="000000"/>
                <w:sz w:val="20"/>
                <w:szCs w:val="20"/>
              </w:rPr>
              <w:t xml:space="preserve"> del 07</w:t>
            </w:r>
            <w:r w:rsidR="00F715CB" w:rsidRPr="00F715CB">
              <w:rPr>
                <w:rFonts w:cs="Arial"/>
                <w:color w:val="000000"/>
                <w:sz w:val="20"/>
                <w:szCs w:val="20"/>
              </w:rPr>
              <w:t>/01/2022</w:t>
            </w:r>
            <w:r w:rsidR="00F715CB">
              <w:rPr>
                <w:rFonts w:cs="Arial"/>
                <w:color w:val="000000"/>
                <w:sz w:val="20"/>
                <w:szCs w:val="20"/>
              </w:rPr>
              <w:t>, para lo cual fueron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715CB">
              <w:rPr>
                <w:rFonts w:cs="Arial"/>
                <w:color w:val="000000"/>
                <w:sz w:val="20"/>
                <w:szCs w:val="20"/>
              </w:rPr>
              <w:t xml:space="preserve">verificados </w:t>
            </w:r>
            <w:r>
              <w:rPr>
                <w:rFonts w:cs="Arial"/>
                <w:color w:val="000000"/>
                <w:sz w:val="20"/>
                <w:szCs w:val="20"/>
              </w:rPr>
              <w:t>los documentos en la carpeta compartida de Google Drive y en lo publicado oficialmente en la página Web de la entidad botón de transparencia.</w:t>
            </w:r>
          </w:p>
        </w:tc>
      </w:tr>
      <w:tr w:rsidR="0045782D" w14:paraId="0ACC3BE1" w14:textId="77777777" w:rsidTr="00F715CB">
        <w:trPr>
          <w:trHeight w:val="753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74A6816" w14:textId="13DBF83E" w:rsidR="0045782D" w:rsidRPr="00AD5687" w:rsidRDefault="0045782D" w:rsidP="00F715CB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LIMITACIONES DE LA EVALUACIÓN Y/O SEGUIMIENTO</w:t>
            </w:r>
          </w:p>
        </w:tc>
        <w:tc>
          <w:tcPr>
            <w:tcW w:w="2834" w:type="pct"/>
            <w:gridSpan w:val="6"/>
            <w:vAlign w:val="center"/>
          </w:tcPr>
          <w:p w14:paraId="7C880F9F" w14:textId="00924241" w:rsidR="000C2BF3" w:rsidRPr="000C2BF3" w:rsidRDefault="000C2BF3" w:rsidP="00F715C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Ninguna</w:t>
            </w:r>
          </w:p>
        </w:tc>
      </w:tr>
    </w:tbl>
    <w:p w14:paraId="37630393" w14:textId="24C1FCBC" w:rsidR="00F1402C" w:rsidRDefault="00F1402C" w:rsidP="00D84F96">
      <w:pPr>
        <w:rPr>
          <w:rFonts w:cs="Arial"/>
          <w:b/>
        </w:rPr>
      </w:pPr>
    </w:p>
    <w:p w14:paraId="679F90E0" w14:textId="77777777" w:rsidR="00D84F96" w:rsidRDefault="00D84F96" w:rsidP="00D84F9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Conforme a lo establecido en la Ley 1474 de 2011 del Estatuto Anticorrupción, se debe elaborar anualmente una estrategia de lucha contra la corrupción y de atención al </w:t>
      </w:r>
      <w:r>
        <w:rPr>
          <w:rFonts w:ascii="Arial" w:hAnsi="Arial" w:cs="Arial"/>
          <w:color w:val="000000"/>
          <w:sz w:val="22"/>
          <w:szCs w:val="22"/>
        </w:rPr>
        <w:lastRenderedPageBreak/>
        <w:t>ciudadano, que contempla, entre otras cosas, el mapa de riesgos de corrupción en la respectiva entidad, las medidas concretas para mitigar esos riesgos, las estrategias anti trámites y los mecanismos para mejorar la atención al ciudadano.</w:t>
      </w:r>
    </w:p>
    <w:p w14:paraId="76212C5B" w14:textId="77777777" w:rsidR="00D84F96" w:rsidRDefault="00D84F96" w:rsidP="00D84F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85D18A" w14:textId="4AC4ACAC" w:rsidR="00D84F96" w:rsidRDefault="00D84F96" w:rsidP="00D84F9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Es responsabilidad de Control Interno efectuar tres (3) seguimientos al año, esto es, con corte al 30 de abril, 31 de agosto y 31 de diciembre, cuyo resultado debe ser publicado los primeros 10 días hábiles del mes siguiente, es decir, en mayo, septiembre y enero.</w:t>
      </w:r>
    </w:p>
    <w:p w14:paraId="440AB200" w14:textId="77777777" w:rsidR="00CC11D6" w:rsidRDefault="00CC11D6" w:rsidP="00D84F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C4981C" w14:textId="7F3F8CD5" w:rsidR="00D84F96" w:rsidRDefault="00D84F96" w:rsidP="00D84F9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Atendiendo lo anterior, se presenta el resultado de la evaluación con corte al 31 de diciembre de 2021.</w:t>
      </w:r>
    </w:p>
    <w:p w14:paraId="778695A4" w14:textId="77777777" w:rsidR="00D84F96" w:rsidRDefault="00D84F96" w:rsidP="00D84F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8CE5A8" w14:textId="77777777" w:rsidR="00F1402C" w:rsidRDefault="00F1402C" w:rsidP="007E187A">
      <w:pPr>
        <w:pStyle w:val="Prrafodelista"/>
        <w:rPr>
          <w:rFonts w:cs="Arial"/>
          <w:b/>
        </w:rPr>
      </w:pPr>
    </w:p>
    <w:p w14:paraId="45635FF4" w14:textId="59482FE9" w:rsidR="007E187A" w:rsidRPr="007E187A" w:rsidRDefault="007E187A" w:rsidP="00F330C3">
      <w:pPr>
        <w:pStyle w:val="Prrafodelista"/>
        <w:numPr>
          <w:ilvl w:val="0"/>
          <w:numId w:val="8"/>
        </w:numPr>
        <w:rPr>
          <w:rFonts w:cs="Arial"/>
          <w:b/>
        </w:rPr>
      </w:pPr>
      <w:r w:rsidRPr="007E187A">
        <w:rPr>
          <w:rFonts w:cs="Arial"/>
          <w:b/>
        </w:rPr>
        <w:t>RESULTADOS DE LA EVALUACIÓN Y/O SEGUIMIENTO</w:t>
      </w:r>
    </w:p>
    <w:p w14:paraId="1064F87F" w14:textId="77777777" w:rsidR="007E187A" w:rsidRPr="007E187A" w:rsidRDefault="007E187A" w:rsidP="007E187A">
      <w:pPr>
        <w:jc w:val="both"/>
        <w:rPr>
          <w:rFonts w:cs="Arial"/>
          <w:b/>
        </w:rPr>
      </w:pPr>
    </w:p>
    <w:p w14:paraId="466D3114" w14:textId="2125D3C5" w:rsidR="00D72363" w:rsidRDefault="00D72363" w:rsidP="00D7236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El PAAC cuenta con 48 acciones, por lo que se presenta a continuación el estado de acciones por componentes:</w:t>
      </w:r>
    </w:p>
    <w:p w14:paraId="5B9E7DD8" w14:textId="26C3488C" w:rsidR="00D72363" w:rsidRDefault="00D72363" w:rsidP="007E187A">
      <w:pPr>
        <w:jc w:val="both"/>
        <w:rPr>
          <w:rFonts w:cs="Arial"/>
          <w:b/>
        </w:rPr>
      </w:pPr>
    </w:p>
    <w:p w14:paraId="663B9D9C" w14:textId="3BA45BA1" w:rsidR="00D72363" w:rsidRPr="00826BB0" w:rsidRDefault="00BA3AAA" w:rsidP="007E187A">
      <w:pPr>
        <w:jc w:val="both"/>
        <w:rPr>
          <w:rFonts w:cs="Arial"/>
          <w:b/>
          <w:i/>
          <w:sz w:val="16"/>
          <w:szCs w:val="22"/>
        </w:rPr>
      </w:pPr>
      <w:r w:rsidRPr="00826BB0">
        <w:rPr>
          <w:rFonts w:cs="Arial"/>
          <w:b/>
          <w:i/>
          <w:sz w:val="20"/>
          <w:szCs w:val="21"/>
        </w:rPr>
        <w:t>Tabla 1. Estado acciones por componentes y subcomponentes a 31 de diciembre 2021</w:t>
      </w:r>
    </w:p>
    <w:tbl>
      <w:tblPr>
        <w:tblW w:w="8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197"/>
        <w:gridCol w:w="1790"/>
        <w:gridCol w:w="1710"/>
        <w:gridCol w:w="1232"/>
        <w:gridCol w:w="1176"/>
        <w:gridCol w:w="1253"/>
      </w:tblGrid>
      <w:tr w:rsidR="007766D7" w:rsidRPr="007766D7" w14:paraId="04A80FC9" w14:textId="77777777" w:rsidTr="007766D7">
        <w:trPr>
          <w:trHeight w:val="221"/>
          <w:tblHeader/>
        </w:trPr>
        <w:tc>
          <w:tcPr>
            <w:tcW w:w="632" w:type="dxa"/>
            <w:shd w:val="clear" w:color="000000" w:fill="99CCFF"/>
            <w:vAlign w:val="center"/>
            <w:hideMark/>
          </w:tcPr>
          <w:p w14:paraId="77293580" w14:textId="2D0C0206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197" w:type="dxa"/>
            <w:shd w:val="clear" w:color="000000" w:fill="99CCFF"/>
            <w:vAlign w:val="center"/>
            <w:hideMark/>
          </w:tcPr>
          <w:p w14:paraId="02F6684A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Componente</w:t>
            </w:r>
          </w:p>
        </w:tc>
        <w:tc>
          <w:tcPr>
            <w:tcW w:w="1790" w:type="dxa"/>
            <w:shd w:val="clear" w:color="000000" w:fill="99CCFF"/>
            <w:vAlign w:val="center"/>
            <w:hideMark/>
          </w:tcPr>
          <w:p w14:paraId="420B8ADE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Subcomponentes</w:t>
            </w:r>
          </w:p>
        </w:tc>
        <w:tc>
          <w:tcPr>
            <w:tcW w:w="1710" w:type="dxa"/>
            <w:shd w:val="clear" w:color="000000" w:fill="99CCFF"/>
            <w:vAlign w:val="center"/>
            <w:hideMark/>
          </w:tcPr>
          <w:p w14:paraId="4FDB3207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Acciones por Subcomponente</w:t>
            </w:r>
          </w:p>
        </w:tc>
        <w:tc>
          <w:tcPr>
            <w:tcW w:w="1232" w:type="dxa"/>
            <w:shd w:val="clear" w:color="000000" w:fill="00B050"/>
            <w:vAlign w:val="center"/>
            <w:hideMark/>
          </w:tcPr>
          <w:p w14:paraId="271B1D0C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Acciones Cumplidas</w:t>
            </w:r>
          </w:p>
        </w:tc>
        <w:tc>
          <w:tcPr>
            <w:tcW w:w="1176" w:type="dxa"/>
            <w:shd w:val="clear" w:color="000000" w:fill="FFFF00"/>
            <w:vAlign w:val="center"/>
            <w:hideMark/>
          </w:tcPr>
          <w:p w14:paraId="56361B6B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Acciones Ejecutadas Parcialmente</w:t>
            </w:r>
          </w:p>
        </w:tc>
        <w:tc>
          <w:tcPr>
            <w:tcW w:w="1253" w:type="dxa"/>
            <w:shd w:val="clear" w:color="000000" w:fill="FF0000"/>
            <w:vAlign w:val="center"/>
            <w:hideMark/>
          </w:tcPr>
          <w:p w14:paraId="74C6AB57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Acciones incumplidas</w:t>
            </w:r>
          </w:p>
        </w:tc>
      </w:tr>
      <w:tr w:rsidR="007766D7" w:rsidRPr="007766D7" w14:paraId="010DF30F" w14:textId="77777777" w:rsidTr="007766D7">
        <w:trPr>
          <w:trHeight w:val="810"/>
        </w:trPr>
        <w:tc>
          <w:tcPr>
            <w:tcW w:w="632" w:type="dxa"/>
            <w:vMerge w:val="restart"/>
            <w:shd w:val="clear" w:color="auto" w:fill="auto"/>
            <w:noWrap/>
            <w:vAlign w:val="center"/>
            <w:hideMark/>
          </w:tcPr>
          <w:p w14:paraId="3E724A2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14:paraId="419322CA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Gestión del Riesgo de Corrupción - Mapa de Riesgos de Corrupción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44AA85CF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Política de Administración de Riesgos de Corrupción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CDC3BA7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07E94D43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noWrap/>
            <w:vAlign w:val="center"/>
            <w:hideMark/>
          </w:tcPr>
          <w:p w14:paraId="1C45C3C8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noWrap/>
            <w:vAlign w:val="center"/>
            <w:hideMark/>
          </w:tcPr>
          <w:p w14:paraId="3B748B3A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3D8615DD" w14:textId="77777777" w:rsidTr="007766D7">
        <w:trPr>
          <w:trHeight w:val="540"/>
        </w:trPr>
        <w:tc>
          <w:tcPr>
            <w:tcW w:w="632" w:type="dxa"/>
            <w:vMerge/>
            <w:vAlign w:val="center"/>
            <w:hideMark/>
          </w:tcPr>
          <w:p w14:paraId="0F3248C4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171E312B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7C50F2CE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2. Construcción del mapa de Riesgos de Corrupción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87FC986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69630580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76" w:type="dxa"/>
            <w:shd w:val="clear" w:color="000000" w:fill="FFFFCC"/>
            <w:noWrap/>
            <w:vAlign w:val="center"/>
            <w:hideMark/>
          </w:tcPr>
          <w:p w14:paraId="16D6E7F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noWrap/>
            <w:vAlign w:val="center"/>
            <w:hideMark/>
          </w:tcPr>
          <w:p w14:paraId="4D8D370F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321B3A9C" w14:textId="77777777" w:rsidTr="007766D7">
        <w:trPr>
          <w:trHeight w:val="270"/>
        </w:trPr>
        <w:tc>
          <w:tcPr>
            <w:tcW w:w="632" w:type="dxa"/>
            <w:vMerge/>
            <w:vAlign w:val="center"/>
            <w:hideMark/>
          </w:tcPr>
          <w:p w14:paraId="5C0189D6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4211CCAE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3FE6054E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3. Consulta y divulgación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6664FDC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4E12928C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176" w:type="dxa"/>
            <w:shd w:val="clear" w:color="000000" w:fill="FFFFCC"/>
            <w:noWrap/>
            <w:vAlign w:val="center"/>
            <w:hideMark/>
          </w:tcPr>
          <w:p w14:paraId="398CE6CB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53" w:type="dxa"/>
            <w:shd w:val="clear" w:color="000000" w:fill="FFCCCC"/>
            <w:noWrap/>
            <w:vAlign w:val="center"/>
            <w:hideMark/>
          </w:tcPr>
          <w:p w14:paraId="6D7EBCBB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32CFC4D8" w14:textId="77777777" w:rsidTr="007766D7">
        <w:trPr>
          <w:trHeight w:val="270"/>
        </w:trPr>
        <w:tc>
          <w:tcPr>
            <w:tcW w:w="632" w:type="dxa"/>
            <w:vMerge/>
            <w:vAlign w:val="center"/>
            <w:hideMark/>
          </w:tcPr>
          <w:p w14:paraId="59A44312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0DADDF8F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62663881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4. Monitoreo o Revisión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692989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40F57A27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176" w:type="dxa"/>
            <w:shd w:val="clear" w:color="000000" w:fill="FFFFCC"/>
            <w:noWrap/>
            <w:vAlign w:val="center"/>
            <w:hideMark/>
          </w:tcPr>
          <w:p w14:paraId="245C1013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noWrap/>
            <w:vAlign w:val="center"/>
            <w:hideMark/>
          </w:tcPr>
          <w:p w14:paraId="7AE15D93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2AC92992" w14:textId="77777777" w:rsidTr="007766D7">
        <w:trPr>
          <w:trHeight w:val="270"/>
        </w:trPr>
        <w:tc>
          <w:tcPr>
            <w:tcW w:w="632" w:type="dxa"/>
            <w:vMerge/>
            <w:vAlign w:val="center"/>
            <w:hideMark/>
          </w:tcPr>
          <w:p w14:paraId="67BF506F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317D947B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39B60A93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5. Seguimiento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C085B7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4FD68EE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noWrap/>
            <w:vAlign w:val="center"/>
            <w:hideMark/>
          </w:tcPr>
          <w:p w14:paraId="753604F1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noWrap/>
            <w:vAlign w:val="center"/>
            <w:hideMark/>
          </w:tcPr>
          <w:p w14:paraId="34689281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5A9840BF" w14:textId="77777777" w:rsidTr="007766D7">
        <w:trPr>
          <w:trHeight w:val="108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24C7D31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4B6B684A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Racionalización de trámites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728CAE28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Otros procedimientos Administrativos de cara al usuario: racionalización administrativa.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A022C1F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606350D7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176" w:type="dxa"/>
            <w:shd w:val="clear" w:color="000000" w:fill="FFFFCC"/>
            <w:noWrap/>
            <w:vAlign w:val="center"/>
            <w:hideMark/>
          </w:tcPr>
          <w:p w14:paraId="5D212F0E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noWrap/>
            <w:vAlign w:val="center"/>
            <w:hideMark/>
          </w:tcPr>
          <w:p w14:paraId="5D171BF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7E29ECBD" w14:textId="77777777" w:rsidTr="007766D7">
        <w:trPr>
          <w:trHeight w:val="810"/>
        </w:trPr>
        <w:tc>
          <w:tcPr>
            <w:tcW w:w="632" w:type="dxa"/>
            <w:vMerge w:val="restart"/>
            <w:shd w:val="clear" w:color="auto" w:fill="auto"/>
            <w:noWrap/>
            <w:vAlign w:val="center"/>
            <w:hideMark/>
          </w:tcPr>
          <w:p w14:paraId="1DF8C8D0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14:paraId="6C3C9CD7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Rendición de Cuentas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6C59D6AB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Información de Calidad y en lenguaje comprensible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8D53FC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41DBB9BF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2571AE01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152D1922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0E8F83C4" w14:textId="77777777" w:rsidTr="007766D7">
        <w:trPr>
          <w:trHeight w:val="810"/>
        </w:trPr>
        <w:tc>
          <w:tcPr>
            <w:tcW w:w="632" w:type="dxa"/>
            <w:vMerge/>
            <w:vAlign w:val="center"/>
            <w:hideMark/>
          </w:tcPr>
          <w:p w14:paraId="296C0220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2F9A5C05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4FC8EFDA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2. Diálogo de doble vía con la ciudadanía y sus organizaciones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AA65556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0A24A79A" w14:textId="2F0A3651" w:rsidR="007766D7" w:rsidRPr="007766D7" w:rsidRDefault="001C7BD1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3B3E6CE1" w14:textId="67096602" w:rsidR="007766D7" w:rsidRPr="007766D7" w:rsidRDefault="001C7BD1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64E3B479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3F2502AE" w14:textId="77777777" w:rsidTr="007766D7">
        <w:trPr>
          <w:trHeight w:val="810"/>
        </w:trPr>
        <w:tc>
          <w:tcPr>
            <w:tcW w:w="632" w:type="dxa"/>
            <w:vMerge/>
            <w:vAlign w:val="center"/>
            <w:hideMark/>
          </w:tcPr>
          <w:p w14:paraId="32BEA8B5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575AEB90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560BDBE9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3. Incentivos para motivar la cultura de la rendición y petición de cuentas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00695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4AD6E7F5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318D6D4F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19A7383C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378FAB3D" w14:textId="77777777" w:rsidTr="007766D7">
        <w:trPr>
          <w:trHeight w:val="810"/>
        </w:trPr>
        <w:tc>
          <w:tcPr>
            <w:tcW w:w="632" w:type="dxa"/>
            <w:vMerge/>
            <w:vAlign w:val="center"/>
            <w:hideMark/>
          </w:tcPr>
          <w:p w14:paraId="09E49F7C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22C71C75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4B9B8820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4. Evaluación y retroalimentación a la gestión Institucional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8C20260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35E1F30B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3835C27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017318EB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3730CF75" w14:textId="77777777" w:rsidTr="007766D7">
        <w:trPr>
          <w:trHeight w:val="1080"/>
        </w:trPr>
        <w:tc>
          <w:tcPr>
            <w:tcW w:w="632" w:type="dxa"/>
            <w:vMerge w:val="restart"/>
            <w:shd w:val="clear" w:color="auto" w:fill="auto"/>
            <w:noWrap/>
            <w:vAlign w:val="center"/>
            <w:hideMark/>
          </w:tcPr>
          <w:p w14:paraId="1DA92206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lastRenderedPageBreak/>
              <w:t>4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14:paraId="7C8AFD78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Servicio al Ciudadano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7B2AD4C2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Estructura Administrativa y Direccionamiento estratégico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5311388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36C7286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116551F5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7705DE5F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7E8F6951" w14:textId="77777777" w:rsidTr="007766D7">
        <w:trPr>
          <w:trHeight w:val="540"/>
        </w:trPr>
        <w:tc>
          <w:tcPr>
            <w:tcW w:w="632" w:type="dxa"/>
            <w:vMerge/>
            <w:vAlign w:val="center"/>
            <w:hideMark/>
          </w:tcPr>
          <w:p w14:paraId="66939989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47761B66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1905F0D9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2. Fortalecimiento de los canales de atención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3F571A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4A16C03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65D87A3B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3CD6267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73B28552" w14:textId="77777777" w:rsidTr="007766D7">
        <w:trPr>
          <w:trHeight w:val="270"/>
        </w:trPr>
        <w:tc>
          <w:tcPr>
            <w:tcW w:w="632" w:type="dxa"/>
            <w:vMerge/>
            <w:vAlign w:val="center"/>
            <w:hideMark/>
          </w:tcPr>
          <w:p w14:paraId="5EC83572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41B73B58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2D6C6C25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3. Talento Humano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7DA4BA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762552E0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10E95D61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63B00B68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45E83B51" w14:textId="77777777" w:rsidTr="007766D7">
        <w:trPr>
          <w:trHeight w:val="540"/>
        </w:trPr>
        <w:tc>
          <w:tcPr>
            <w:tcW w:w="632" w:type="dxa"/>
            <w:vMerge/>
            <w:vAlign w:val="center"/>
            <w:hideMark/>
          </w:tcPr>
          <w:p w14:paraId="22B19440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11911FAA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07786A05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4. Normativo y Procedimental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187EA3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4630A30F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52EC4BF1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4E2A400E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28804F7B" w14:textId="77777777" w:rsidTr="007766D7">
        <w:trPr>
          <w:trHeight w:val="540"/>
        </w:trPr>
        <w:tc>
          <w:tcPr>
            <w:tcW w:w="632" w:type="dxa"/>
            <w:vMerge/>
            <w:vAlign w:val="center"/>
            <w:hideMark/>
          </w:tcPr>
          <w:p w14:paraId="79387148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055ED5B7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22397904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5. Relacionamiento con el ciudadano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1E45663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7FD2D5D3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5661F2E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06AFFCC2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185CEFB3" w14:textId="77777777" w:rsidTr="007766D7">
        <w:trPr>
          <w:trHeight w:val="540"/>
        </w:trPr>
        <w:tc>
          <w:tcPr>
            <w:tcW w:w="632" w:type="dxa"/>
            <w:vMerge w:val="restart"/>
            <w:shd w:val="clear" w:color="auto" w:fill="auto"/>
            <w:noWrap/>
            <w:vAlign w:val="center"/>
            <w:hideMark/>
          </w:tcPr>
          <w:p w14:paraId="5D75F39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14:paraId="110E6310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Transparencia y acceso a la información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6FFB1EAC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Lineamientos de transparencia activa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FD49FBA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6B006421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090E43B9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0348BBE5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2832271A" w14:textId="77777777" w:rsidTr="007766D7">
        <w:trPr>
          <w:trHeight w:val="540"/>
        </w:trPr>
        <w:tc>
          <w:tcPr>
            <w:tcW w:w="632" w:type="dxa"/>
            <w:vMerge/>
            <w:vAlign w:val="center"/>
            <w:hideMark/>
          </w:tcPr>
          <w:p w14:paraId="40645FA6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65B647EE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1CF2737E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2. Lineamientos de transparencia pasiva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C45702F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2EED7286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664F420A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09A55ECA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594CDABF" w14:textId="77777777" w:rsidTr="007766D7">
        <w:trPr>
          <w:trHeight w:val="810"/>
        </w:trPr>
        <w:tc>
          <w:tcPr>
            <w:tcW w:w="632" w:type="dxa"/>
            <w:vMerge/>
            <w:vAlign w:val="center"/>
            <w:hideMark/>
          </w:tcPr>
          <w:p w14:paraId="2712E15F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1A5CB395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71622C33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3. Elaboración de los instrumentos de Gestión de la información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E468EE5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53E4D676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0D043C98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769550E2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1D89D61F" w14:textId="77777777" w:rsidTr="007766D7">
        <w:trPr>
          <w:trHeight w:val="540"/>
        </w:trPr>
        <w:tc>
          <w:tcPr>
            <w:tcW w:w="632" w:type="dxa"/>
            <w:vMerge/>
            <w:vAlign w:val="center"/>
            <w:hideMark/>
          </w:tcPr>
          <w:p w14:paraId="7470B9E9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23990865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40E3E222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4. Criterio diferencial de accesibilidad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1670B38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69262727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77B8EBC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0C39B964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0DDC5D64" w14:textId="77777777" w:rsidTr="007766D7">
        <w:trPr>
          <w:trHeight w:val="540"/>
        </w:trPr>
        <w:tc>
          <w:tcPr>
            <w:tcW w:w="632" w:type="dxa"/>
            <w:vMerge/>
            <w:vAlign w:val="center"/>
            <w:hideMark/>
          </w:tcPr>
          <w:p w14:paraId="4BE81DDB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22CE360C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5BFC3BE1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5. Monitoreo de acceso a la información Pública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692188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5DC4D60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6354A23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40E0DF1E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72B8ADD6" w14:textId="77777777" w:rsidTr="007766D7">
        <w:trPr>
          <w:trHeight w:val="54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9F7707C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04A336DE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Iniciativas Adicionales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047C92C2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Iniciativas Adicionales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A16C11E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32" w:type="dxa"/>
            <w:shd w:val="clear" w:color="000000" w:fill="CCFFCC"/>
            <w:noWrap/>
            <w:vAlign w:val="center"/>
            <w:hideMark/>
          </w:tcPr>
          <w:p w14:paraId="15FB6EEC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76" w:type="dxa"/>
            <w:shd w:val="clear" w:color="000000" w:fill="FFFFCC"/>
            <w:vAlign w:val="center"/>
            <w:hideMark/>
          </w:tcPr>
          <w:p w14:paraId="69DB1119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53" w:type="dxa"/>
            <w:shd w:val="clear" w:color="000000" w:fill="FFCCCC"/>
            <w:vAlign w:val="center"/>
            <w:hideMark/>
          </w:tcPr>
          <w:p w14:paraId="142BE339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7766D7" w:rsidRPr="007766D7" w14:paraId="47DB66CC" w14:textId="77777777" w:rsidTr="007766D7">
        <w:trPr>
          <w:trHeight w:val="270"/>
        </w:trPr>
        <w:tc>
          <w:tcPr>
            <w:tcW w:w="632" w:type="dxa"/>
            <w:shd w:val="clear" w:color="000000" w:fill="99CCFF"/>
            <w:noWrap/>
            <w:vAlign w:val="center"/>
            <w:hideMark/>
          </w:tcPr>
          <w:p w14:paraId="31F1EA6C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197" w:type="dxa"/>
            <w:shd w:val="clear" w:color="000000" w:fill="99CCFF"/>
            <w:noWrap/>
            <w:vAlign w:val="center"/>
            <w:hideMark/>
          </w:tcPr>
          <w:p w14:paraId="28BAF87E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90" w:type="dxa"/>
            <w:shd w:val="clear" w:color="000000" w:fill="99CCFF"/>
            <w:noWrap/>
            <w:vAlign w:val="center"/>
            <w:hideMark/>
          </w:tcPr>
          <w:p w14:paraId="27DBC9A6" w14:textId="77777777" w:rsidR="007766D7" w:rsidRPr="007766D7" w:rsidRDefault="007766D7" w:rsidP="007766D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0" w:type="dxa"/>
            <w:shd w:val="clear" w:color="000000" w:fill="99CCFF"/>
            <w:noWrap/>
            <w:vAlign w:val="center"/>
            <w:hideMark/>
          </w:tcPr>
          <w:p w14:paraId="35D3B0E9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232" w:type="dxa"/>
            <w:shd w:val="clear" w:color="000000" w:fill="00B050"/>
            <w:noWrap/>
            <w:vAlign w:val="center"/>
            <w:hideMark/>
          </w:tcPr>
          <w:p w14:paraId="153698B0" w14:textId="574FE16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="001C7B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76" w:type="dxa"/>
            <w:shd w:val="clear" w:color="000000" w:fill="FFFF00"/>
            <w:noWrap/>
            <w:vAlign w:val="center"/>
            <w:hideMark/>
          </w:tcPr>
          <w:p w14:paraId="6A8C5AB2" w14:textId="0D0223E9" w:rsidR="007766D7" w:rsidRPr="007766D7" w:rsidRDefault="001C7BD1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53" w:type="dxa"/>
            <w:shd w:val="clear" w:color="000000" w:fill="FF0000"/>
            <w:vAlign w:val="center"/>
            <w:hideMark/>
          </w:tcPr>
          <w:p w14:paraId="258058CD" w14:textId="77777777" w:rsidR="007766D7" w:rsidRPr="007766D7" w:rsidRDefault="007766D7" w:rsidP="007766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66D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0</w:t>
            </w:r>
          </w:p>
        </w:tc>
      </w:tr>
    </w:tbl>
    <w:p w14:paraId="5A9DF39C" w14:textId="0AA9BEDE" w:rsidR="00D72363" w:rsidRPr="007766D7" w:rsidRDefault="00BA3AAA" w:rsidP="007766D7">
      <w:pPr>
        <w:jc w:val="both"/>
        <w:rPr>
          <w:rFonts w:cs="Arial"/>
          <w:b/>
          <w:i/>
        </w:rPr>
      </w:pPr>
      <w:r w:rsidRPr="00BA3AAA">
        <w:rPr>
          <w:rFonts w:cs="Arial"/>
          <w:b/>
          <w:i/>
          <w:sz w:val="14"/>
          <w:szCs w:val="22"/>
        </w:rPr>
        <w:t xml:space="preserve"> </w:t>
      </w:r>
      <w:bookmarkStart w:id="1" w:name="_Hlk92824234"/>
      <w:r w:rsidRPr="00BA3AAA">
        <w:rPr>
          <w:rFonts w:cs="Arial"/>
          <w:b/>
          <w:i/>
          <w:sz w:val="14"/>
          <w:szCs w:val="22"/>
        </w:rPr>
        <w:t xml:space="preserve">Fuente: Análisis realizado por Control Interno </w:t>
      </w:r>
      <w:bookmarkEnd w:id="1"/>
    </w:p>
    <w:p w14:paraId="6FB63C16" w14:textId="46F0ED84" w:rsidR="006A5099" w:rsidRDefault="006A5099" w:rsidP="007766D7">
      <w:pPr>
        <w:rPr>
          <w:rFonts w:cs="Arial"/>
          <w:b/>
          <w:i/>
          <w:sz w:val="18"/>
        </w:rPr>
      </w:pPr>
    </w:p>
    <w:p w14:paraId="23D4B819" w14:textId="77777777" w:rsidR="001C7BD1" w:rsidRDefault="001C7BD1" w:rsidP="007766D7">
      <w:pPr>
        <w:rPr>
          <w:rFonts w:cs="Arial"/>
          <w:b/>
          <w:i/>
          <w:sz w:val="18"/>
        </w:rPr>
      </w:pPr>
    </w:p>
    <w:p w14:paraId="05EA29FA" w14:textId="060CFE4F" w:rsidR="006A5099" w:rsidRPr="00826BB0" w:rsidRDefault="006A5099" w:rsidP="006A5099">
      <w:pPr>
        <w:jc w:val="center"/>
        <w:rPr>
          <w:rFonts w:cs="Arial"/>
          <w:b/>
          <w:i/>
          <w:sz w:val="20"/>
        </w:rPr>
      </w:pPr>
      <w:r w:rsidRPr="00826BB0">
        <w:rPr>
          <w:rFonts w:cs="Arial"/>
          <w:b/>
          <w:i/>
          <w:sz w:val="20"/>
        </w:rPr>
        <w:t>Gráfica No. 1</w:t>
      </w:r>
      <w:r w:rsidR="00697F2F" w:rsidRPr="00826BB0">
        <w:rPr>
          <w:rFonts w:cs="Arial"/>
          <w:b/>
          <w:i/>
          <w:sz w:val="20"/>
        </w:rPr>
        <w:t xml:space="preserve"> – Cumplimiento de acciones</w:t>
      </w:r>
    </w:p>
    <w:p w14:paraId="77C22CAE" w14:textId="23A7BBC7" w:rsidR="00FD5082" w:rsidRDefault="001C7BD1" w:rsidP="007766D7">
      <w:pPr>
        <w:ind w:left="567"/>
        <w:jc w:val="center"/>
        <w:rPr>
          <w:rFonts w:cs="Arial"/>
          <w:b/>
        </w:rPr>
      </w:pPr>
      <w:r>
        <w:rPr>
          <w:rFonts w:cs="Arial"/>
          <w:b/>
          <w:noProof/>
          <w:lang w:eastAsia="es-CO"/>
        </w:rPr>
        <w:drawing>
          <wp:inline distT="0" distB="0" distL="0" distR="0" wp14:anchorId="32661724" wp14:editId="52259B1D">
            <wp:extent cx="3789349" cy="2236494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58" cy="2247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6FD87" w14:textId="75087419" w:rsidR="00D72363" w:rsidRDefault="00BA3AAA" w:rsidP="007E187A">
      <w:pPr>
        <w:jc w:val="both"/>
        <w:rPr>
          <w:rFonts w:cs="Arial"/>
          <w:b/>
        </w:rPr>
      </w:pPr>
      <w:r>
        <w:rPr>
          <w:rFonts w:cs="Arial"/>
          <w:b/>
          <w:i/>
          <w:sz w:val="14"/>
          <w:szCs w:val="22"/>
        </w:rPr>
        <w:t xml:space="preserve">                     </w:t>
      </w:r>
      <w:r w:rsidR="00826BB0">
        <w:rPr>
          <w:rFonts w:cs="Arial"/>
          <w:b/>
          <w:i/>
          <w:sz w:val="14"/>
          <w:szCs w:val="22"/>
        </w:rPr>
        <w:tab/>
        <w:t xml:space="preserve">         </w:t>
      </w:r>
      <w:r>
        <w:rPr>
          <w:rFonts w:cs="Arial"/>
          <w:b/>
          <w:i/>
          <w:sz w:val="14"/>
          <w:szCs w:val="22"/>
        </w:rPr>
        <w:t xml:space="preserve"> </w:t>
      </w:r>
      <w:bookmarkStart w:id="2" w:name="_Hlk92946302"/>
      <w:r w:rsidRPr="00BA3AAA">
        <w:rPr>
          <w:rFonts w:cs="Arial"/>
          <w:b/>
          <w:i/>
          <w:sz w:val="14"/>
          <w:szCs w:val="22"/>
        </w:rPr>
        <w:t xml:space="preserve">Fuente: Análisis realizado por Control Interno </w:t>
      </w:r>
      <w:bookmarkEnd w:id="2"/>
    </w:p>
    <w:p w14:paraId="3C575146" w14:textId="7CD5BAF9" w:rsidR="00D72363" w:rsidRDefault="00D72363" w:rsidP="007E187A">
      <w:pPr>
        <w:jc w:val="both"/>
        <w:rPr>
          <w:rFonts w:cs="Arial"/>
          <w:b/>
        </w:rPr>
      </w:pPr>
    </w:p>
    <w:p w14:paraId="23FDDF4F" w14:textId="2AE15E50" w:rsidR="00BA3AAA" w:rsidRDefault="007C1AAE" w:rsidP="00BA3A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De</w:t>
      </w:r>
      <w:r w:rsidR="00BA3AAA">
        <w:rPr>
          <w:rFonts w:cs="Arial"/>
          <w:szCs w:val="22"/>
        </w:rPr>
        <w:t xml:space="preserve"> </w:t>
      </w:r>
      <w:r w:rsidR="00BA3AAA" w:rsidRPr="004D47FB">
        <w:rPr>
          <w:rFonts w:cs="Arial"/>
          <w:szCs w:val="22"/>
        </w:rPr>
        <w:t>la tabla y la gráfica</w:t>
      </w:r>
      <w:r w:rsidR="00BA3AAA">
        <w:rPr>
          <w:rFonts w:cs="Arial"/>
          <w:szCs w:val="22"/>
        </w:rPr>
        <w:t xml:space="preserve"> anterior,</w:t>
      </w:r>
      <w:r w:rsidR="00BA3AAA" w:rsidRPr="004D47FB">
        <w:rPr>
          <w:rFonts w:cs="Arial"/>
          <w:szCs w:val="22"/>
        </w:rPr>
        <w:t xml:space="preserve"> se</w:t>
      </w:r>
      <w:r w:rsidR="00BA3A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concluye </w:t>
      </w:r>
      <w:r w:rsidR="00BA3AAA">
        <w:rPr>
          <w:rFonts w:cs="Arial"/>
          <w:szCs w:val="22"/>
        </w:rPr>
        <w:t>que cuarenta (</w:t>
      </w:r>
      <w:r w:rsidR="001C7BD1">
        <w:rPr>
          <w:rFonts w:cs="Arial"/>
          <w:szCs w:val="22"/>
        </w:rPr>
        <w:t>41</w:t>
      </w:r>
      <w:r w:rsidR="00BA3AAA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acciones,</w:t>
      </w:r>
      <w:r w:rsidR="00BA3AAA">
        <w:rPr>
          <w:rFonts w:cs="Arial"/>
          <w:szCs w:val="22"/>
        </w:rPr>
        <w:t xml:space="preserve"> que representa</w:t>
      </w:r>
      <w:r>
        <w:rPr>
          <w:rFonts w:cs="Arial"/>
          <w:szCs w:val="22"/>
        </w:rPr>
        <w:t>n</w:t>
      </w:r>
      <w:r w:rsidR="00BA3AAA">
        <w:rPr>
          <w:rFonts w:cs="Arial"/>
          <w:szCs w:val="22"/>
        </w:rPr>
        <w:t xml:space="preserve"> el </w:t>
      </w:r>
      <w:r w:rsidR="007B5341">
        <w:rPr>
          <w:rFonts w:cs="Arial"/>
          <w:szCs w:val="22"/>
        </w:rPr>
        <w:t>8</w:t>
      </w:r>
      <w:r w:rsidR="001C7BD1">
        <w:rPr>
          <w:rFonts w:cs="Arial"/>
          <w:szCs w:val="22"/>
        </w:rPr>
        <w:t>5</w:t>
      </w:r>
      <w:r w:rsidR="007B5341">
        <w:rPr>
          <w:rFonts w:cs="Arial"/>
          <w:szCs w:val="22"/>
        </w:rPr>
        <w:t xml:space="preserve">% </w:t>
      </w:r>
      <w:r>
        <w:rPr>
          <w:rFonts w:cs="Arial"/>
          <w:szCs w:val="22"/>
        </w:rPr>
        <w:t xml:space="preserve">del Plan, </w:t>
      </w:r>
      <w:r w:rsidR="007B5341">
        <w:rPr>
          <w:rFonts w:cs="Arial"/>
          <w:szCs w:val="22"/>
        </w:rPr>
        <w:t xml:space="preserve">fueron cumplidas y </w:t>
      </w:r>
      <w:r w:rsidR="001C7BD1">
        <w:rPr>
          <w:rFonts w:cs="Arial"/>
          <w:szCs w:val="22"/>
        </w:rPr>
        <w:t>7</w:t>
      </w:r>
      <w:r w:rsidR="007B53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acciones</w:t>
      </w:r>
      <w:r w:rsidR="006A5099">
        <w:rPr>
          <w:rFonts w:cs="Arial"/>
          <w:szCs w:val="22"/>
        </w:rPr>
        <w:t xml:space="preserve"> que </w:t>
      </w:r>
      <w:r w:rsidR="007B5341">
        <w:rPr>
          <w:rFonts w:cs="Arial"/>
          <w:szCs w:val="22"/>
        </w:rPr>
        <w:t>corresponde</w:t>
      </w:r>
      <w:r>
        <w:rPr>
          <w:rFonts w:cs="Arial"/>
          <w:szCs w:val="22"/>
        </w:rPr>
        <w:t>n</w:t>
      </w:r>
      <w:r w:rsidR="007B5341">
        <w:rPr>
          <w:rFonts w:cs="Arial"/>
          <w:szCs w:val="22"/>
        </w:rPr>
        <w:t xml:space="preserve"> al 1</w:t>
      </w:r>
      <w:r w:rsidR="001C7BD1">
        <w:rPr>
          <w:rFonts w:cs="Arial"/>
          <w:szCs w:val="22"/>
        </w:rPr>
        <w:t>5</w:t>
      </w:r>
      <w:r w:rsidR="007B5341">
        <w:rPr>
          <w:rFonts w:cs="Arial"/>
          <w:szCs w:val="22"/>
        </w:rPr>
        <w:t xml:space="preserve">% </w:t>
      </w:r>
      <w:r w:rsidR="00E07D10">
        <w:rPr>
          <w:rFonts w:cs="Arial"/>
          <w:szCs w:val="22"/>
        </w:rPr>
        <w:t xml:space="preserve">presentaron deficiencia en su cumplimiento </w:t>
      </w:r>
      <w:r w:rsidR="006A5099">
        <w:rPr>
          <w:rFonts w:cs="Arial"/>
          <w:szCs w:val="22"/>
        </w:rPr>
        <w:t xml:space="preserve">según el cronograma y lo establecido en el PAAC aprobado para la vigencia 2021. </w:t>
      </w:r>
    </w:p>
    <w:p w14:paraId="5D6CB26A" w14:textId="77777777" w:rsidR="00BA3AAA" w:rsidRDefault="00BA3AAA" w:rsidP="00BA3AAA">
      <w:pPr>
        <w:jc w:val="both"/>
        <w:rPr>
          <w:rFonts w:cs="Arial"/>
          <w:szCs w:val="22"/>
        </w:rPr>
      </w:pPr>
    </w:p>
    <w:p w14:paraId="2E0568BF" w14:textId="69A833DE" w:rsidR="00BA3AAA" w:rsidRDefault="007B5341" w:rsidP="00BA3A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 otra parte, se </w:t>
      </w:r>
      <w:r w:rsidR="00BA3AAA">
        <w:rPr>
          <w:rFonts w:cs="Arial"/>
          <w:szCs w:val="22"/>
        </w:rPr>
        <w:t xml:space="preserve">presenta a continuación el porcentaje de avance de cada uno de los componentes </w:t>
      </w:r>
      <w:r w:rsidR="006A5099">
        <w:rPr>
          <w:rFonts w:cs="Arial"/>
          <w:szCs w:val="22"/>
        </w:rPr>
        <w:t xml:space="preserve">y subcomponentes </w:t>
      </w:r>
      <w:r w:rsidR="00BA3AAA">
        <w:rPr>
          <w:rFonts w:cs="Arial"/>
          <w:szCs w:val="22"/>
        </w:rPr>
        <w:t>del PAAC, así como del total</w:t>
      </w:r>
      <w:r w:rsidR="007C1AAE">
        <w:rPr>
          <w:rFonts w:cs="Arial"/>
          <w:szCs w:val="22"/>
        </w:rPr>
        <w:t xml:space="preserve"> consolidado</w:t>
      </w:r>
      <w:r w:rsidR="00BA3AAA">
        <w:rPr>
          <w:rFonts w:cs="Arial"/>
          <w:szCs w:val="22"/>
        </w:rPr>
        <w:t>.</w:t>
      </w:r>
    </w:p>
    <w:p w14:paraId="665A0AA2" w14:textId="2756E5C2" w:rsidR="00BA3AAA" w:rsidRDefault="00BA3AAA" w:rsidP="007E187A">
      <w:pPr>
        <w:jc w:val="both"/>
        <w:rPr>
          <w:rFonts w:cs="Arial"/>
          <w:b/>
        </w:rPr>
      </w:pPr>
    </w:p>
    <w:p w14:paraId="4BB91573" w14:textId="07FE3A8F" w:rsidR="00BA3AAA" w:rsidRPr="00826BB0" w:rsidRDefault="007B5341" w:rsidP="00F330C3">
      <w:pPr>
        <w:jc w:val="center"/>
        <w:rPr>
          <w:rFonts w:cs="Arial"/>
          <w:b/>
          <w:i/>
          <w:sz w:val="20"/>
        </w:rPr>
      </w:pPr>
      <w:r w:rsidRPr="00826BB0">
        <w:rPr>
          <w:rFonts w:cs="Arial"/>
          <w:b/>
          <w:i/>
          <w:sz w:val="20"/>
          <w:szCs w:val="22"/>
        </w:rPr>
        <w:t>Tabla 2. Porcentaje de avance por componente a 31 de diciembre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97"/>
        <w:gridCol w:w="3263"/>
        <w:gridCol w:w="1700"/>
        <w:gridCol w:w="1601"/>
      </w:tblGrid>
      <w:tr w:rsidR="00D66026" w:rsidRPr="00D66026" w14:paraId="383060E7" w14:textId="77777777" w:rsidTr="00D66026">
        <w:trPr>
          <w:trHeight w:val="519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534984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  <w:t>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380B12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  <w:t>Componente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0D7B45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  <w:t>Subcomponentes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3ED5B8" w14:textId="16A0E5AB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  <w:t xml:space="preserve">% de Avance por </w:t>
            </w:r>
            <w:r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  <w:t>Sub</w:t>
            </w:r>
            <w:r w:rsidRPr="00D66026"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  <w:t>componente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99AA8B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b/>
                <w:bCs/>
                <w:szCs w:val="22"/>
                <w:lang w:eastAsia="es-CO"/>
              </w:rPr>
              <w:t>% de Avance por componente</w:t>
            </w:r>
          </w:p>
        </w:tc>
      </w:tr>
      <w:tr w:rsidR="00D66026" w:rsidRPr="00D66026" w14:paraId="3A5C14C2" w14:textId="77777777" w:rsidTr="00D66026">
        <w:trPr>
          <w:trHeight w:val="413"/>
        </w:trPr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3F8E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8EB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Gestión del Riesgo de Corrupción - Mapa de Riesgos de Corrupción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1383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Política de Administración de Riesgos de Corrupción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510B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5A2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99%</w:t>
            </w:r>
          </w:p>
        </w:tc>
      </w:tr>
      <w:tr w:rsidR="00D66026" w:rsidRPr="00D66026" w14:paraId="355E0B05" w14:textId="77777777" w:rsidTr="00D66026">
        <w:trPr>
          <w:trHeight w:val="277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2872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92AD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DB07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2. Construcción del mapa de Riesgos de Corrupción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FC4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6BF8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2B2F5E1D" w14:textId="77777777" w:rsidTr="00D66026">
        <w:trPr>
          <w:trHeight w:val="27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974E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7907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EBF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3. Consulta y divulgación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D34F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97%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4314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26FD3685" w14:textId="77777777" w:rsidTr="00D66026">
        <w:trPr>
          <w:trHeight w:val="27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3E26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19CF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A84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4. Monitoreo o Revisión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E95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81CC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0A22F1FC" w14:textId="77777777" w:rsidTr="00D66026">
        <w:trPr>
          <w:trHeight w:val="27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43C3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7991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6E77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5. Seguimiento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D4F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A6FD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0959D2B6" w14:textId="77777777" w:rsidTr="00D66026">
        <w:trPr>
          <w:trHeight w:val="423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B41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AFD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Racionalización de trámites</w:t>
            </w: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BE74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1.Otros procedimientos administrativos de cara al usuario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37DE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FD50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100%</w:t>
            </w:r>
          </w:p>
        </w:tc>
      </w:tr>
      <w:tr w:rsidR="00D66026" w:rsidRPr="00D66026" w14:paraId="75DDDCA5" w14:textId="77777777" w:rsidTr="00D66026">
        <w:trPr>
          <w:trHeight w:val="41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5221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6CD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Rendición de Cuentas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601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Información de Calidad y en lenguaje comprensible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14E7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DB62" w14:textId="110B2DEF" w:rsidR="00D66026" w:rsidRPr="00D66026" w:rsidRDefault="001C7BD1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</w:t>
            </w:r>
            <w:r w:rsidR="00D66026"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D66026" w:rsidRPr="00D66026" w14:paraId="3326CEDA" w14:textId="77777777" w:rsidTr="00D66026">
        <w:trPr>
          <w:trHeight w:val="421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FED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2164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815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2. Diálogo de doble vía con la ciudadanía y sus organizaciones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14A8" w14:textId="3F7E152B" w:rsidR="00D66026" w:rsidRPr="00D66026" w:rsidRDefault="001C7BD1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</w:t>
            </w:r>
            <w:r w:rsidR="00D66026"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4181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29570384" w14:textId="77777777" w:rsidTr="00D66026">
        <w:trPr>
          <w:trHeight w:val="272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44A1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C09C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B6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3. Incentivos para motivar la cultura de la rendición y petición de cuentas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3E05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1E9C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37702944" w14:textId="77777777" w:rsidTr="00D66026">
        <w:trPr>
          <w:trHeight w:val="278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A550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B70B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7B1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4. Evaluación y retroalimentación a la gestión Institucional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FADA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1D7E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199D765B" w14:textId="77777777" w:rsidTr="00D66026">
        <w:trPr>
          <w:trHeight w:val="141"/>
        </w:trPr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2E7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7756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Servicio al Ciudadano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FBE8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Estructura Administrativa y Direccionamiento estratégico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A8B5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ECA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D66026" w:rsidRPr="00D66026" w14:paraId="12ACAB2E" w14:textId="77777777" w:rsidTr="00D66026">
        <w:trPr>
          <w:trHeight w:val="289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32A9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60AD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9A2C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2. Fortalecimiento de los canales de atención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534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73%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4952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0818D539" w14:textId="77777777" w:rsidTr="00D66026">
        <w:trPr>
          <w:trHeight w:val="27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B5C4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E092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F5A4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3. Talento Humano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5BB0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75%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30E1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69741442" w14:textId="77777777" w:rsidTr="00D66026">
        <w:trPr>
          <w:trHeight w:val="269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A900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2ECE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B74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4. Normativo y Procedimental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1A14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6268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017D019E" w14:textId="77777777" w:rsidTr="00D66026">
        <w:trPr>
          <w:trHeight w:val="273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1825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1A0F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8A64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5. Relacionamiento con el ciudadano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E91C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9549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6C61C93A" w14:textId="77777777" w:rsidTr="00D66026">
        <w:trPr>
          <w:trHeight w:val="277"/>
        </w:trPr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3AF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DA4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Transparencia y acceso a la información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C1F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Lineamientos de transparencia activa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918D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87%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869B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95%</w:t>
            </w:r>
          </w:p>
        </w:tc>
      </w:tr>
      <w:tr w:rsidR="00D66026" w:rsidRPr="00D66026" w14:paraId="722515A6" w14:textId="77777777" w:rsidTr="00D66026">
        <w:trPr>
          <w:trHeight w:val="281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A14A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9163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6665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2. Lineamientos de transparencia pasiva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0BF3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729F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6F85F244" w14:textId="77777777" w:rsidTr="00D66026">
        <w:trPr>
          <w:trHeight w:val="116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83FC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05A1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C56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3. Elaboración de los instrumentos de Gestión de la información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9D5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1B03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5588C49E" w14:textId="77777777" w:rsidTr="00D66026">
        <w:trPr>
          <w:trHeight w:val="264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130B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5AE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4641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4. Criterio diferencial de accesibilidad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FC16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88%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B4FA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0F9F7E0F" w14:textId="77777777" w:rsidTr="00D66026">
        <w:trPr>
          <w:trHeight w:val="7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CD84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4547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63D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5. Monitoreo de acceso a la información Pública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BD02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D051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026" w:rsidRPr="00D66026" w14:paraId="56A75503" w14:textId="77777777" w:rsidTr="00D66026">
        <w:trPr>
          <w:trHeight w:val="41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B5A0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376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Iniciativas Adicionales</w:t>
            </w: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4EB" w14:textId="77777777" w:rsidR="00D66026" w:rsidRPr="00D66026" w:rsidRDefault="00D66026" w:rsidP="00D6602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1. Iniciativas Adicionales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F70C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87%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72BB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87%</w:t>
            </w:r>
          </w:p>
        </w:tc>
      </w:tr>
      <w:tr w:rsidR="00D66026" w:rsidRPr="00D66026" w14:paraId="3DFD5AF5" w14:textId="77777777" w:rsidTr="00D66026">
        <w:trPr>
          <w:trHeight w:val="435"/>
        </w:trPr>
        <w:tc>
          <w:tcPr>
            <w:tcW w:w="4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752F33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es-CO"/>
              </w:rPr>
              <w:t>TOTAL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A0B2EF" w14:textId="77777777" w:rsidR="00D66026" w:rsidRPr="00D66026" w:rsidRDefault="00D66026" w:rsidP="00D6602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es-CO"/>
              </w:rPr>
            </w:pPr>
            <w:r w:rsidRPr="00D660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es-CO"/>
              </w:rPr>
              <w:t>95%</w:t>
            </w:r>
          </w:p>
        </w:tc>
      </w:tr>
    </w:tbl>
    <w:p w14:paraId="5D4A4B3E" w14:textId="3A0C73E9" w:rsidR="006A5099" w:rsidRDefault="006A5099" w:rsidP="00962A4B">
      <w:pPr>
        <w:jc w:val="both"/>
        <w:rPr>
          <w:rFonts w:cs="Arial"/>
          <w:szCs w:val="22"/>
        </w:rPr>
      </w:pPr>
      <w:r>
        <w:rPr>
          <w:rFonts w:cs="Arial"/>
          <w:b/>
          <w:i/>
          <w:sz w:val="14"/>
          <w:szCs w:val="22"/>
        </w:rPr>
        <w:t xml:space="preserve"> </w:t>
      </w:r>
      <w:r w:rsidRPr="00BA3AAA">
        <w:rPr>
          <w:rFonts w:cs="Arial"/>
          <w:b/>
          <w:i/>
          <w:sz w:val="14"/>
          <w:szCs w:val="22"/>
        </w:rPr>
        <w:t xml:space="preserve">Fuente: Análisis realizado por Control Interno </w:t>
      </w:r>
    </w:p>
    <w:p w14:paraId="67727A9C" w14:textId="77777777" w:rsidR="006A5099" w:rsidRDefault="006A5099" w:rsidP="00962A4B">
      <w:pPr>
        <w:jc w:val="both"/>
        <w:rPr>
          <w:rFonts w:cs="Arial"/>
          <w:szCs w:val="22"/>
        </w:rPr>
      </w:pPr>
    </w:p>
    <w:p w14:paraId="1FE3F532" w14:textId="77777777" w:rsidR="006A5099" w:rsidRDefault="006A5099" w:rsidP="00962A4B">
      <w:pPr>
        <w:jc w:val="both"/>
        <w:rPr>
          <w:rFonts w:cs="Arial"/>
          <w:szCs w:val="22"/>
        </w:rPr>
      </w:pPr>
    </w:p>
    <w:p w14:paraId="38A2B95C" w14:textId="2C6A3828" w:rsidR="00962A4B" w:rsidRDefault="00962A4B" w:rsidP="00962A4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El porcentaje total de cumplimiento del PAAC a 31</w:t>
      </w:r>
      <w:r w:rsidRPr="004D47FB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diciembre 2021, fue del </w:t>
      </w:r>
      <w:r w:rsidRPr="007F40A7">
        <w:rPr>
          <w:rFonts w:cs="Arial"/>
          <w:b/>
          <w:szCs w:val="22"/>
          <w:u w:val="single"/>
        </w:rPr>
        <w:t>9</w:t>
      </w:r>
      <w:r w:rsidR="00DC738F" w:rsidRPr="007F40A7">
        <w:rPr>
          <w:rFonts w:cs="Arial"/>
          <w:b/>
          <w:szCs w:val="22"/>
          <w:u w:val="single"/>
        </w:rPr>
        <w:t>5</w:t>
      </w:r>
      <w:r w:rsidRPr="007F40A7">
        <w:rPr>
          <w:rFonts w:cs="Arial"/>
          <w:b/>
          <w:szCs w:val="22"/>
          <w:u w:val="single"/>
        </w:rPr>
        <w:t>%</w:t>
      </w:r>
      <w:r w:rsidR="00697F2F">
        <w:rPr>
          <w:rFonts w:cs="Arial"/>
          <w:szCs w:val="22"/>
        </w:rPr>
        <w:t xml:space="preserve">, observando la ejecución por cada uno de los componentes así: </w:t>
      </w:r>
    </w:p>
    <w:p w14:paraId="53C4479F" w14:textId="2BFC75D4" w:rsidR="00697F2F" w:rsidRDefault="00697F2F" w:rsidP="00962A4B">
      <w:pPr>
        <w:jc w:val="both"/>
        <w:rPr>
          <w:rFonts w:cs="Arial"/>
          <w:szCs w:val="22"/>
        </w:rPr>
      </w:pPr>
    </w:p>
    <w:p w14:paraId="1E77B244" w14:textId="194A172B" w:rsidR="00697F2F" w:rsidRDefault="00697F2F" w:rsidP="00697F2F">
      <w:pPr>
        <w:jc w:val="center"/>
        <w:rPr>
          <w:rFonts w:cs="Arial"/>
          <w:b/>
          <w:i/>
          <w:sz w:val="18"/>
        </w:rPr>
      </w:pPr>
    </w:p>
    <w:p w14:paraId="4A679287" w14:textId="77777777" w:rsidR="007F40A7" w:rsidRDefault="007F40A7" w:rsidP="00697F2F">
      <w:pPr>
        <w:jc w:val="center"/>
        <w:rPr>
          <w:rFonts w:cs="Arial"/>
          <w:b/>
          <w:i/>
          <w:sz w:val="18"/>
        </w:rPr>
      </w:pPr>
    </w:p>
    <w:p w14:paraId="0F412268" w14:textId="420C6E5E" w:rsidR="00697F2F" w:rsidRPr="00826BB0" w:rsidRDefault="00697F2F" w:rsidP="00697F2F">
      <w:pPr>
        <w:jc w:val="center"/>
        <w:rPr>
          <w:rFonts w:cs="Arial"/>
          <w:sz w:val="24"/>
          <w:szCs w:val="22"/>
        </w:rPr>
      </w:pPr>
      <w:r w:rsidRPr="00826BB0">
        <w:rPr>
          <w:rFonts w:cs="Arial"/>
          <w:b/>
          <w:i/>
          <w:sz w:val="20"/>
        </w:rPr>
        <w:lastRenderedPageBreak/>
        <w:t>Gráfica No. 2 – Cumplimiento por componente</w:t>
      </w:r>
    </w:p>
    <w:p w14:paraId="153A4F1C" w14:textId="73BD28CC" w:rsidR="00697F2F" w:rsidRDefault="00150298" w:rsidP="00EE3278">
      <w:pPr>
        <w:ind w:left="142"/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eastAsia="es-CO"/>
        </w:rPr>
        <w:drawing>
          <wp:inline distT="0" distB="0" distL="0" distR="0" wp14:anchorId="5AE3A9B1" wp14:editId="4527339C">
            <wp:extent cx="5308853" cy="2754848"/>
            <wp:effectExtent l="0" t="0" r="635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905" cy="275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DCC92" w14:textId="22191180" w:rsidR="00962A4B" w:rsidRDefault="00EE3278" w:rsidP="00962A4B">
      <w:pPr>
        <w:jc w:val="both"/>
        <w:rPr>
          <w:rFonts w:cs="Arial"/>
          <w:b/>
          <w:i/>
          <w:sz w:val="14"/>
          <w:szCs w:val="22"/>
        </w:rPr>
      </w:pPr>
      <w:r>
        <w:rPr>
          <w:rFonts w:cs="Arial"/>
          <w:b/>
          <w:i/>
          <w:sz w:val="14"/>
          <w:szCs w:val="22"/>
        </w:rPr>
        <w:t xml:space="preserve">   </w:t>
      </w:r>
      <w:r w:rsidR="00697F2F" w:rsidRPr="00BA3AAA">
        <w:rPr>
          <w:rFonts w:cs="Arial"/>
          <w:b/>
          <w:i/>
          <w:sz w:val="14"/>
          <w:szCs w:val="22"/>
        </w:rPr>
        <w:t>Fuente: Análisis realizado por Control Interno</w:t>
      </w:r>
    </w:p>
    <w:p w14:paraId="72EFAA6B" w14:textId="494B64AD" w:rsidR="00697F2F" w:rsidRDefault="00697F2F" w:rsidP="00962A4B">
      <w:pPr>
        <w:jc w:val="both"/>
        <w:rPr>
          <w:rFonts w:cs="Arial"/>
          <w:b/>
          <w:szCs w:val="22"/>
        </w:rPr>
      </w:pPr>
    </w:p>
    <w:p w14:paraId="741E4EA4" w14:textId="77777777" w:rsidR="003C19C7" w:rsidRDefault="003C19C7" w:rsidP="00962A4B">
      <w:pPr>
        <w:jc w:val="both"/>
        <w:rPr>
          <w:rFonts w:cs="Arial"/>
          <w:b/>
          <w:szCs w:val="22"/>
        </w:rPr>
      </w:pPr>
    </w:p>
    <w:p w14:paraId="47F1758E" w14:textId="77777777" w:rsidR="003C19C7" w:rsidRPr="007E187A" w:rsidRDefault="003C19C7" w:rsidP="003C19C7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FORTALEZAS EVIDENCIADAS</w:t>
      </w:r>
    </w:p>
    <w:p w14:paraId="43ADBBFF" w14:textId="77777777" w:rsidR="00F330C3" w:rsidRPr="00185D86" w:rsidRDefault="00F330C3" w:rsidP="003C19C7">
      <w:pPr>
        <w:rPr>
          <w:rFonts w:cs="Arial"/>
          <w:color w:val="FF0000"/>
          <w:szCs w:val="22"/>
        </w:rPr>
      </w:pPr>
    </w:p>
    <w:p w14:paraId="0057C027" w14:textId="77777777" w:rsidR="00185D86" w:rsidRPr="00185D86" w:rsidRDefault="00185D86" w:rsidP="00185D86">
      <w:pPr>
        <w:pStyle w:val="Prrafodelista"/>
        <w:numPr>
          <w:ilvl w:val="0"/>
          <w:numId w:val="34"/>
        </w:numPr>
        <w:ind w:left="426"/>
        <w:jc w:val="both"/>
        <w:rPr>
          <w:rFonts w:cs="Arial"/>
          <w:szCs w:val="22"/>
        </w:rPr>
      </w:pPr>
      <w:r w:rsidRPr="00185D86">
        <w:rPr>
          <w:rFonts w:cs="Arial"/>
          <w:szCs w:val="22"/>
        </w:rPr>
        <w:t>Disposición y buena actitud de los servidores de las dependencias para atender el seguimiento realizado por la Asesoría de Control</w:t>
      </w:r>
    </w:p>
    <w:p w14:paraId="41734E7E" w14:textId="77777777" w:rsidR="00185D86" w:rsidRPr="00185D86" w:rsidRDefault="00185D86" w:rsidP="00185D86">
      <w:pPr>
        <w:ind w:left="426"/>
        <w:jc w:val="both"/>
        <w:rPr>
          <w:rFonts w:cs="Arial"/>
          <w:szCs w:val="22"/>
        </w:rPr>
      </w:pPr>
    </w:p>
    <w:p w14:paraId="49BBD7CC" w14:textId="7F9705B2" w:rsidR="003C19C7" w:rsidRPr="00185D86" w:rsidRDefault="00185D86" w:rsidP="00185D86">
      <w:pPr>
        <w:pStyle w:val="Prrafodelista"/>
        <w:numPr>
          <w:ilvl w:val="0"/>
          <w:numId w:val="34"/>
        </w:numPr>
        <w:ind w:left="426"/>
        <w:jc w:val="both"/>
        <w:rPr>
          <w:rFonts w:cs="Arial"/>
          <w:szCs w:val="22"/>
        </w:rPr>
      </w:pPr>
      <w:r w:rsidRPr="00185D86">
        <w:rPr>
          <w:rFonts w:cs="Arial"/>
          <w:szCs w:val="22"/>
        </w:rPr>
        <w:t>Oportunidad y diligencia en la entrega de la información producto del monitoreo al PAAC, correspondiente al tercer cuatrimestre de la vigencia 2021, por parte de la segunda línea de defensa.</w:t>
      </w:r>
    </w:p>
    <w:p w14:paraId="4630BC0D" w14:textId="77777777" w:rsidR="003C19C7" w:rsidRDefault="003C19C7" w:rsidP="003C19C7">
      <w:pPr>
        <w:rPr>
          <w:rFonts w:cs="Arial"/>
          <w:color w:val="FF0000"/>
          <w:szCs w:val="22"/>
        </w:rPr>
      </w:pPr>
    </w:p>
    <w:p w14:paraId="47775822" w14:textId="77777777" w:rsidR="00185D86" w:rsidRPr="00185D86" w:rsidRDefault="00185D86" w:rsidP="003C19C7">
      <w:pPr>
        <w:rPr>
          <w:rFonts w:cs="Arial"/>
          <w:color w:val="FF0000"/>
          <w:szCs w:val="22"/>
        </w:rPr>
      </w:pPr>
    </w:p>
    <w:p w14:paraId="7BC2608C" w14:textId="02D8C023" w:rsidR="00D16855" w:rsidRPr="00F330C3" w:rsidRDefault="00F330C3" w:rsidP="003C19C7">
      <w:pPr>
        <w:pStyle w:val="Prrafodelista"/>
        <w:numPr>
          <w:ilvl w:val="0"/>
          <w:numId w:val="8"/>
        </w:numPr>
        <w:jc w:val="center"/>
        <w:rPr>
          <w:rFonts w:cs="Arial"/>
          <w:b/>
          <w:szCs w:val="22"/>
        </w:rPr>
      </w:pPr>
      <w:r w:rsidRPr="00F330C3">
        <w:rPr>
          <w:rFonts w:eastAsia="Calibri" w:cs="Arial"/>
          <w:b/>
          <w:bCs/>
        </w:rPr>
        <w:t>OBSERVACIONES</w:t>
      </w:r>
    </w:p>
    <w:p w14:paraId="0A735D58" w14:textId="06D0BBA9" w:rsidR="00D16855" w:rsidRDefault="00D16855" w:rsidP="00962A4B">
      <w:pPr>
        <w:jc w:val="both"/>
        <w:rPr>
          <w:rFonts w:cs="Arial"/>
          <w:b/>
          <w:szCs w:val="22"/>
        </w:rPr>
      </w:pPr>
    </w:p>
    <w:p w14:paraId="343BB5DC" w14:textId="77777777" w:rsidR="007656CD" w:rsidRPr="006F4A18" w:rsidRDefault="007656CD" w:rsidP="006F4A18">
      <w:pPr>
        <w:pStyle w:val="Prrafodelista"/>
        <w:numPr>
          <w:ilvl w:val="0"/>
          <w:numId w:val="21"/>
        </w:numPr>
        <w:jc w:val="both"/>
        <w:rPr>
          <w:rFonts w:cs="Arial"/>
          <w:b/>
          <w:szCs w:val="22"/>
        </w:rPr>
      </w:pPr>
      <w:r w:rsidRPr="006F4A18">
        <w:rPr>
          <w:rFonts w:cs="Arial"/>
          <w:b/>
          <w:szCs w:val="22"/>
        </w:rPr>
        <w:t xml:space="preserve">Componente 1. </w:t>
      </w:r>
      <w:r w:rsidR="00697F2F" w:rsidRPr="006F4A18">
        <w:rPr>
          <w:rFonts w:cs="Arial"/>
          <w:b/>
          <w:szCs w:val="22"/>
        </w:rPr>
        <w:t>Gestión del Riesgo de Corrupción - Mapa de Riesgos de Corrupción</w:t>
      </w:r>
    </w:p>
    <w:p w14:paraId="6A6293FE" w14:textId="77777777" w:rsidR="007656CD" w:rsidRDefault="007656CD" w:rsidP="007656CD">
      <w:pPr>
        <w:jc w:val="both"/>
        <w:rPr>
          <w:rFonts w:cs="Arial"/>
          <w:szCs w:val="22"/>
        </w:rPr>
      </w:pPr>
    </w:p>
    <w:p w14:paraId="704EE0CB" w14:textId="1B696BFB" w:rsidR="001D4811" w:rsidRPr="007656CD" w:rsidRDefault="006F4A18" w:rsidP="007656C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El componente 1 se cumplió </w:t>
      </w:r>
      <w:r w:rsidR="007656CD">
        <w:rPr>
          <w:rFonts w:cs="Arial"/>
          <w:szCs w:val="22"/>
        </w:rPr>
        <w:t xml:space="preserve">en un </w:t>
      </w:r>
      <w:r w:rsidR="00697F2F" w:rsidRPr="00267760">
        <w:rPr>
          <w:rFonts w:cs="Arial"/>
          <w:b/>
          <w:szCs w:val="22"/>
          <w:u w:val="single"/>
        </w:rPr>
        <w:t>99%</w:t>
      </w:r>
      <w:r w:rsidR="00697F2F" w:rsidRPr="007656CD">
        <w:rPr>
          <w:rFonts w:cs="Arial"/>
          <w:szCs w:val="22"/>
        </w:rPr>
        <w:t xml:space="preserve"> presentando </w:t>
      </w:r>
      <w:r w:rsidR="00EF1681" w:rsidRPr="007656CD">
        <w:rPr>
          <w:rFonts w:cs="Arial"/>
          <w:szCs w:val="22"/>
        </w:rPr>
        <w:t>debilidad en el Subcomponente 3 - Consulta y divulgación</w:t>
      </w:r>
      <w:r w:rsidR="00DC738F">
        <w:rPr>
          <w:rFonts w:cs="Arial"/>
          <w:szCs w:val="22"/>
        </w:rPr>
        <w:t>,</w:t>
      </w:r>
      <w:r w:rsidR="001D4811" w:rsidRPr="007656CD">
        <w:rPr>
          <w:rFonts w:cs="Arial"/>
          <w:szCs w:val="22"/>
        </w:rPr>
        <w:t xml:space="preserve"> numeral</w:t>
      </w:r>
      <w:r w:rsidR="00DC738F">
        <w:rPr>
          <w:rFonts w:cs="Arial"/>
          <w:szCs w:val="22"/>
        </w:rPr>
        <w:t xml:space="preserve"> </w:t>
      </w:r>
      <w:r w:rsidR="001D4811" w:rsidRPr="007656CD">
        <w:rPr>
          <w:rFonts w:cs="Arial"/>
          <w:szCs w:val="22"/>
        </w:rPr>
        <w:t xml:space="preserve">1.3.2 </w:t>
      </w:r>
      <w:r w:rsidR="00185D86">
        <w:rPr>
          <w:rFonts w:cs="Arial"/>
          <w:szCs w:val="22"/>
        </w:rPr>
        <w:t>“</w:t>
      </w:r>
      <w:r w:rsidR="001D4811" w:rsidRPr="00185D86">
        <w:rPr>
          <w:rFonts w:cs="Arial"/>
          <w:i/>
          <w:sz w:val="20"/>
          <w:szCs w:val="22"/>
        </w:rPr>
        <w:t>Ejecutar campaña de las herramientas de gestión</w:t>
      </w:r>
      <w:r w:rsidR="00185D86">
        <w:rPr>
          <w:rFonts w:cs="Arial"/>
          <w:szCs w:val="22"/>
        </w:rPr>
        <w:t>”</w:t>
      </w:r>
      <w:r w:rsidR="001D4811" w:rsidRPr="007656CD">
        <w:rPr>
          <w:rFonts w:cs="Arial"/>
          <w:szCs w:val="22"/>
        </w:rPr>
        <w:t xml:space="preserve">, </w:t>
      </w:r>
      <w:r w:rsidR="001D4811" w:rsidRPr="00DC738F">
        <w:rPr>
          <w:rFonts w:cs="Arial"/>
          <w:szCs w:val="22"/>
        </w:rPr>
        <w:t>toda vez que se evidenció</w:t>
      </w:r>
      <w:r w:rsidR="001D4811" w:rsidRPr="007656CD">
        <w:rPr>
          <w:rFonts w:cs="Arial"/>
          <w:szCs w:val="22"/>
        </w:rPr>
        <w:t xml:space="preserve"> soportes documentales de los procesos de socialización de resultados del seguimiento y monitoreo al POA, PAAC y planes de mejoramiento así como soportes de la socialización en el marco del comité directivo realizado el 11 de noviembre de 2021 y los soportes de la consolidación de los resultados del concurso evaluación de los atributos de monitoreo.  </w:t>
      </w:r>
    </w:p>
    <w:p w14:paraId="095DDAC9" w14:textId="77777777" w:rsidR="007656CD" w:rsidRDefault="007656CD" w:rsidP="007656CD">
      <w:pPr>
        <w:jc w:val="both"/>
        <w:rPr>
          <w:rFonts w:cs="Arial"/>
          <w:szCs w:val="22"/>
        </w:rPr>
      </w:pPr>
    </w:p>
    <w:p w14:paraId="63669BD9" w14:textId="423C511D" w:rsidR="001D4811" w:rsidRPr="007656CD" w:rsidRDefault="001D4811" w:rsidP="007656CD">
      <w:pPr>
        <w:jc w:val="both"/>
        <w:rPr>
          <w:rFonts w:cs="Arial"/>
          <w:szCs w:val="22"/>
        </w:rPr>
      </w:pPr>
      <w:r w:rsidRPr="007656CD">
        <w:rPr>
          <w:rFonts w:cs="Arial"/>
          <w:szCs w:val="22"/>
        </w:rPr>
        <w:t>De la misma forma</w:t>
      </w:r>
      <w:r w:rsidR="00185D86">
        <w:rPr>
          <w:rFonts w:cs="Arial"/>
          <w:szCs w:val="22"/>
        </w:rPr>
        <w:t>,</w:t>
      </w:r>
      <w:r w:rsidRPr="007656CD">
        <w:rPr>
          <w:rFonts w:cs="Arial"/>
          <w:szCs w:val="22"/>
        </w:rPr>
        <w:t xml:space="preserve"> se evidenció soportes de divulgación y socialización de los resultados a través de los informes de seguimiento a POA y en el marco de los comité</w:t>
      </w:r>
      <w:r w:rsidR="007656CD" w:rsidRPr="007656CD">
        <w:rPr>
          <w:rFonts w:cs="Arial"/>
          <w:szCs w:val="22"/>
        </w:rPr>
        <w:t>s</w:t>
      </w:r>
      <w:r w:rsidRPr="007656CD">
        <w:rPr>
          <w:rFonts w:cs="Arial"/>
          <w:szCs w:val="22"/>
        </w:rPr>
        <w:t xml:space="preserve"> directivos</w:t>
      </w:r>
      <w:r w:rsidR="00AC1EC1">
        <w:rPr>
          <w:rFonts w:cs="Arial"/>
          <w:szCs w:val="22"/>
        </w:rPr>
        <w:t>, n</w:t>
      </w:r>
      <w:r w:rsidR="00AC1EC1" w:rsidRPr="00AC1EC1">
        <w:rPr>
          <w:rFonts w:cs="Arial"/>
          <w:szCs w:val="22"/>
        </w:rPr>
        <w:t xml:space="preserve">o obstante, no </w:t>
      </w:r>
      <w:r w:rsidRPr="00AC1EC1">
        <w:rPr>
          <w:rFonts w:cs="Arial"/>
          <w:szCs w:val="22"/>
        </w:rPr>
        <w:t>se</w:t>
      </w:r>
      <w:r w:rsidRPr="007656CD">
        <w:rPr>
          <w:rFonts w:cs="Arial"/>
          <w:szCs w:val="22"/>
        </w:rPr>
        <w:t xml:space="preserve"> evidencia soporte de la actividad de premiación que fue formulada en el </w:t>
      </w:r>
      <w:r w:rsidR="00AC1EC1">
        <w:rPr>
          <w:rFonts w:cs="Arial"/>
          <w:szCs w:val="22"/>
        </w:rPr>
        <w:t>p</w:t>
      </w:r>
      <w:r w:rsidRPr="007656CD">
        <w:rPr>
          <w:rFonts w:cs="Arial"/>
          <w:szCs w:val="22"/>
        </w:rPr>
        <w:t>lan</w:t>
      </w:r>
      <w:r w:rsidR="00AC1EC1">
        <w:rPr>
          <w:rFonts w:cs="Arial"/>
          <w:szCs w:val="22"/>
        </w:rPr>
        <w:t>, c</w:t>
      </w:r>
      <w:r w:rsidRPr="007656CD">
        <w:rPr>
          <w:rFonts w:cs="Arial"/>
          <w:szCs w:val="22"/>
        </w:rPr>
        <w:t>on fundamento en lo anterior</w:t>
      </w:r>
      <w:r w:rsidR="00185D86">
        <w:rPr>
          <w:rFonts w:cs="Arial"/>
          <w:szCs w:val="22"/>
        </w:rPr>
        <w:t>,</w:t>
      </w:r>
      <w:r w:rsidRPr="007656CD">
        <w:rPr>
          <w:rFonts w:cs="Arial"/>
          <w:szCs w:val="22"/>
        </w:rPr>
        <w:t xml:space="preserve"> esta actividad se cierra con el 89% de cumplimiento teniendo en cuenta que se </w:t>
      </w:r>
      <w:r w:rsidR="00136767">
        <w:rPr>
          <w:rFonts w:cs="Arial"/>
          <w:szCs w:val="22"/>
        </w:rPr>
        <w:t xml:space="preserve">ejecutaron </w:t>
      </w:r>
      <w:r w:rsidRPr="007656CD">
        <w:rPr>
          <w:rFonts w:cs="Arial"/>
          <w:szCs w:val="22"/>
        </w:rPr>
        <w:t xml:space="preserve">y </w:t>
      </w:r>
      <w:r w:rsidR="00185D86">
        <w:rPr>
          <w:rFonts w:cs="Arial"/>
          <w:szCs w:val="22"/>
        </w:rPr>
        <w:t>entreg</w:t>
      </w:r>
      <w:r w:rsidRPr="007656CD">
        <w:rPr>
          <w:rFonts w:cs="Arial"/>
          <w:szCs w:val="22"/>
        </w:rPr>
        <w:t>a</w:t>
      </w:r>
      <w:r w:rsidR="00136767">
        <w:rPr>
          <w:rFonts w:cs="Arial"/>
          <w:szCs w:val="22"/>
        </w:rPr>
        <w:t>ron</w:t>
      </w:r>
      <w:r w:rsidRPr="007656CD">
        <w:rPr>
          <w:rFonts w:cs="Arial"/>
          <w:szCs w:val="22"/>
        </w:rPr>
        <w:t xml:space="preserve"> </w:t>
      </w:r>
      <w:r w:rsidR="00185D86">
        <w:rPr>
          <w:rFonts w:cs="Arial"/>
          <w:szCs w:val="22"/>
        </w:rPr>
        <w:t>soport</w:t>
      </w:r>
      <w:r w:rsidRPr="007656CD">
        <w:rPr>
          <w:rFonts w:cs="Arial"/>
          <w:szCs w:val="22"/>
        </w:rPr>
        <w:t>e</w:t>
      </w:r>
      <w:r w:rsidR="007656CD" w:rsidRPr="007656CD">
        <w:rPr>
          <w:rFonts w:cs="Arial"/>
          <w:szCs w:val="22"/>
        </w:rPr>
        <w:t>s</w:t>
      </w:r>
      <w:r w:rsidRPr="007656CD">
        <w:rPr>
          <w:rFonts w:cs="Arial"/>
          <w:szCs w:val="22"/>
        </w:rPr>
        <w:t xml:space="preserve"> de 8 de las 9 </w:t>
      </w:r>
      <w:r w:rsidR="00185D86">
        <w:rPr>
          <w:rFonts w:cs="Arial"/>
          <w:szCs w:val="22"/>
        </w:rPr>
        <w:t xml:space="preserve">acciones </w:t>
      </w:r>
      <w:r w:rsidRPr="007656CD">
        <w:rPr>
          <w:rFonts w:cs="Arial"/>
          <w:szCs w:val="22"/>
        </w:rPr>
        <w:t>formuladas</w:t>
      </w:r>
      <w:r w:rsidR="007656CD" w:rsidRPr="007656CD">
        <w:rPr>
          <w:rFonts w:cs="Arial"/>
          <w:szCs w:val="22"/>
        </w:rPr>
        <w:t>.</w:t>
      </w:r>
    </w:p>
    <w:p w14:paraId="2C4FC952" w14:textId="0BEB111B" w:rsidR="007656CD" w:rsidRDefault="007656CD" w:rsidP="001D4811">
      <w:pPr>
        <w:pStyle w:val="Prrafodelista"/>
        <w:jc w:val="both"/>
        <w:rPr>
          <w:rFonts w:cs="Arial"/>
          <w:szCs w:val="22"/>
        </w:rPr>
      </w:pPr>
    </w:p>
    <w:p w14:paraId="53FBEE45" w14:textId="7D07191A" w:rsidR="007656CD" w:rsidRPr="006F4A18" w:rsidRDefault="007656CD" w:rsidP="006F4A18">
      <w:pPr>
        <w:pStyle w:val="Prrafodelista"/>
        <w:numPr>
          <w:ilvl w:val="0"/>
          <w:numId w:val="21"/>
        </w:numPr>
        <w:jc w:val="both"/>
        <w:rPr>
          <w:rFonts w:cs="Arial"/>
          <w:b/>
          <w:szCs w:val="22"/>
        </w:rPr>
      </w:pPr>
      <w:r w:rsidRPr="006F4A18">
        <w:rPr>
          <w:rFonts w:cs="Arial"/>
          <w:b/>
          <w:szCs w:val="22"/>
        </w:rPr>
        <w:t>Componente 2. Racionalización de trámites</w:t>
      </w:r>
    </w:p>
    <w:p w14:paraId="145AF81A" w14:textId="00ECC874" w:rsidR="007656CD" w:rsidRDefault="007656CD" w:rsidP="007656CD">
      <w:pPr>
        <w:jc w:val="both"/>
        <w:rPr>
          <w:rFonts w:cs="Arial"/>
          <w:b/>
          <w:szCs w:val="22"/>
        </w:rPr>
      </w:pPr>
    </w:p>
    <w:p w14:paraId="7C11E7E3" w14:textId="027FF2F0" w:rsidR="001B417D" w:rsidRPr="001B417D" w:rsidRDefault="007656CD" w:rsidP="001B417D">
      <w:pPr>
        <w:jc w:val="both"/>
        <w:rPr>
          <w:rFonts w:cs="Arial"/>
          <w:color w:val="0070C0"/>
          <w:szCs w:val="22"/>
          <w:u w:val="single"/>
        </w:rPr>
      </w:pPr>
      <w:r w:rsidRPr="007656CD">
        <w:rPr>
          <w:rFonts w:cs="Arial"/>
          <w:szCs w:val="22"/>
        </w:rPr>
        <w:t xml:space="preserve">Se cumplió en un </w:t>
      </w:r>
      <w:r w:rsidRPr="00267760">
        <w:rPr>
          <w:rFonts w:cs="Arial"/>
          <w:b/>
          <w:szCs w:val="22"/>
          <w:u w:val="single"/>
        </w:rPr>
        <w:t>100%</w:t>
      </w:r>
      <w:r w:rsidRPr="007656CD">
        <w:rPr>
          <w:rFonts w:cs="Arial"/>
          <w:szCs w:val="22"/>
        </w:rPr>
        <w:t xml:space="preserve"> </w:t>
      </w:r>
      <w:bookmarkStart w:id="3" w:name="_Hlk93128995"/>
      <w:r>
        <w:rPr>
          <w:rFonts w:cs="Arial"/>
          <w:szCs w:val="22"/>
        </w:rPr>
        <w:t>con relación a los parámetros y tiempos establecidos inicialmente</w:t>
      </w:r>
      <w:r w:rsidR="00BE1836">
        <w:rPr>
          <w:rFonts w:cs="Arial"/>
          <w:szCs w:val="22"/>
        </w:rPr>
        <w:t>, toda vez que se logró</w:t>
      </w:r>
      <w:bookmarkEnd w:id="3"/>
      <w:r w:rsidR="00BE1836">
        <w:rPr>
          <w:rFonts w:cs="Arial"/>
          <w:szCs w:val="22"/>
        </w:rPr>
        <w:t xml:space="preserve"> la </w:t>
      </w:r>
      <w:r w:rsidR="00492359">
        <w:rPr>
          <w:rFonts w:cs="Arial"/>
          <w:szCs w:val="22"/>
        </w:rPr>
        <w:t xml:space="preserve">propuesta de </w:t>
      </w:r>
      <w:r w:rsidR="00BE1836">
        <w:rPr>
          <w:rFonts w:cs="Arial"/>
          <w:szCs w:val="22"/>
        </w:rPr>
        <w:t xml:space="preserve">fusión de la asesoría de fachada </w:t>
      </w:r>
      <w:r w:rsidR="00492359">
        <w:rPr>
          <w:rFonts w:cs="Arial"/>
          <w:szCs w:val="22"/>
        </w:rPr>
        <w:t>con la asesoría técnica especializada</w:t>
      </w:r>
      <w:r w:rsidR="001B417D">
        <w:rPr>
          <w:rFonts w:cs="Arial"/>
          <w:szCs w:val="22"/>
        </w:rPr>
        <w:t xml:space="preserve">, puesto en funcionamiento en el siguiente link: </w:t>
      </w:r>
      <w:r w:rsidR="001B417D" w:rsidRPr="001B417D">
        <w:rPr>
          <w:rFonts w:cs="Arial"/>
          <w:color w:val="0070C0"/>
          <w:szCs w:val="22"/>
          <w:u w:val="single"/>
        </w:rPr>
        <w:t>https://aunclicdelpatrimonio.idpc.gov.co/en/asesoria-tecnica-personalizad</w:t>
      </w:r>
      <w:r w:rsidR="008F215F">
        <w:rPr>
          <w:rFonts w:cs="Arial"/>
          <w:color w:val="0070C0"/>
          <w:szCs w:val="22"/>
          <w:u w:val="single"/>
        </w:rPr>
        <w:t>a</w:t>
      </w:r>
    </w:p>
    <w:p w14:paraId="774D17AC" w14:textId="77777777" w:rsidR="00492359" w:rsidRDefault="00492359" w:rsidP="007656CD">
      <w:pPr>
        <w:jc w:val="both"/>
        <w:rPr>
          <w:rFonts w:cs="Arial"/>
          <w:szCs w:val="22"/>
        </w:rPr>
      </w:pPr>
    </w:p>
    <w:p w14:paraId="142D399D" w14:textId="0557D8EA" w:rsidR="00492359" w:rsidRPr="00492359" w:rsidRDefault="00492359" w:rsidP="004923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De otra parte, se optimizó durante la vigencia 2021, el programa “Adopta un Monumento” producto del cual s</w:t>
      </w:r>
      <w:r w:rsidRPr="00492359">
        <w:rPr>
          <w:rFonts w:cs="Arial"/>
          <w:szCs w:val="22"/>
        </w:rPr>
        <w:t xml:space="preserve">e puso a disposición de la ciudadanía el canal </w:t>
      </w:r>
      <w:r>
        <w:rPr>
          <w:rFonts w:cs="Arial"/>
          <w:szCs w:val="22"/>
        </w:rPr>
        <w:t xml:space="preserve">“A </w:t>
      </w:r>
      <w:r w:rsidRPr="00492359">
        <w:rPr>
          <w:rFonts w:cs="Arial"/>
          <w:szCs w:val="22"/>
        </w:rPr>
        <w:t>un clic del patrimonio</w:t>
      </w:r>
      <w:r>
        <w:rPr>
          <w:rFonts w:cs="Arial"/>
          <w:szCs w:val="22"/>
        </w:rPr>
        <w:t>”</w:t>
      </w:r>
      <w:r w:rsidRPr="00492359">
        <w:rPr>
          <w:rFonts w:cs="Arial"/>
          <w:szCs w:val="22"/>
        </w:rPr>
        <w:t xml:space="preserve"> para la gestión del servicio y se desplego la divulgación en los medios disponibles</w:t>
      </w:r>
    </w:p>
    <w:p w14:paraId="26080877" w14:textId="77777777" w:rsidR="00492359" w:rsidRPr="001B417D" w:rsidRDefault="00492359" w:rsidP="00492359">
      <w:pPr>
        <w:jc w:val="both"/>
        <w:rPr>
          <w:rFonts w:cs="Arial"/>
          <w:color w:val="0070C0"/>
          <w:szCs w:val="22"/>
          <w:u w:val="single"/>
        </w:rPr>
      </w:pPr>
      <w:r w:rsidRPr="001B417D">
        <w:rPr>
          <w:rFonts w:cs="Arial"/>
          <w:color w:val="0070C0"/>
          <w:szCs w:val="22"/>
          <w:u w:val="single"/>
        </w:rPr>
        <w:t>https://aunclicdelpatrimonio.idpc.gov.co/en/adopta-un-monumento</w:t>
      </w:r>
    </w:p>
    <w:p w14:paraId="1D397B33" w14:textId="77777777" w:rsidR="00492359" w:rsidRPr="00492359" w:rsidRDefault="00492359" w:rsidP="00492359">
      <w:pPr>
        <w:jc w:val="both"/>
        <w:rPr>
          <w:rFonts w:cs="Arial"/>
          <w:szCs w:val="22"/>
        </w:rPr>
      </w:pPr>
    </w:p>
    <w:p w14:paraId="41380F52" w14:textId="0989166E" w:rsidR="00492359" w:rsidRPr="00492359" w:rsidRDefault="00492359" w:rsidP="00492359">
      <w:pPr>
        <w:jc w:val="both"/>
        <w:rPr>
          <w:rFonts w:cs="Arial"/>
          <w:szCs w:val="22"/>
        </w:rPr>
      </w:pPr>
      <w:r w:rsidRPr="00492359">
        <w:rPr>
          <w:rFonts w:cs="Arial"/>
          <w:szCs w:val="22"/>
        </w:rPr>
        <w:t>El aplicativo a un clic del Patrimonio</w:t>
      </w:r>
      <w:r w:rsidR="001B417D">
        <w:rPr>
          <w:rFonts w:cs="Arial"/>
          <w:szCs w:val="22"/>
        </w:rPr>
        <w:t xml:space="preserve">, </w:t>
      </w:r>
      <w:r w:rsidRPr="00492359">
        <w:rPr>
          <w:rFonts w:cs="Arial"/>
          <w:szCs w:val="22"/>
        </w:rPr>
        <w:t>tiene disponible</w:t>
      </w:r>
      <w:r w:rsidR="001B417D">
        <w:rPr>
          <w:rFonts w:cs="Arial"/>
          <w:szCs w:val="22"/>
        </w:rPr>
        <w:t xml:space="preserve"> y funcional </w:t>
      </w:r>
      <w:r w:rsidRPr="00492359">
        <w:rPr>
          <w:rFonts w:cs="Arial"/>
          <w:szCs w:val="22"/>
        </w:rPr>
        <w:t>el cargue de los documentos definidos para adelantar el servicio de adopta un monumento</w:t>
      </w:r>
      <w:r w:rsidR="001B417D">
        <w:rPr>
          <w:rFonts w:cs="Arial"/>
          <w:szCs w:val="22"/>
        </w:rPr>
        <w:t xml:space="preserve"> y la notificación electrónica</w:t>
      </w:r>
      <w:r w:rsidR="00584171">
        <w:rPr>
          <w:rFonts w:cs="Arial"/>
          <w:szCs w:val="22"/>
        </w:rPr>
        <w:t xml:space="preserve">. </w:t>
      </w:r>
    </w:p>
    <w:p w14:paraId="6D157000" w14:textId="6A76930E" w:rsidR="007B5341" w:rsidRPr="007656CD" w:rsidRDefault="007B5341" w:rsidP="007E187A">
      <w:pPr>
        <w:jc w:val="both"/>
        <w:rPr>
          <w:rFonts w:cs="Arial"/>
        </w:rPr>
      </w:pPr>
    </w:p>
    <w:p w14:paraId="61F45F05" w14:textId="74129C3D" w:rsidR="007B5341" w:rsidRPr="00EE3278" w:rsidRDefault="006F4A18" w:rsidP="00EE3278">
      <w:pPr>
        <w:pStyle w:val="Prrafodelista"/>
        <w:numPr>
          <w:ilvl w:val="0"/>
          <w:numId w:val="21"/>
        </w:numPr>
        <w:jc w:val="both"/>
        <w:rPr>
          <w:rFonts w:cs="Arial"/>
          <w:b/>
        </w:rPr>
      </w:pPr>
      <w:r w:rsidRPr="00EE3278">
        <w:rPr>
          <w:rFonts w:cs="Arial"/>
          <w:b/>
        </w:rPr>
        <w:t>Componente 3. Rendición de Cuentas</w:t>
      </w:r>
    </w:p>
    <w:p w14:paraId="289A4186" w14:textId="0900CA72" w:rsidR="007B5341" w:rsidRPr="006F4A18" w:rsidRDefault="007B5341" w:rsidP="007E187A">
      <w:pPr>
        <w:jc w:val="both"/>
        <w:rPr>
          <w:rFonts w:cs="Arial"/>
        </w:rPr>
      </w:pPr>
    </w:p>
    <w:p w14:paraId="67D0F21D" w14:textId="77777777" w:rsidR="00C83FEA" w:rsidRDefault="006F4A18" w:rsidP="00752611">
      <w:pPr>
        <w:jc w:val="both"/>
        <w:rPr>
          <w:rFonts w:cs="Arial"/>
        </w:rPr>
      </w:pPr>
      <w:r>
        <w:rPr>
          <w:rFonts w:cs="Arial"/>
        </w:rPr>
        <w:t xml:space="preserve">Este componente </w:t>
      </w:r>
      <w:r w:rsidR="00C83FEA">
        <w:rPr>
          <w:rFonts w:cs="Arial"/>
        </w:rPr>
        <w:t xml:space="preserve">cumplió en un </w:t>
      </w:r>
      <w:r w:rsidR="00150298">
        <w:rPr>
          <w:rFonts w:cs="Arial"/>
          <w:b/>
          <w:u w:val="single"/>
        </w:rPr>
        <w:t>100</w:t>
      </w:r>
      <w:r w:rsidRPr="00267760">
        <w:rPr>
          <w:rFonts w:cs="Arial"/>
          <w:b/>
          <w:u w:val="single"/>
        </w:rPr>
        <w:t>%</w:t>
      </w:r>
      <w:r>
        <w:rPr>
          <w:rFonts w:cs="Arial"/>
        </w:rPr>
        <w:t xml:space="preserve"> </w:t>
      </w:r>
      <w:r w:rsidR="00C83FEA">
        <w:rPr>
          <w:rFonts w:cs="Arial"/>
          <w:szCs w:val="22"/>
        </w:rPr>
        <w:t>con relación a los parámetros y tiempos establecidos inicialmente, toda vez que se logró</w:t>
      </w:r>
      <w:r w:rsidR="00C83FEA">
        <w:rPr>
          <w:rFonts w:cs="Arial"/>
        </w:rPr>
        <w:t xml:space="preserve"> los objetivos propuestos relacionados con:   </w:t>
      </w:r>
    </w:p>
    <w:p w14:paraId="54611F4F" w14:textId="77777777" w:rsidR="00C83FEA" w:rsidRDefault="00C83FEA" w:rsidP="00752611">
      <w:pPr>
        <w:jc w:val="both"/>
        <w:rPr>
          <w:rFonts w:cs="Arial"/>
        </w:rPr>
      </w:pPr>
    </w:p>
    <w:p w14:paraId="348E4D96" w14:textId="2481D470" w:rsidR="00C83FEA" w:rsidRDefault="00C83FEA" w:rsidP="00C83FEA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 w:rsidRPr="00C83FEA">
        <w:rPr>
          <w:rFonts w:cs="Arial"/>
        </w:rPr>
        <w:t>Conformar el grupo líder de rendición de cuentas al interior del Instituto.</w:t>
      </w:r>
    </w:p>
    <w:p w14:paraId="23BF8DBA" w14:textId="2C6E6B3C" w:rsidR="00C83FEA" w:rsidRDefault="00C83FEA" w:rsidP="00C83FEA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 w:rsidRPr="00C83FEA">
        <w:rPr>
          <w:rFonts w:cs="Arial"/>
        </w:rPr>
        <w:t>Formular y aprobar el Plan Institucional de Participación Ciudadana.</w:t>
      </w:r>
    </w:p>
    <w:p w14:paraId="2314A82D" w14:textId="22D4F596" w:rsidR="00C83FEA" w:rsidRDefault="00C83FEA" w:rsidP="00C83FEA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 xml:space="preserve">Se ejecutaron las actividades definidas en el PIPC, conducentes a </w:t>
      </w:r>
      <w:r w:rsidRPr="00C83FEA">
        <w:rPr>
          <w:rFonts w:cs="Arial"/>
        </w:rPr>
        <w:t>garantizar la participación y control social de la ciudadanía en la misionalidad del IDPC.</w:t>
      </w:r>
    </w:p>
    <w:p w14:paraId="5EDE4E49" w14:textId="4DEFAC52" w:rsidR="00C83FEA" w:rsidRDefault="00C83FEA" w:rsidP="00C83FEA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 xml:space="preserve">Se realizaron jornadas de </w:t>
      </w:r>
      <w:r w:rsidRPr="00C83FEA">
        <w:rPr>
          <w:rFonts w:cs="Arial"/>
        </w:rPr>
        <w:t>sensibilización internas sobre la importancia de la participación ciudadana con enfoque diferencial, territoria</w:t>
      </w:r>
      <w:r>
        <w:rPr>
          <w:rFonts w:cs="Arial"/>
        </w:rPr>
        <w:t>l</w:t>
      </w:r>
    </w:p>
    <w:p w14:paraId="7EB292BD" w14:textId="50F5C823" w:rsidR="00C83FEA" w:rsidRDefault="00C83FEA" w:rsidP="00C83FEA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 xml:space="preserve">Se llevó a cabo el </w:t>
      </w:r>
      <w:r w:rsidRPr="00C83FEA">
        <w:rPr>
          <w:rFonts w:cs="Arial"/>
        </w:rPr>
        <w:t>evento de rendición de cuentas de la gestión institucional de la vigencia 202</w:t>
      </w:r>
      <w:r>
        <w:rPr>
          <w:rFonts w:cs="Arial"/>
        </w:rPr>
        <w:t xml:space="preserve">1, en el marco de la rendición de cuentas del sector cultura el cual fue realizado el 3 de diciembre en el auditorio de la biblioteca Virgilio Barco. </w:t>
      </w:r>
    </w:p>
    <w:p w14:paraId="714FE212" w14:textId="1AFDF8E8" w:rsidR="00C83FEA" w:rsidRPr="00C83FEA" w:rsidRDefault="00C83FEA" w:rsidP="00C83FEA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 xml:space="preserve">Fueron atendidas y respondidas oficialmente </w:t>
      </w:r>
      <w:r w:rsidRPr="00C83FEA">
        <w:rPr>
          <w:rFonts w:cs="Arial"/>
        </w:rPr>
        <w:t xml:space="preserve">las solicitudes de información </w:t>
      </w:r>
      <w:r>
        <w:rPr>
          <w:rFonts w:cs="Arial"/>
        </w:rPr>
        <w:t>realizada por la c</w:t>
      </w:r>
      <w:r w:rsidRPr="00C83FEA">
        <w:rPr>
          <w:rFonts w:cs="Arial"/>
        </w:rPr>
        <w:t>iudadanía a partir del evento de rendición de cuentas.</w:t>
      </w:r>
    </w:p>
    <w:p w14:paraId="2A5C665D" w14:textId="1C429C33" w:rsidR="00752611" w:rsidRDefault="00643128" w:rsidP="00752611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ADEE105" w14:textId="397D53F0" w:rsidR="00EE3278" w:rsidRDefault="00EE3278" w:rsidP="00EE3278">
      <w:pPr>
        <w:pStyle w:val="Prrafodelista"/>
        <w:numPr>
          <w:ilvl w:val="0"/>
          <w:numId w:val="21"/>
        </w:numPr>
        <w:jc w:val="both"/>
        <w:rPr>
          <w:rFonts w:cs="Arial"/>
          <w:b/>
        </w:rPr>
      </w:pPr>
      <w:r w:rsidRPr="00EE3278">
        <w:rPr>
          <w:rFonts w:cs="Arial"/>
          <w:b/>
        </w:rPr>
        <w:t xml:space="preserve">Componente </w:t>
      </w:r>
      <w:r>
        <w:rPr>
          <w:rFonts w:cs="Arial"/>
          <w:b/>
        </w:rPr>
        <w:t>4</w:t>
      </w:r>
      <w:r w:rsidRPr="00EE3278">
        <w:rPr>
          <w:rFonts w:cs="Arial"/>
          <w:b/>
        </w:rPr>
        <w:t xml:space="preserve">. </w:t>
      </w:r>
      <w:r>
        <w:rPr>
          <w:rFonts w:cs="Arial"/>
          <w:b/>
        </w:rPr>
        <w:t>Servicio al</w:t>
      </w:r>
      <w:r w:rsidRPr="00EE3278">
        <w:rPr>
          <w:rFonts w:cs="Arial"/>
          <w:b/>
        </w:rPr>
        <w:t xml:space="preserve"> Ciudadano</w:t>
      </w:r>
    </w:p>
    <w:p w14:paraId="1809F508" w14:textId="52B6EAC0" w:rsidR="00EE3278" w:rsidRDefault="00EE3278" w:rsidP="00EE3278">
      <w:pPr>
        <w:jc w:val="both"/>
        <w:rPr>
          <w:rFonts w:cs="Arial"/>
          <w:b/>
        </w:rPr>
      </w:pPr>
    </w:p>
    <w:p w14:paraId="0CAD6841" w14:textId="490FDF7A" w:rsidR="00610668" w:rsidRDefault="00EE3278" w:rsidP="00610668">
      <w:pPr>
        <w:jc w:val="both"/>
        <w:rPr>
          <w:rFonts w:cs="Arial"/>
        </w:rPr>
      </w:pPr>
      <w:r w:rsidRPr="00EE3278">
        <w:rPr>
          <w:rFonts w:cs="Arial"/>
        </w:rPr>
        <w:t>Este componente al</w:t>
      </w:r>
      <w:r>
        <w:rPr>
          <w:rFonts w:cs="Arial"/>
        </w:rPr>
        <w:t>ca</w:t>
      </w:r>
      <w:r w:rsidRPr="00EE3278">
        <w:rPr>
          <w:rFonts w:cs="Arial"/>
        </w:rPr>
        <w:t xml:space="preserve">nzó el </w:t>
      </w:r>
      <w:r w:rsidR="00610668">
        <w:rPr>
          <w:rFonts w:cs="Arial"/>
          <w:b/>
          <w:u w:val="single"/>
        </w:rPr>
        <w:t>90</w:t>
      </w:r>
      <w:r w:rsidRPr="00267760">
        <w:rPr>
          <w:rFonts w:cs="Arial"/>
          <w:b/>
          <w:u w:val="single"/>
        </w:rPr>
        <w:t>%</w:t>
      </w:r>
      <w:r w:rsidRPr="00EE3278">
        <w:rPr>
          <w:rFonts w:cs="Arial"/>
        </w:rPr>
        <w:t xml:space="preserve"> de cumplimiento </w:t>
      </w:r>
      <w:r w:rsidR="00643128">
        <w:rPr>
          <w:rFonts w:cs="Arial"/>
        </w:rPr>
        <w:t xml:space="preserve">presentando debilidad en el </w:t>
      </w:r>
      <w:r w:rsidR="00643128" w:rsidRPr="00643128">
        <w:rPr>
          <w:rFonts w:cs="Arial"/>
        </w:rPr>
        <w:t>Subcomponente 2</w:t>
      </w:r>
      <w:r w:rsidR="00643128">
        <w:rPr>
          <w:rFonts w:cs="Arial"/>
        </w:rPr>
        <w:t xml:space="preserve"> - </w:t>
      </w:r>
      <w:r w:rsidR="00643128" w:rsidRPr="00643128">
        <w:rPr>
          <w:rFonts w:cs="Arial"/>
        </w:rPr>
        <w:t>Fortalecimiento de los canales de atención</w:t>
      </w:r>
      <w:r w:rsidR="00643128">
        <w:rPr>
          <w:rFonts w:cs="Arial"/>
        </w:rPr>
        <w:t xml:space="preserve">, numeral 4.2.1 </w:t>
      </w:r>
      <w:r w:rsidR="00DC6FD7">
        <w:rPr>
          <w:rFonts w:cs="Arial"/>
        </w:rPr>
        <w:t>–</w:t>
      </w:r>
      <w:r w:rsidR="00643128">
        <w:rPr>
          <w:rFonts w:cs="Arial"/>
        </w:rPr>
        <w:t xml:space="preserve"> </w:t>
      </w:r>
      <w:r w:rsidR="00DC6FD7">
        <w:rPr>
          <w:rFonts w:cs="Arial"/>
        </w:rPr>
        <w:t>“</w:t>
      </w:r>
      <w:r w:rsidR="00DC6FD7" w:rsidRPr="00DC6FD7">
        <w:rPr>
          <w:rFonts w:cs="Arial"/>
          <w:i/>
          <w:sz w:val="20"/>
        </w:rPr>
        <w:t>Adecuación de espacio</w:t>
      </w:r>
      <w:r w:rsidR="00643128" w:rsidRPr="00DC6FD7">
        <w:rPr>
          <w:rFonts w:cs="Arial"/>
          <w:i/>
          <w:sz w:val="20"/>
        </w:rPr>
        <w:t xml:space="preserve"> físico de la sede del Palomar de acuerdo con el plan de trabajo de ajustes razonables de accesibilidad aprobado por el IDPC</w:t>
      </w:r>
      <w:r w:rsidR="00DC6FD7">
        <w:rPr>
          <w:rFonts w:cs="Arial"/>
        </w:rPr>
        <w:t>”</w:t>
      </w:r>
      <w:r w:rsidR="00643128">
        <w:rPr>
          <w:rFonts w:cs="Arial"/>
        </w:rPr>
        <w:t xml:space="preserve">, </w:t>
      </w:r>
      <w:r w:rsidR="00DC6FD7">
        <w:rPr>
          <w:rFonts w:cs="Arial"/>
        </w:rPr>
        <w:t>ya</w:t>
      </w:r>
      <w:r w:rsidR="00643128">
        <w:rPr>
          <w:rFonts w:cs="Arial"/>
        </w:rPr>
        <w:t xml:space="preserve"> que en el seguimiento del tercer cuatrimestre, </w:t>
      </w:r>
      <w:r w:rsidR="00610668" w:rsidRPr="00610668">
        <w:rPr>
          <w:rFonts w:cs="Arial"/>
        </w:rPr>
        <w:t>se observó que el cronograma inicial de ejecución de la obra a cargo de Atención a la Ciudadanía estableció 15 actividades de las cuales a 31 de diciembre 2021 fueron ejecutadas 7 que corresponde al 47%</w:t>
      </w:r>
      <w:r w:rsidR="00DC6FD7">
        <w:rPr>
          <w:rFonts w:cs="Arial"/>
        </w:rPr>
        <w:t>,</w:t>
      </w:r>
      <w:r w:rsidR="00610668" w:rsidRPr="00610668">
        <w:rPr>
          <w:rFonts w:cs="Arial"/>
        </w:rPr>
        <w:t xml:space="preserve"> incumpliendo 8 relacionadas con: </w:t>
      </w:r>
    </w:p>
    <w:p w14:paraId="5D3CF85D" w14:textId="77777777" w:rsidR="00610668" w:rsidRPr="00610668" w:rsidRDefault="00610668" w:rsidP="00610668">
      <w:pPr>
        <w:jc w:val="both"/>
        <w:rPr>
          <w:rFonts w:cs="Arial"/>
        </w:rPr>
      </w:pPr>
    </w:p>
    <w:p w14:paraId="73852CA6" w14:textId="506B3A96" w:rsidR="00610668" w:rsidRPr="00610668" w:rsidRDefault="00610668" w:rsidP="0061066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 w:rsidRPr="00610668">
        <w:rPr>
          <w:rFonts w:cs="Arial"/>
          <w:b/>
        </w:rPr>
        <w:t>Escaleras y rampas:</w:t>
      </w:r>
      <w:r w:rsidRPr="00610668">
        <w:rPr>
          <w:rFonts w:cs="Arial"/>
        </w:rPr>
        <w:t xml:space="preserve"> se realizarán las cotizaciones pertinentes frente al pasamanos y franjas táctiles de alerta en el inicio y fin del tramo </w:t>
      </w:r>
    </w:p>
    <w:p w14:paraId="570ECE7F" w14:textId="3AB5AFC2" w:rsidR="00610668" w:rsidRPr="00610668" w:rsidRDefault="00610668" w:rsidP="0061066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 w:rsidRPr="00610668">
        <w:rPr>
          <w:rFonts w:cs="Arial"/>
          <w:b/>
        </w:rPr>
        <w:t>Señalización:</w:t>
      </w:r>
      <w:r w:rsidRPr="00610668">
        <w:rPr>
          <w:rFonts w:cs="Arial"/>
        </w:rPr>
        <w:t xml:space="preserve"> Se realizará cotización de los implementos requeridos para mejorar la señalización en la sede</w:t>
      </w:r>
    </w:p>
    <w:p w14:paraId="6E14B114" w14:textId="5A348D07" w:rsidR="00610668" w:rsidRPr="00610668" w:rsidRDefault="00610668" w:rsidP="0061066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 w:rsidRPr="00610668">
        <w:rPr>
          <w:rFonts w:cs="Arial"/>
        </w:rPr>
        <w:lastRenderedPageBreak/>
        <w:t>Se realizará un video en lenguaje de señas por parte de la Oficina de Transparencia y Atención a la ciudadanía, con el apoyo de la oficina de Comunicaciones y la oficina de Enfoque Diferencial</w:t>
      </w:r>
    </w:p>
    <w:p w14:paraId="2ADA4F64" w14:textId="04E0967A" w:rsidR="00610668" w:rsidRPr="00610668" w:rsidRDefault="00610668" w:rsidP="0061066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 w:rsidRPr="00610668">
        <w:rPr>
          <w:rFonts w:cs="Arial"/>
        </w:rPr>
        <w:t>Instalación de un televisor que proyecte la información que se va a plasmar en el o los videos en lenguaje de señas</w:t>
      </w:r>
    </w:p>
    <w:p w14:paraId="14248460" w14:textId="0DC1AF49" w:rsidR="00610668" w:rsidRPr="00610668" w:rsidRDefault="00610668" w:rsidP="0061066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 w:rsidRPr="00610668">
        <w:rPr>
          <w:rFonts w:cs="Arial"/>
          <w:b/>
        </w:rPr>
        <w:t>Plan de evacuación:</w:t>
      </w:r>
      <w:r w:rsidRPr="00610668">
        <w:rPr>
          <w:rFonts w:cs="Arial"/>
        </w:rPr>
        <w:t xml:space="preserve"> Se implementarán rutas de evacuación debidamente señalizadas que contemplen las medidas necesarias para un usuario en silla de ruedas.</w:t>
      </w:r>
    </w:p>
    <w:p w14:paraId="57F71092" w14:textId="4B77A4E2" w:rsidR="00610668" w:rsidRPr="00610668" w:rsidRDefault="00610668" w:rsidP="0061066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 w:rsidRPr="00610668">
        <w:rPr>
          <w:rFonts w:cs="Arial"/>
          <w:b/>
        </w:rPr>
        <w:t>Sillas:</w:t>
      </w:r>
      <w:r w:rsidRPr="00610668">
        <w:rPr>
          <w:rFonts w:cs="Arial"/>
        </w:rPr>
        <w:t xml:space="preserve"> Se realizará cotización de sillas con las especificaciones solicitadas Adicionalmente, se tendrán en cuenta dos sillas de color para embarazadas y adultos mayores</w:t>
      </w:r>
    </w:p>
    <w:p w14:paraId="3C4385A2" w14:textId="362AC662" w:rsidR="00610668" w:rsidRPr="00610668" w:rsidRDefault="00610668" w:rsidP="0061066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 w:rsidRPr="00610668">
        <w:rPr>
          <w:rFonts w:cs="Arial"/>
          <w:b/>
        </w:rPr>
        <w:t>Sillas:</w:t>
      </w:r>
      <w:r w:rsidRPr="00610668">
        <w:rPr>
          <w:rFonts w:cs="Arial"/>
        </w:rPr>
        <w:t xml:space="preserve"> Se implementarán en la sede las sillas adquiridas, reemplazando las ya existentes</w:t>
      </w:r>
    </w:p>
    <w:p w14:paraId="056A7478" w14:textId="51708526" w:rsidR="00610668" w:rsidRPr="00610668" w:rsidRDefault="00610668" w:rsidP="0061066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 w:rsidRPr="00610668">
        <w:rPr>
          <w:rFonts w:cs="Arial"/>
          <w:b/>
        </w:rPr>
        <w:t>Puertas:</w:t>
      </w:r>
      <w:r w:rsidRPr="00610668">
        <w:rPr>
          <w:rFonts w:cs="Arial"/>
        </w:rPr>
        <w:t xml:space="preserve"> Cambio de manija de baños</w:t>
      </w:r>
    </w:p>
    <w:p w14:paraId="5D38ED1A" w14:textId="6BECF2E2" w:rsidR="00643128" w:rsidRDefault="00643128" w:rsidP="00643128">
      <w:pPr>
        <w:jc w:val="both"/>
        <w:rPr>
          <w:rFonts w:cs="Arial"/>
        </w:rPr>
      </w:pPr>
    </w:p>
    <w:p w14:paraId="450DD732" w14:textId="00F3E9DB" w:rsidR="00C30C2A" w:rsidRDefault="00643128" w:rsidP="00C30C2A">
      <w:pPr>
        <w:jc w:val="both"/>
        <w:rPr>
          <w:rFonts w:cs="Arial"/>
        </w:rPr>
      </w:pPr>
      <w:r>
        <w:rPr>
          <w:rFonts w:cs="Arial"/>
        </w:rPr>
        <w:t xml:space="preserve">De otra parte, el </w:t>
      </w:r>
      <w:r w:rsidRPr="00643128">
        <w:rPr>
          <w:rFonts w:cs="Arial"/>
        </w:rPr>
        <w:t>Subcomponente 3</w:t>
      </w:r>
      <w:r>
        <w:rPr>
          <w:rFonts w:cs="Arial"/>
        </w:rPr>
        <w:t xml:space="preserve">. </w:t>
      </w:r>
      <w:r w:rsidRPr="00643128">
        <w:rPr>
          <w:rFonts w:cs="Arial"/>
        </w:rPr>
        <w:t>Talento Humano</w:t>
      </w:r>
      <w:r>
        <w:rPr>
          <w:rFonts w:cs="Arial"/>
        </w:rPr>
        <w:t xml:space="preserve">, numeral 4.3.2. </w:t>
      </w:r>
      <w:r w:rsidR="00DC6FD7">
        <w:rPr>
          <w:rFonts w:cs="Arial"/>
        </w:rPr>
        <w:t>“</w:t>
      </w:r>
      <w:r w:rsidRPr="00DC6FD7">
        <w:rPr>
          <w:rFonts w:cs="Arial"/>
          <w:i/>
          <w:sz w:val="20"/>
        </w:rPr>
        <w:t>Implementar la estrategia de reconocimiento al mejor servidor de atención a la ciudadanía</w:t>
      </w:r>
      <w:r w:rsidR="00DC6FD7">
        <w:rPr>
          <w:rFonts w:cs="Arial"/>
          <w:i/>
          <w:sz w:val="20"/>
        </w:rPr>
        <w:t>”</w:t>
      </w:r>
      <w:r>
        <w:rPr>
          <w:rFonts w:cs="Arial"/>
        </w:rPr>
        <w:t xml:space="preserve">, se observó que en los informes mensuales de </w:t>
      </w:r>
      <w:r w:rsidRPr="00643128">
        <w:rPr>
          <w:rFonts w:cs="Arial"/>
        </w:rPr>
        <w:t xml:space="preserve">la aplicación de encuesta de satisfacción de servicio a la ciudadanía fue incluido en el numeral IV. El reconocimiento al mejor </w:t>
      </w:r>
      <w:r w:rsidR="00655D5C" w:rsidRPr="00643128">
        <w:rPr>
          <w:rFonts w:cs="Arial"/>
        </w:rPr>
        <w:t>servidor,</w:t>
      </w:r>
      <w:r>
        <w:rPr>
          <w:rFonts w:cs="Arial"/>
        </w:rPr>
        <w:t xml:space="preserve"> no </w:t>
      </w:r>
      <w:r w:rsidR="002C4D18">
        <w:rPr>
          <w:rFonts w:cs="Arial"/>
        </w:rPr>
        <w:t>obstante,</w:t>
      </w:r>
      <w:r w:rsidR="00C30C2A">
        <w:rPr>
          <w:rFonts w:cs="Arial"/>
        </w:rPr>
        <w:t xml:space="preserve"> </w:t>
      </w:r>
      <w:r>
        <w:rPr>
          <w:rFonts w:cs="Arial"/>
        </w:rPr>
        <w:t>lo anterior f</w:t>
      </w:r>
      <w:r w:rsidRPr="00643128">
        <w:rPr>
          <w:rFonts w:cs="Arial"/>
        </w:rPr>
        <w:t>altan soportes del reconocimiento visible en las sedes de atención a la ciudadanía</w:t>
      </w:r>
      <w:r w:rsidR="00C30C2A">
        <w:rPr>
          <w:rFonts w:cs="Arial"/>
        </w:rPr>
        <w:t xml:space="preserve">, </w:t>
      </w:r>
      <w:r w:rsidRPr="00643128">
        <w:rPr>
          <w:rFonts w:cs="Arial"/>
        </w:rPr>
        <w:t>en la intranet de la entidad</w:t>
      </w:r>
      <w:r>
        <w:rPr>
          <w:rFonts w:cs="Arial"/>
        </w:rPr>
        <w:t xml:space="preserve">, así como </w:t>
      </w:r>
      <w:r w:rsidRPr="00643128">
        <w:rPr>
          <w:rFonts w:cs="Arial"/>
        </w:rPr>
        <w:t>soporte de la entrega de los reconocimientos a las personas ganadoras</w:t>
      </w:r>
      <w:r>
        <w:rPr>
          <w:rFonts w:cs="Arial"/>
        </w:rPr>
        <w:t xml:space="preserve">, actividades que fueron incluidas en la </w:t>
      </w:r>
      <w:r w:rsidR="00C30C2A">
        <w:rPr>
          <w:rFonts w:cs="Arial"/>
        </w:rPr>
        <w:t>“</w:t>
      </w:r>
      <w:r w:rsidR="00C30C2A" w:rsidRPr="00DC6FD7">
        <w:rPr>
          <w:rFonts w:cs="Arial"/>
          <w:i/>
          <w:sz w:val="20"/>
        </w:rPr>
        <w:t>Estrategia de reconocimiento al mejor servidor de atención a la ciudadanía del Instituto Distrital de Patrimonio Cultural - Versión 2</w:t>
      </w:r>
      <w:r w:rsidR="00C30C2A">
        <w:rPr>
          <w:rFonts w:cs="Arial"/>
        </w:rPr>
        <w:t>”</w:t>
      </w:r>
      <w:r w:rsidR="002C4D18">
        <w:rPr>
          <w:rFonts w:cs="Arial"/>
        </w:rPr>
        <w:t xml:space="preserve">, con base en lo anterior </w:t>
      </w:r>
      <w:r w:rsidR="00655D5C">
        <w:rPr>
          <w:rFonts w:cs="Arial"/>
        </w:rPr>
        <w:t>esta</w:t>
      </w:r>
      <w:r w:rsidR="002C4D18">
        <w:rPr>
          <w:rFonts w:cs="Arial"/>
        </w:rPr>
        <w:t xml:space="preserve"> acción queda cumplida en un 50%. </w:t>
      </w:r>
    </w:p>
    <w:p w14:paraId="7FF83620" w14:textId="70417870" w:rsidR="002C4D18" w:rsidRDefault="002C4D18" w:rsidP="00C30C2A">
      <w:pPr>
        <w:jc w:val="both"/>
        <w:rPr>
          <w:rFonts w:cs="Arial"/>
        </w:rPr>
      </w:pPr>
    </w:p>
    <w:p w14:paraId="1AB6429F" w14:textId="7BA52128" w:rsidR="002C4D18" w:rsidRPr="00655D5C" w:rsidRDefault="002C4D18" w:rsidP="00655D5C">
      <w:pPr>
        <w:pStyle w:val="Prrafodelista"/>
        <w:numPr>
          <w:ilvl w:val="0"/>
          <w:numId w:val="21"/>
        </w:numPr>
        <w:jc w:val="both"/>
        <w:rPr>
          <w:rFonts w:cs="Arial"/>
          <w:b/>
        </w:rPr>
      </w:pPr>
      <w:r w:rsidRPr="00655D5C">
        <w:rPr>
          <w:rFonts w:cs="Arial"/>
          <w:b/>
        </w:rPr>
        <w:t xml:space="preserve">Componente 5. </w:t>
      </w:r>
      <w:r w:rsidR="00655D5C" w:rsidRPr="00655D5C">
        <w:rPr>
          <w:rFonts w:cs="Arial"/>
          <w:b/>
        </w:rPr>
        <w:t>Transparencia y acceso a la información</w:t>
      </w:r>
    </w:p>
    <w:p w14:paraId="6471AD6C" w14:textId="5DE1D618" w:rsidR="00C30C2A" w:rsidRDefault="00C30C2A" w:rsidP="00EE3278">
      <w:pPr>
        <w:jc w:val="both"/>
        <w:rPr>
          <w:rFonts w:cs="Arial"/>
        </w:rPr>
      </w:pPr>
    </w:p>
    <w:p w14:paraId="699246D1" w14:textId="028600C1" w:rsidR="00EF1134" w:rsidRDefault="00655D5C" w:rsidP="00655D5C">
      <w:pPr>
        <w:jc w:val="both"/>
        <w:rPr>
          <w:rFonts w:cs="Arial"/>
        </w:rPr>
      </w:pPr>
      <w:r>
        <w:rPr>
          <w:rFonts w:cs="Arial"/>
        </w:rPr>
        <w:t xml:space="preserve">Este componente alcanzó el </w:t>
      </w:r>
      <w:r w:rsidRPr="00267760">
        <w:rPr>
          <w:rFonts w:cs="Arial"/>
          <w:b/>
          <w:u w:val="single"/>
        </w:rPr>
        <w:t>9</w:t>
      </w:r>
      <w:r w:rsidR="00F47F98">
        <w:rPr>
          <w:rFonts w:cs="Arial"/>
          <w:b/>
          <w:u w:val="single"/>
        </w:rPr>
        <w:t>5</w:t>
      </w:r>
      <w:r w:rsidRPr="00267760">
        <w:rPr>
          <w:rFonts w:cs="Arial"/>
          <w:b/>
          <w:u w:val="single"/>
        </w:rPr>
        <w:t>%</w:t>
      </w:r>
      <w:r>
        <w:rPr>
          <w:rFonts w:cs="Arial"/>
        </w:rPr>
        <w:t xml:space="preserve"> de cumplimiento presentando debilidad en el </w:t>
      </w:r>
      <w:r w:rsidRPr="00655D5C">
        <w:rPr>
          <w:rFonts w:cs="Arial"/>
        </w:rPr>
        <w:t>Subcomponente 1</w:t>
      </w:r>
      <w:r>
        <w:rPr>
          <w:rFonts w:cs="Arial"/>
        </w:rPr>
        <w:t xml:space="preserve">. </w:t>
      </w:r>
      <w:r w:rsidRPr="00655D5C">
        <w:rPr>
          <w:rFonts w:cs="Arial"/>
        </w:rPr>
        <w:t>Lineamientos de Transparencia Activa</w:t>
      </w:r>
      <w:r w:rsidR="00DC6FD7">
        <w:rPr>
          <w:rFonts w:cs="Arial"/>
        </w:rPr>
        <w:t xml:space="preserve"> y Subcomponente 4. </w:t>
      </w:r>
      <w:r w:rsidR="00DC6FD7" w:rsidRPr="00DC6FD7">
        <w:rPr>
          <w:rFonts w:cs="Arial"/>
        </w:rPr>
        <w:t>Criterio Diferencial de Accesibilidad</w:t>
      </w:r>
      <w:r w:rsidR="00EF1134">
        <w:rPr>
          <w:rFonts w:cs="Arial"/>
        </w:rPr>
        <w:t xml:space="preserve">: </w:t>
      </w:r>
    </w:p>
    <w:p w14:paraId="6F5C170C" w14:textId="77777777" w:rsidR="00EF1134" w:rsidRDefault="00EF1134" w:rsidP="00655D5C">
      <w:pPr>
        <w:jc w:val="both"/>
        <w:rPr>
          <w:rFonts w:cs="Arial"/>
        </w:rPr>
      </w:pPr>
    </w:p>
    <w:p w14:paraId="51B20ACC" w14:textId="5B1C7FB5" w:rsidR="00EF1134" w:rsidRPr="00EF1134" w:rsidRDefault="00EF1134" w:rsidP="00EF1134">
      <w:pPr>
        <w:pStyle w:val="Prrafodelista"/>
        <w:numPr>
          <w:ilvl w:val="0"/>
          <w:numId w:val="28"/>
        </w:numPr>
        <w:jc w:val="both"/>
        <w:rPr>
          <w:rFonts w:cs="Arial"/>
          <w:b/>
        </w:rPr>
      </w:pPr>
      <w:r w:rsidRPr="00EF1134">
        <w:rPr>
          <w:rFonts w:cs="Arial"/>
          <w:b/>
        </w:rPr>
        <w:t xml:space="preserve">Numeral </w:t>
      </w:r>
      <w:r w:rsidR="00655D5C" w:rsidRPr="00EF1134">
        <w:rPr>
          <w:rFonts w:cs="Arial"/>
          <w:b/>
        </w:rPr>
        <w:t>5.1.1. Implementar el anexo 2 de la resolución Min TIC  1519 de 2020</w:t>
      </w:r>
      <w:r w:rsidRPr="00EF1134">
        <w:rPr>
          <w:rFonts w:cs="Arial"/>
          <w:b/>
        </w:rPr>
        <w:t>.</w:t>
      </w:r>
    </w:p>
    <w:p w14:paraId="78DC8B3F" w14:textId="77777777" w:rsidR="00EF1134" w:rsidRDefault="00EF1134" w:rsidP="00655D5C">
      <w:pPr>
        <w:jc w:val="both"/>
        <w:rPr>
          <w:rFonts w:cs="Arial"/>
        </w:rPr>
      </w:pPr>
    </w:p>
    <w:p w14:paraId="60DFA58D" w14:textId="7392D426" w:rsidR="00CF427C" w:rsidRDefault="00EF1134" w:rsidP="00CF427C">
      <w:pPr>
        <w:jc w:val="both"/>
        <w:rPr>
          <w:rFonts w:cs="Arial"/>
        </w:rPr>
      </w:pPr>
      <w:r>
        <w:rPr>
          <w:rFonts w:cs="Arial"/>
        </w:rPr>
        <w:t xml:space="preserve">En </w:t>
      </w:r>
      <w:r w:rsidR="00CF427C">
        <w:rPr>
          <w:rFonts w:cs="Arial"/>
        </w:rPr>
        <w:t>la verificación realizada se observó que p</w:t>
      </w:r>
      <w:r w:rsidR="00CF427C" w:rsidRPr="00CF427C">
        <w:rPr>
          <w:rFonts w:cs="Arial"/>
        </w:rPr>
        <w:t>ara la implementación de los criterios de accesibilidad del anexo 2</w:t>
      </w:r>
      <w:r w:rsidR="00CF427C">
        <w:rPr>
          <w:rFonts w:cs="Arial"/>
        </w:rPr>
        <w:t>, la entidad formuló un p</w:t>
      </w:r>
      <w:r w:rsidR="00CF427C" w:rsidRPr="00CF427C">
        <w:rPr>
          <w:rFonts w:cs="Arial"/>
        </w:rPr>
        <w:t xml:space="preserve">lan de trabajo de accesibilidad Web de la entidad, </w:t>
      </w:r>
      <w:r w:rsidR="00DC6FD7">
        <w:rPr>
          <w:rFonts w:cs="Arial"/>
        </w:rPr>
        <w:t>aprobado</w:t>
      </w:r>
      <w:r w:rsidR="00CF427C" w:rsidRPr="00CF427C">
        <w:rPr>
          <w:rFonts w:cs="Arial"/>
        </w:rPr>
        <w:t xml:space="preserve"> el 25 de agosto de 2021</w:t>
      </w:r>
      <w:r w:rsidR="00CF427C">
        <w:rPr>
          <w:rFonts w:cs="Arial"/>
        </w:rPr>
        <w:t>, en el cual se estableció que para d</w:t>
      </w:r>
      <w:r w:rsidR="00CF427C" w:rsidRPr="00CF427C">
        <w:rPr>
          <w:rFonts w:cs="Arial"/>
        </w:rPr>
        <w:t>ar cumplimiento a la estandarización de contenidos la entidad debía trabajar inicialmente en la implementación de 4 acciones</w:t>
      </w:r>
      <w:r w:rsidR="00CF427C">
        <w:rPr>
          <w:rFonts w:cs="Arial"/>
        </w:rPr>
        <w:t xml:space="preserve"> así</w:t>
      </w:r>
      <w:r w:rsidR="00CF427C" w:rsidRPr="00CF427C">
        <w:rPr>
          <w:rFonts w:cs="Arial"/>
        </w:rPr>
        <w:t xml:space="preserve">: </w:t>
      </w:r>
    </w:p>
    <w:p w14:paraId="237A8463" w14:textId="77777777" w:rsidR="00EF1134" w:rsidRPr="00CF427C" w:rsidRDefault="00EF1134" w:rsidP="00CF427C">
      <w:pPr>
        <w:jc w:val="both"/>
        <w:rPr>
          <w:rFonts w:cs="Arial"/>
        </w:rPr>
      </w:pPr>
    </w:p>
    <w:p w14:paraId="7EDF0323" w14:textId="51AA770F" w:rsidR="00CF427C" w:rsidRPr="00CF427C" w:rsidRDefault="00CF427C" w:rsidP="00CF427C">
      <w:pPr>
        <w:pStyle w:val="Prrafodelista"/>
        <w:numPr>
          <w:ilvl w:val="0"/>
          <w:numId w:val="25"/>
        </w:numPr>
        <w:jc w:val="both"/>
        <w:rPr>
          <w:rFonts w:cs="Arial"/>
        </w:rPr>
      </w:pPr>
      <w:r w:rsidRPr="00CF427C">
        <w:rPr>
          <w:rFonts w:cs="Arial"/>
        </w:rPr>
        <w:t>Identificación de contenidos por temática</w:t>
      </w:r>
    </w:p>
    <w:p w14:paraId="4C884BA7" w14:textId="62A0FBDE" w:rsidR="00CF427C" w:rsidRPr="00CF427C" w:rsidRDefault="00CF427C" w:rsidP="00CF427C">
      <w:pPr>
        <w:pStyle w:val="Prrafodelista"/>
        <w:numPr>
          <w:ilvl w:val="0"/>
          <w:numId w:val="25"/>
        </w:numPr>
        <w:jc w:val="both"/>
        <w:rPr>
          <w:rFonts w:cs="Arial"/>
        </w:rPr>
      </w:pPr>
      <w:r w:rsidRPr="00CF427C">
        <w:rPr>
          <w:rFonts w:cs="Arial"/>
        </w:rPr>
        <w:t>Identificación de roles/cargos responsables</w:t>
      </w:r>
    </w:p>
    <w:p w14:paraId="23CB1BEA" w14:textId="79A6C37B" w:rsidR="00CF427C" w:rsidRPr="00CF427C" w:rsidRDefault="00CF427C" w:rsidP="00CF427C">
      <w:pPr>
        <w:pStyle w:val="Prrafodelista"/>
        <w:numPr>
          <w:ilvl w:val="0"/>
          <w:numId w:val="25"/>
        </w:numPr>
        <w:jc w:val="both"/>
        <w:rPr>
          <w:rFonts w:cs="Arial"/>
        </w:rPr>
      </w:pPr>
      <w:r w:rsidRPr="00CF427C">
        <w:rPr>
          <w:rFonts w:cs="Arial"/>
        </w:rPr>
        <w:t>Identificación de repositorios y fuentes documentales</w:t>
      </w:r>
    </w:p>
    <w:p w14:paraId="41FA961B" w14:textId="71B5F48C" w:rsidR="00CF427C" w:rsidRPr="00CF427C" w:rsidRDefault="00CF427C" w:rsidP="00CF427C">
      <w:pPr>
        <w:pStyle w:val="Prrafodelista"/>
        <w:numPr>
          <w:ilvl w:val="0"/>
          <w:numId w:val="25"/>
        </w:numPr>
        <w:jc w:val="both"/>
        <w:rPr>
          <w:rFonts w:cs="Arial"/>
        </w:rPr>
      </w:pPr>
      <w:r w:rsidRPr="00CF427C">
        <w:rPr>
          <w:rFonts w:cs="Arial"/>
        </w:rPr>
        <w:t>Sensibilización aplicación criterios de publicación.</w:t>
      </w:r>
    </w:p>
    <w:p w14:paraId="01785E6E" w14:textId="77777777" w:rsidR="00CF427C" w:rsidRDefault="00CF427C" w:rsidP="00CF427C">
      <w:pPr>
        <w:jc w:val="both"/>
        <w:rPr>
          <w:rFonts w:cs="Arial"/>
        </w:rPr>
      </w:pPr>
    </w:p>
    <w:p w14:paraId="455D6931" w14:textId="4A32F129" w:rsidR="00CF427C" w:rsidRDefault="00DC6FD7" w:rsidP="00CF427C">
      <w:pPr>
        <w:jc w:val="both"/>
        <w:rPr>
          <w:rFonts w:cs="Arial"/>
        </w:rPr>
      </w:pPr>
      <w:r>
        <w:rPr>
          <w:rFonts w:cs="Arial"/>
        </w:rPr>
        <w:t>E</w:t>
      </w:r>
      <w:r w:rsidR="00CF427C" w:rsidRPr="00CF427C">
        <w:rPr>
          <w:rFonts w:cs="Arial"/>
        </w:rPr>
        <w:t xml:space="preserve">stos puntos se cumplieron para la Intranet de la entidad, pero </w:t>
      </w:r>
      <w:r w:rsidR="00CF427C" w:rsidRPr="007F40A7">
        <w:rPr>
          <w:rFonts w:cs="Arial"/>
          <w:u w:val="single"/>
        </w:rPr>
        <w:t>No</w:t>
      </w:r>
      <w:r w:rsidR="00CF427C" w:rsidRPr="00CF427C">
        <w:rPr>
          <w:rFonts w:cs="Arial"/>
        </w:rPr>
        <w:t xml:space="preserve"> para la Página Web como lo establece la norma. </w:t>
      </w:r>
    </w:p>
    <w:p w14:paraId="72B92C9C" w14:textId="77777777" w:rsidR="00CF427C" w:rsidRPr="00CF427C" w:rsidRDefault="00CF427C" w:rsidP="00CF427C">
      <w:pPr>
        <w:jc w:val="both"/>
        <w:rPr>
          <w:rFonts w:cs="Arial"/>
        </w:rPr>
      </w:pPr>
    </w:p>
    <w:p w14:paraId="35EDF41F" w14:textId="58600D18" w:rsidR="00CF427C" w:rsidRDefault="00CF427C" w:rsidP="00CF427C">
      <w:pPr>
        <w:jc w:val="both"/>
        <w:rPr>
          <w:rFonts w:cs="Arial"/>
        </w:rPr>
      </w:pPr>
      <w:r w:rsidRPr="00CF427C">
        <w:rPr>
          <w:rFonts w:cs="Arial"/>
        </w:rPr>
        <w:lastRenderedPageBreak/>
        <w:t>De otra parte</w:t>
      </w:r>
      <w:r>
        <w:rPr>
          <w:rFonts w:cs="Arial"/>
        </w:rPr>
        <w:t>,</w:t>
      </w:r>
      <w:r w:rsidRPr="00CF427C">
        <w:rPr>
          <w:rFonts w:cs="Arial"/>
        </w:rPr>
        <w:t xml:space="preserve"> </w:t>
      </w:r>
      <w:r>
        <w:rPr>
          <w:rFonts w:cs="Arial"/>
        </w:rPr>
        <w:t xml:space="preserve">en el </w:t>
      </w:r>
      <w:r w:rsidRPr="00CF427C">
        <w:rPr>
          <w:rFonts w:cs="Arial"/>
        </w:rPr>
        <w:t xml:space="preserve">plan </w:t>
      </w:r>
      <w:r>
        <w:rPr>
          <w:rFonts w:cs="Arial"/>
        </w:rPr>
        <w:t xml:space="preserve">se formularon </w:t>
      </w:r>
      <w:r w:rsidRPr="00CF427C">
        <w:rPr>
          <w:rFonts w:cs="Arial"/>
        </w:rPr>
        <w:t>10 acciones relacionadas con "</w:t>
      </w:r>
      <w:r w:rsidRPr="00CF427C">
        <w:rPr>
          <w:rFonts w:cs="Arial"/>
          <w:i/>
        </w:rPr>
        <w:t>Links e información a incluir en Top bar, header y/o footer</w:t>
      </w:r>
      <w:r w:rsidRPr="00CF427C">
        <w:rPr>
          <w:rFonts w:cs="Arial"/>
        </w:rPr>
        <w:t>"</w:t>
      </w:r>
      <w:r>
        <w:rPr>
          <w:rFonts w:cs="Arial"/>
        </w:rPr>
        <w:t xml:space="preserve">, </w:t>
      </w:r>
      <w:r w:rsidRPr="00CF427C">
        <w:rPr>
          <w:rFonts w:cs="Arial"/>
        </w:rPr>
        <w:t xml:space="preserve">de las cuales se observa cumplimiento de 8 lo que representa el 80% quedando pendientes dos (2) relacionadas con: </w:t>
      </w:r>
    </w:p>
    <w:p w14:paraId="77E329E8" w14:textId="77777777" w:rsidR="00CF427C" w:rsidRPr="00CF427C" w:rsidRDefault="00CF427C" w:rsidP="00CF427C">
      <w:pPr>
        <w:jc w:val="both"/>
        <w:rPr>
          <w:rFonts w:cs="Arial"/>
        </w:rPr>
      </w:pPr>
    </w:p>
    <w:p w14:paraId="04BB0CDA" w14:textId="79F2E8EE" w:rsidR="00CF427C" w:rsidRPr="00CF427C" w:rsidRDefault="00CF427C" w:rsidP="00CF427C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CF427C">
        <w:rPr>
          <w:rFonts w:cs="Arial"/>
        </w:rPr>
        <w:t>Términos y condiciones. Para el uso de todos sus sitios web, plataformas, aplicaciones, trámites y servicios, servicios de pasarela de pago, consulta de acceso a información pública, otros procedimientos administrativos, entre otros.</w:t>
      </w:r>
    </w:p>
    <w:p w14:paraId="16E8B488" w14:textId="5278A98A" w:rsidR="00CF427C" w:rsidRPr="00CF427C" w:rsidRDefault="00CF427C" w:rsidP="00CF427C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CF427C">
        <w:rPr>
          <w:rFonts w:cs="Arial"/>
        </w:rPr>
        <w:t>Política de derechos de autor y/o autorización de uso sobre los contenidos.</w:t>
      </w:r>
    </w:p>
    <w:p w14:paraId="786274C2" w14:textId="77777777" w:rsidR="00CF427C" w:rsidRPr="00CF427C" w:rsidRDefault="00CF427C" w:rsidP="00CF427C">
      <w:pPr>
        <w:jc w:val="both"/>
        <w:rPr>
          <w:rFonts w:cs="Arial"/>
        </w:rPr>
      </w:pPr>
    </w:p>
    <w:p w14:paraId="08290DAF" w14:textId="18D143E1" w:rsidR="00CF427C" w:rsidRDefault="00CF427C" w:rsidP="00CF427C">
      <w:pPr>
        <w:jc w:val="both"/>
        <w:rPr>
          <w:rFonts w:cs="Arial"/>
        </w:rPr>
      </w:pPr>
      <w:r w:rsidRPr="00CF427C">
        <w:rPr>
          <w:rFonts w:cs="Arial"/>
        </w:rPr>
        <w:t xml:space="preserve">Los links se encuentran creados en la página web, pero no </w:t>
      </w:r>
      <w:r>
        <w:rPr>
          <w:rFonts w:cs="Arial"/>
        </w:rPr>
        <w:t>está</w:t>
      </w:r>
      <w:r w:rsidRPr="00CF427C">
        <w:rPr>
          <w:rFonts w:cs="Arial"/>
        </w:rPr>
        <w:t xml:space="preserve"> </w:t>
      </w:r>
      <w:r>
        <w:rPr>
          <w:rFonts w:cs="Arial"/>
        </w:rPr>
        <w:t xml:space="preserve">cargada </w:t>
      </w:r>
      <w:r w:rsidRPr="00CF427C">
        <w:rPr>
          <w:rFonts w:cs="Arial"/>
        </w:rPr>
        <w:t>la respectiva información para consulta de los usuarios</w:t>
      </w:r>
      <w:r w:rsidR="00A02A3A">
        <w:rPr>
          <w:rFonts w:cs="Arial"/>
        </w:rPr>
        <w:t>.</w:t>
      </w:r>
    </w:p>
    <w:p w14:paraId="62E1B9E7" w14:textId="77777777" w:rsidR="00DC6FD7" w:rsidRDefault="00DC6FD7" w:rsidP="00CF427C">
      <w:pPr>
        <w:jc w:val="both"/>
        <w:rPr>
          <w:rFonts w:cs="Arial"/>
        </w:rPr>
      </w:pPr>
    </w:p>
    <w:p w14:paraId="2F25DE3D" w14:textId="1E8F887C" w:rsidR="00A02A3A" w:rsidRDefault="00A02A3A" w:rsidP="00CF427C">
      <w:pPr>
        <w:jc w:val="both"/>
        <w:rPr>
          <w:rFonts w:cs="Arial"/>
        </w:rPr>
      </w:pPr>
      <w:r>
        <w:rPr>
          <w:rFonts w:cs="Arial"/>
        </w:rPr>
        <w:t xml:space="preserve">Con fundamento en lo anterior </w:t>
      </w:r>
      <w:r w:rsidR="008A3C9A">
        <w:rPr>
          <w:rFonts w:cs="Arial"/>
        </w:rPr>
        <w:t>esta</w:t>
      </w:r>
      <w:r>
        <w:rPr>
          <w:rFonts w:cs="Arial"/>
        </w:rPr>
        <w:t xml:space="preserve"> acción queda con un avance </w:t>
      </w:r>
      <w:r w:rsidR="008A3C9A">
        <w:rPr>
          <w:rFonts w:cs="Arial"/>
        </w:rPr>
        <w:t xml:space="preserve">promedio del 71% </w:t>
      </w:r>
    </w:p>
    <w:p w14:paraId="28211ED0" w14:textId="19A7D094" w:rsidR="00CF427C" w:rsidRDefault="00CF427C" w:rsidP="00655D5C">
      <w:pPr>
        <w:jc w:val="both"/>
        <w:rPr>
          <w:rFonts w:cs="Arial"/>
        </w:rPr>
      </w:pPr>
    </w:p>
    <w:p w14:paraId="75BECA1E" w14:textId="77777777" w:rsidR="00EF1134" w:rsidRPr="008A3C9A" w:rsidRDefault="00EF1134" w:rsidP="00DC6FD7">
      <w:pPr>
        <w:pStyle w:val="Prrafodelista"/>
        <w:numPr>
          <w:ilvl w:val="0"/>
          <w:numId w:val="28"/>
        </w:numPr>
        <w:jc w:val="both"/>
        <w:rPr>
          <w:rFonts w:cs="Arial"/>
          <w:b/>
        </w:rPr>
      </w:pPr>
      <w:r w:rsidRPr="008A3C9A">
        <w:rPr>
          <w:rFonts w:cs="Arial"/>
          <w:b/>
        </w:rPr>
        <w:t xml:space="preserve">Numeral </w:t>
      </w:r>
      <w:r w:rsidR="00655D5C" w:rsidRPr="008A3C9A">
        <w:rPr>
          <w:rFonts w:cs="Arial"/>
          <w:b/>
        </w:rPr>
        <w:t xml:space="preserve">5.1.2. Publicar y mantener actualizada la información de datos abiertos del IDPC en el portal </w:t>
      </w:r>
      <w:r w:rsidR="0031669A" w:rsidRPr="008A3C9A">
        <w:rPr>
          <w:rFonts w:cs="Arial"/>
          <w:b/>
        </w:rPr>
        <w:t xml:space="preserve">de </w:t>
      </w:r>
      <w:r w:rsidR="00655D5C" w:rsidRPr="008A3C9A">
        <w:rPr>
          <w:rFonts w:cs="Arial"/>
          <w:b/>
        </w:rPr>
        <w:t>acuerdo con los criterios del anexo 4 de la resolución Min TIC  1519 de 2020</w:t>
      </w:r>
    </w:p>
    <w:p w14:paraId="0DB00EB6" w14:textId="77777777" w:rsidR="00EF1134" w:rsidRPr="00EF1134" w:rsidRDefault="00EF1134" w:rsidP="00EF1134">
      <w:pPr>
        <w:ind w:left="360"/>
        <w:jc w:val="both"/>
        <w:rPr>
          <w:rFonts w:cs="Arial"/>
        </w:rPr>
      </w:pPr>
    </w:p>
    <w:p w14:paraId="553AF8A7" w14:textId="088CD340" w:rsidR="002E3F35" w:rsidRDefault="00EF1134" w:rsidP="00EF1134">
      <w:pPr>
        <w:jc w:val="both"/>
        <w:rPr>
          <w:rFonts w:cs="Arial"/>
        </w:rPr>
      </w:pPr>
      <w:r w:rsidRPr="008A3C9A">
        <w:rPr>
          <w:rFonts w:cs="Arial"/>
        </w:rPr>
        <w:t xml:space="preserve">En la verificación realizada en </w:t>
      </w:r>
      <w:r w:rsidR="006177FE" w:rsidRPr="008A3C9A">
        <w:rPr>
          <w:rFonts w:cs="Arial"/>
        </w:rPr>
        <w:t xml:space="preserve">el tercer cuatrimestre no se evidenciaron soportes documentales que den cuenta del avance de </w:t>
      </w:r>
      <w:r w:rsidR="002E3F35" w:rsidRPr="008A3C9A">
        <w:rPr>
          <w:rFonts w:cs="Arial"/>
        </w:rPr>
        <w:t>estas</w:t>
      </w:r>
      <w:r w:rsidR="006177FE" w:rsidRPr="008A3C9A">
        <w:rPr>
          <w:rFonts w:cs="Arial"/>
        </w:rPr>
        <w:t xml:space="preserve"> acciones, por lo anterior este subcomponente queda con </w:t>
      </w:r>
      <w:r w:rsidRPr="008A3C9A">
        <w:rPr>
          <w:rFonts w:cs="Arial"/>
        </w:rPr>
        <w:t xml:space="preserve">el porcentaje de avance asignado en el segundo cuatrimestre de la vigencia 2021 que fue del </w:t>
      </w:r>
      <w:r w:rsidR="006177FE" w:rsidRPr="008A3C9A">
        <w:rPr>
          <w:rFonts w:cs="Arial"/>
        </w:rPr>
        <w:t>8</w:t>
      </w:r>
      <w:r w:rsidR="008A3C9A" w:rsidRPr="008A3C9A">
        <w:rPr>
          <w:rFonts w:cs="Arial"/>
        </w:rPr>
        <w:t>9,5</w:t>
      </w:r>
      <w:r w:rsidR="002E3F35" w:rsidRPr="008A3C9A">
        <w:rPr>
          <w:rFonts w:cs="Arial"/>
        </w:rPr>
        <w:t>%</w:t>
      </w:r>
    </w:p>
    <w:p w14:paraId="1D910177" w14:textId="5EF1E315" w:rsidR="008A3C9A" w:rsidRDefault="008A3C9A" w:rsidP="00EF1134">
      <w:pPr>
        <w:jc w:val="both"/>
        <w:rPr>
          <w:rFonts w:cs="Arial"/>
        </w:rPr>
      </w:pPr>
    </w:p>
    <w:p w14:paraId="00A186F5" w14:textId="0205B12B" w:rsidR="008A3C9A" w:rsidRDefault="008A3C9A" w:rsidP="008A3C9A">
      <w:pPr>
        <w:pStyle w:val="Prrafodelista"/>
        <w:numPr>
          <w:ilvl w:val="0"/>
          <w:numId w:val="28"/>
        </w:numPr>
        <w:jc w:val="both"/>
        <w:rPr>
          <w:rFonts w:cs="Arial"/>
          <w:b/>
        </w:rPr>
      </w:pPr>
      <w:r w:rsidRPr="008A3C9A">
        <w:rPr>
          <w:rFonts w:cs="Arial"/>
          <w:b/>
        </w:rPr>
        <w:t>Numeral 5.4.2. Implementar los criterios de accesibilidad del anexo 1 de la resolución 1519 de 2020 de acuerdo con el plan de trabajo para tal fin</w:t>
      </w:r>
    </w:p>
    <w:p w14:paraId="186F9D73" w14:textId="77777777" w:rsidR="00E63A18" w:rsidRDefault="00E63A18" w:rsidP="008A3C9A">
      <w:pPr>
        <w:jc w:val="both"/>
        <w:rPr>
          <w:rFonts w:cs="Arial"/>
          <w:b/>
        </w:rPr>
      </w:pPr>
    </w:p>
    <w:p w14:paraId="71FB8488" w14:textId="739DFD5B" w:rsidR="0077331E" w:rsidRPr="0077331E" w:rsidRDefault="00E63A18" w:rsidP="0077331E">
      <w:pPr>
        <w:jc w:val="both"/>
        <w:rPr>
          <w:rFonts w:cs="Arial"/>
        </w:rPr>
      </w:pPr>
      <w:r>
        <w:rPr>
          <w:rFonts w:cs="Arial"/>
        </w:rPr>
        <w:t>En la verificación realizada se observó que p</w:t>
      </w:r>
      <w:r w:rsidRPr="00CF427C">
        <w:rPr>
          <w:rFonts w:cs="Arial"/>
        </w:rPr>
        <w:t xml:space="preserve">ara la implementación de los criterios de accesibilidad del anexo </w:t>
      </w:r>
      <w:r w:rsidR="0077331E">
        <w:rPr>
          <w:rFonts w:cs="Arial"/>
        </w:rPr>
        <w:t>1 de la Resolución 1519 de 2020</w:t>
      </w:r>
      <w:r>
        <w:rPr>
          <w:rFonts w:cs="Arial"/>
        </w:rPr>
        <w:t>, la entidad formuló un p</w:t>
      </w:r>
      <w:r w:rsidRPr="00CF427C">
        <w:rPr>
          <w:rFonts w:cs="Arial"/>
        </w:rPr>
        <w:t xml:space="preserve">lan de trabajo de accesibilidad Web de la entidad, </w:t>
      </w:r>
      <w:r w:rsidR="00DC6FD7">
        <w:rPr>
          <w:rFonts w:cs="Arial"/>
        </w:rPr>
        <w:t>aprobado</w:t>
      </w:r>
      <w:r w:rsidRPr="00CF427C">
        <w:rPr>
          <w:rFonts w:cs="Arial"/>
        </w:rPr>
        <w:t xml:space="preserve"> el 25 de agosto de 2021</w:t>
      </w:r>
      <w:r>
        <w:rPr>
          <w:rFonts w:cs="Arial"/>
        </w:rPr>
        <w:t xml:space="preserve">, en </w:t>
      </w:r>
      <w:r w:rsidRPr="0077331E">
        <w:rPr>
          <w:rFonts w:cs="Arial"/>
        </w:rPr>
        <w:t>el cual se estableci</w:t>
      </w:r>
      <w:r w:rsidR="0077331E" w:rsidRPr="0077331E">
        <w:rPr>
          <w:rFonts w:cs="Arial"/>
        </w:rPr>
        <w:t xml:space="preserve">eron 17 actividades de la cuales fueron cumplidas 13 lo que representa el 76% quedando pendientes 4 que corresponden al 24% del total del plan, relacionadas con: </w:t>
      </w:r>
    </w:p>
    <w:p w14:paraId="64791A27" w14:textId="77777777" w:rsidR="0077331E" w:rsidRPr="00E63A18" w:rsidRDefault="0077331E" w:rsidP="0077331E">
      <w:pPr>
        <w:jc w:val="both"/>
        <w:rPr>
          <w:rFonts w:cs="Arial"/>
          <w:b/>
        </w:rPr>
      </w:pPr>
    </w:p>
    <w:p w14:paraId="5918395C" w14:textId="43856FAF" w:rsidR="0077331E" w:rsidRPr="0077331E" w:rsidRDefault="0077331E" w:rsidP="0077331E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77331E">
        <w:rPr>
          <w:rFonts w:cs="Arial"/>
        </w:rPr>
        <w:t xml:space="preserve">Textos tamaños 12 e imágenes ampliables al 200% </w:t>
      </w:r>
    </w:p>
    <w:p w14:paraId="115D6441" w14:textId="284A089D" w:rsidR="0077331E" w:rsidRPr="0077331E" w:rsidRDefault="0077331E" w:rsidP="0077331E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77331E">
        <w:rPr>
          <w:rFonts w:cs="Arial"/>
        </w:rPr>
        <w:t>Implementación del SiteMap del sitio web principal</w:t>
      </w:r>
    </w:p>
    <w:p w14:paraId="46DBBF52" w14:textId="1584789D" w:rsidR="0077331E" w:rsidRPr="0077331E" w:rsidRDefault="0077331E" w:rsidP="0077331E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77331E">
        <w:rPr>
          <w:rFonts w:cs="Arial"/>
        </w:rPr>
        <w:t>Contenedores como tablas y listas usados correctamente: solicitar una capacitación de este tema a gobiernodigital@mintic.gov.co para toda la entidad</w:t>
      </w:r>
    </w:p>
    <w:p w14:paraId="77477EFB" w14:textId="68233311" w:rsidR="0077331E" w:rsidRPr="0077331E" w:rsidRDefault="0077331E" w:rsidP="0077331E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77331E">
        <w:rPr>
          <w:rFonts w:cs="Arial"/>
        </w:rPr>
        <w:t>No audios automáticos y disminuir el uso de temporizadores o que se puedan detener en los casos en los que sea posible</w:t>
      </w:r>
    </w:p>
    <w:p w14:paraId="5FEB3F8C" w14:textId="77777777" w:rsidR="0077331E" w:rsidRDefault="0077331E" w:rsidP="00E63A18">
      <w:pPr>
        <w:jc w:val="both"/>
        <w:rPr>
          <w:rFonts w:cs="Arial"/>
          <w:b/>
        </w:rPr>
      </w:pPr>
    </w:p>
    <w:p w14:paraId="54A0F719" w14:textId="4F252AE4" w:rsidR="00E63A18" w:rsidRPr="0077331E" w:rsidRDefault="0077331E" w:rsidP="00E63A18">
      <w:pPr>
        <w:jc w:val="both"/>
        <w:rPr>
          <w:rFonts w:cs="Arial"/>
        </w:rPr>
      </w:pPr>
      <w:r w:rsidRPr="0077331E">
        <w:rPr>
          <w:rFonts w:cs="Arial"/>
        </w:rPr>
        <w:t xml:space="preserve">Con fundamento en lo anterior esta acción queda con un avance promedio del 76% </w:t>
      </w:r>
    </w:p>
    <w:p w14:paraId="1689C23E" w14:textId="77777777" w:rsidR="002E3F35" w:rsidRDefault="002E3F35" w:rsidP="00655D5C">
      <w:pPr>
        <w:jc w:val="both"/>
        <w:rPr>
          <w:rFonts w:cs="Arial"/>
        </w:rPr>
      </w:pPr>
    </w:p>
    <w:p w14:paraId="4133AF0C" w14:textId="6BBDE9E4" w:rsidR="00267760" w:rsidRPr="00267760" w:rsidRDefault="00267760" w:rsidP="00DC6FD7">
      <w:pPr>
        <w:pStyle w:val="Prrafodelista"/>
        <w:numPr>
          <w:ilvl w:val="0"/>
          <w:numId w:val="21"/>
        </w:numPr>
        <w:jc w:val="both"/>
        <w:rPr>
          <w:rFonts w:cs="Arial"/>
        </w:rPr>
      </w:pPr>
      <w:r w:rsidRPr="00267760">
        <w:rPr>
          <w:rFonts w:cs="Arial"/>
          <w:b/>
        </w:rPr>
        <w:t>Componente 6. Iniciativas Adicionales</w:t>
      </w:r>
    </w:p>
    <w:p w14:paraId="6FC2CA8F" w14:textId="518D4ACE" w:rsidR="00267760" w:rsidRDefault="00267760" w:rsidP="00267760">
      <w:pPr>
        <w:jc w:val="both"/>
        <w:rPr>
          <w:rFonts w:cs="Arial"/>
        </w:rPr>
      </w:pPr>
    </w:p>
    <w:p w14:paraId="443C9441" w14:textId="00E4E591" w:rsidR="00267760" w:rsidRDefault="00267760" w:rsidP="00267760">
      <w:pPr>
        <w:jc w:val="both"/>
        <w:rPr>
          <w:rFonts w:cs="Arial"/>
        </w:rPr>
      </w:pPr>
      <w:r>
        <w:rPr>
          <w:rFonts w:cs="Arial"/>
        </w:rPr>
        <w:t xml:space="preserve">Este componente alcanzó el </w:t>
      </w:r>
      <w:r w:rsidRPr="00267760">
        <w:rPr>
          <w:rFonts w:cs="Arial"/>
          <w:b/>
          <w:u w:val="single"/>
        </w:rPr>
        <w:t>87%</w:t>
      </w:r>
      <w:r>
        <w:rPr>
          <w:rFonts w:cs="Arial"/>
        </w:rPr>
        <w:t xml:space="preserve"> de su cumplimiento presentado debilidad en el numeral 6.1.3 </w:t>
      </w:r>
      <w:r w:rsidR="00DC6FD7">
        <w:rPr>
          <w:rFonts w:cs="Arial"/>
        </w:rPr>
        <w:t>“</w:t>
      </w:r>
      <w:r w:rsidRPr="00DC6FD7">
        <w:rPr>
          <w:rFonts w:cs="Arial"/>
          <w:i/>
          <w:sz w:val="20"/>
        </w:rPr>
        <w:t>Ejecutar el Plan de Gestión de la Integridad</w:t>
      </w:r>
      <w:r w:rsidR="00DC6FD7">
        <w:rPr>
          <w:rFonts w:cs="Arial"/>
          <w:i/>
          <w:sz w:val="20"/>
        </w:rPr>
        <w:t>”</w:t>
      </w:r>
      <w:r>
        <w:rPr>
          <w:rFonts w:cs="Arial"/>
        </w:rPr>
        <w:t xml:space="preserve">, toda vez que, </w:t>
      </w:r>
      <w:r w:rsidRPr="00267760">
        <w:rPr>
          <w:rFonts w:cs="Arial"/>
        </w:rPr>
        <w:t xml:space="preserve">verificados los </w:t>
      </w:r>
      <w:r w:rsidR="00DC6FD7">
        <w:rPr>
          <w:rFonts w:cs="Arial"/>
        </w:rPr>
        <w:t>so</w:t>
      </w:r>
      <w:r w:rsidRPr="00267760">
        <w:rPr>
          <w:rFonts w:cs="Arial"/>
        </w:rPr>
        <w:t>portes de cumplimiento correspondiente</w:t>
      </w:r>
      <w:r w:rsidR="0031669A">
        <w:rPr>
          <w:rFonts w:cs="Arial"/>
        </w:rPr>
        <w:t>s</w:t>
      </w:r>
      <w:r w:rsidRPr="00267760">
        <w:rPr>
          <w:rFonts w:cs="Arial"/>
        </w:rPr>
        <w:t xml:space="preserve"> a las 5 acciones establecidas en el Plan de Integridad</w:t>
      </w:r>
      <w:r>
        <w:rPr>
          <w:rFonts w:cs="Arial"/>
        </w:rPr>
        <w:t xml:space="preserve"> formulado por la entidad para la vigencia 2021</w:t>
      </w:r>
      <w:r w:rsidRPr="00267760">
        <w:rPr>
          <w:rFonts w:cs="Arial"/>
        </w:rPr>
        <w:t xml:space="preserve">, se </w:t>
      </w:r>
      <w:r>
        <w:rPr>
          <w:rFonts w:cs="Arial"/>
        </w:rPr>
        <w:t xml:space="preserve">observó que dos (2) actividades denominadas </w:t>
      </w:r>
      <w:r w:rsidRPr="00267760">
        <w:rPr>
          <w:rFonts w:cs="Arial"/>
        </w:rPr>
        <w:t>"</w:t>
      </w:r>
      <w:r w:rsidRPr="00DC6FD7">
        <w:rPr>
          <w:rFonts w:cs="Arial"/>
          <w:i/>
          <w:sz w:val="20"/>
        </w:rPr>
        <w:t>Divulgar el código de integridad</w:t>
      </w:r>
      <w:r w:rsidRPr="00267760">
        <w:rPr>
          <w:rFonts w:cs="Arial"/>
        </w:rPr>
        <w:t>" y "</w:t>
      </w:r>
      <w:r w:rsidRPr="00DC6FD7">
        <w:rPr>
          <w:rFonts w:cs="Arial"/>
          <w:i/>
          <w:sz w:val="20"/>
        </w:rPr>
        <w:t xml:space="preserve">Seguimiento a la implementación de la Política </w:t>
      </w:r>
      <w:r w:rsidRPr="00DC6FD7">
        <w:rPr>
          <w:rFonts w:cs="Arial"/>
          <w:i/>
          <w:sz w:val="20"/>
        </w:rPr>
        <w:lastRenderedPageBreak/>
        <w:t>de Conflictos de Intereses</w:t>
      </w:r>
      <w:r w:rsidRPr="00267760">
        <w:rPr>
          <w:rFonts w:cs="Arial"/>
        </w:rPr>
        <w:t>" no presenta</w:t>
      </w:r>
      <w:r w:rsidR="00DC6FD7">
        <w:rPr>
          <w:rFonts w:cs="Arial"/>
        </w:rPr>
        <w:t>n</w:t>
      </w:r>
      <w:r w:rsidRPr="00267760">
        <w:rPr>
          <w:rFonts w:cs="Arial"/>
        </w:rPr>
        <w:t xml:space="preserve"> soportes </w:t>
      </w:r>
      <w:r>
        <w:rPr>
          <w:rFonts w:cs="Arial"/>
        </w:rPr>
        <w:t xml:space="preserve">documentales </w:t>
      </w:r>
      <w:r w:rsidRPr="00267760">
        <w:rPr>
          <w:rFonts w:cs="Arial"/>
        </w:rPr>
        <w:t xml:space="preserve">que permitan establecer </w:t>
      </w:r>
      <w:r>
        <w:rPr>
          <w:rFonts w:cs="Arial"/>
        </w:rPr>
        <w:t xml:space="preserve">su cumplimiento, con base en lo anterior ésta acción queda con un 60% de cumplimiento. </w:t>
      </w:r>
    </w:p>
    <w:p w14:paraId="379AF8A4" w14:textId="79BC34A5" w:rsidR="00267760" w:rsidRPr="00267760" w:rsidRDefault="00267760" w:rsidP="00267760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1D2BE45A" w14:textId="0104412B" w:rsidR="00962A4B" w:rsidRPr="00F330C3" w:rsidRDefault="00962A4B" w:rsidP="003C19C7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F330C3">
        <w:rPr>
          <w:rFonts w:cs="Arial"/>
          <w:b/>
        </w:rPr>
        <w:t>NO CONFORMIDADES DETECTADAS</w:t>
      </w:r>
    </w:p>
    <w:p w14:paraId="37E40466" w14:textId="77777777" w:rsidR="00962A4B" w:rsidRPr="0031669A" w:rsidRDefault="00962A4B" w:rsidP="00962A4B">
      <w:pPr>
        <w:pStyle w:val="Prrafodelista"/>
        <w:rPr>
          <w:rFonts w:cs="Arial"/>
        </w:rPr>
      </w:pPr>
    </w:p>
    <w:p w14:paraId="5FE7B867" w14:textId="13A0544F" w:rsidR="003F4C23" w:rsidRPr="003F4C23" w:rsidRDefault="00F330C3" w:rsidP="003F4C2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3F4C23">
        <w:rPr>
          <w:rFonts w:cs="Arial"/>
          <w:szCs w:val="22"/>
        </w:rPr>
        <w:t xml:space="preserve">Fueron </w:t>
      </w:r>
      <w:r w:rsidR="00F37221" w:rsidRPr="003F4C23">
        <w:rPr>
          <w:rFonts w:cs="Arial"/>
          <w:szCs w:val="22"/>
        </w:rPr>
        <w:t xml:space="preserve">ejecutadas parcialmente </w:t>
      </w:r>
      <w:r w:rsidRPr="003F4C23">
        <w:rPr>
          <w:rFonts w:cs="Arial"/>
          <w:szCs w:val="22"/>
        </w:rPr>
        <w:t xml:space="preserve">las actividades </w:t>
      </w:r>
      <w:r w:rsidR="00F37221" w:rsidRPr="003F4C23">
        <w:rPr>
          <w:rFonts w:cs="Arial"/>
          <w:szCs w:val="22"/>
        </w:rPr>
        <w:t>correspondientes a</w:t>
      </w:r>
      <w:r w:rsidR="003F4C23" w:rsidRPr="003F4C23">
        <w:rPr>
          <w:rFonts w:cs="Arial"/>
          <w:szCs w:val="22"/>
        </w:rPr>
        <w:t>:</w:t>
      </w:r>
    </w:p>
    <w:p w14:paraId="08CF044A" w14:textId="77777777" w:rsidR="003F4C23" w:rsidRPr="003F4C23" w:rsidRDefault="003F4C23" w:rsidP="003F4C2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</w:rPr>
      </w:pPr>
    </w:p>
    <w:p w14:paraId="1F0D0B61" w14:textId="3F3DD706" w:rsidR="003F4C23" w:rsidRPr="003F4C23" w:rsidRDefault="003F4C23" w:rsidP="003F4C23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3F4C23">
        <w:rPr>
          <w:rFonts w:cs="Arial"/>
          <w:szCs w:val="22"/>
        </w:rPr>
        <w:t>Actividad</w:t>
      </w:r>
      <w:r w:rsidR="003C4A77" w:rsidRPr="003F4C23">
        <w:rPr>
          <w:rFonts w:cs="Arial"/>
          <w:szCs w:val="22"/>
        </w:rPr>
        <w:t xml:space="preserve"> </w:t>
      </w:r>
      <w:r w:rsidRPr="003F4C23">
        <w:rPr>
          <w:rFonts w:cs="Arial"/>
          <w:szCs w:val="22"/>
        </w:rPr>
        <w:t>1.3.2 - Ejecutar campaña de las herramientas de gestión, evidenciando la gestión de riesgos – 89%</w:t>
      </w:r>
    </w:p>
    <w:p w14:paraId="7A9F9FB2" w14:textId="0A3D85D4" w:rsidR="003F4C23" w:rsidRPr="003F4C23" w:rsidRDefault="003F4C23" w:rsidP="003F4C23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3F4C23">
        <w:rPr>
          <w:rFonts w:cs="Arial"/>
          <w:szCs w:val="22"/>
        </w:rPr>
        <w:t>Actividad 4.2.1 - Adecuación de espacios físico de la sede del Palomar de acuerdo con el plan de trabajo de ajustes razonables de accesibilidad aprobado por el IDPC 47%</w:t>
      </w:r>
    </w:p>
    <w:p w14:paraId="127E3AE5" w14:textId="426EE283" w:rsidR="003F4C23" w:rsidRPr="003F4C23" w:rsidRDefault="003F4C23" w:rsidP="003F4C23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3F4C23">
        <w:rPr>
          <w:rFonts w:cs="Arial"/>
          <w:szCs w:val="22"/>
        </w:rPr>
        <w:t>Actividad 4.3.2 - Implementar la estrategia de reconocimiento al mejor servidor de atención a la ciudadanía – 50%</w:t>
      </w:r>
    </w:p>
    <w:p w14:paraId="32F4938F" w14:textId="2B17AB58" w:rsidR="003F4C23" w:rsidRPr="003F4C23" w:rsidRDefault="003F4C23" w:rsidP="003F4C23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3F4C23">
        <w:rPr>
          <w:rFonts w:cs="Arial"/>
          <w:szCs w:val="22"/>
        </w:rPr>
        <w:t>Actividad 5.1.1 - Implementar el anexo 2 de la resolución Min TIC  1519 de 2020 – 72%</w:t>
      </w:r>
    </w:p>
    <w:p w14:paraId="4615079D" w14:textId="3CB8B7BE" w:rsidR="003F4C23" w:rsidRPr="003F4C23" w:rsidRDefault="003F4C23" w:rsidP="00DC6FD7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3F4C23">
        <w:rPr>
          <w:rFonts w:cs="Arial"/>
          <w:szCs w:val="22"/>
        </w:rPr>
        <w:t xml:space="preserve">Actividad 5.1.2 - Publicar y mantener actualizada la información de datos abiertos del IDPC en el portal acuerdo con los criterios del anexo 4 de la resolución Min TIC  1519 de 2020, </w:t>
      </w:r>
      <w:hyperlink r:id="rId10" w:history="1">
        <w:r w:rsidRPr="003F4C23">
          <w:rPr>
            <w:rStyle w:val="Hipervnculo"/>
            <w:rFonts w:cs="Arial"/>
            <w:color w:val="0070C0"/>
            <w:szCs w:val="22"/>
          </w:rPr>
          <w:t>www.datosabiertos.bogota.gov.co</w:t>
        </w:r>
      </w:hyperlink>
      <w:r w:rsidRPr="003F4C23">
        <w:rPr>
          <w:rFonts w:cs="Arial"/>
          <w:szCs w:val="22"/>
        </w:rPr>
        <w:t>. – 89,5%</w:t>
      </w:r>
    </w:p>
    <w:p w14:paraId="156DD955" w14:textId="6B4B352F" w:rsidR="003F4C23" w:rsidRPr="003F4C23" w:rsidRDefault="003F4C23" w:rsidP="00DC6FD7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3F4C23">
        <w:rPr>
          <w:rFonts w:cs="Arial"/>
          <w:szCs w:val="22"/>
        </w:rPr>
        <w:t>Actividad 5.4.2 - Implementar los criterios de accesibilidad del anexo 1 de la resolución 1519 de 2020 de acuerdo con el plan de trabajo para tal fin – 76%</w:t>
      </w:r>
    </w:p>
    <w:p w14:paraId="3F443C2B" w14:textId="6366D729" w:rsidR="003F4C23" w:rsidRPr="003F4C23" w:rsidRDefault="003F4C23" w:rsidP="00DC6FD7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3F4C23">
        <w:rPr>
          <w:rFonts w:cs="Arial"/>
          <w:szCs w:val="22"/>
        </w:rPr>
        <w:t>Actividad 6.1.3 - Ejecutar el Plan de Gestión de la Integridad – 60%</w:t>
      </w:r>
    </w:p>
    <w:p w14:paraId="38BE9138" w14:textId="77777777" w:rsidR="003F4C23" w:rsidRDefault="003F4C23" w:rsidP="003F4C23">
      <w:pPr>
        <w:overflowPunct w:val="0"/>
        <w:autoSpaceDE w:val="0"/>
        <w:autoSpaceDN w:val="0"/>
        <w:adjustRightInd w:val="0"/>
        <w:ind w:left="-76"/>
        <w:jc w:val="both"/>
        <w:textAlignment w:val="baseline"/>
        <w:rPr>
          <w:rFonts w:cs="Arial"/>
          <w:color w:val="FF0000"/>
          <w:szCs w:val="22"/>
        </w:rPr>
      </w:pPr>
    </w:p>
    <w:p w14:paraId="2BEFBB7E" w14:textId="7A1F78D5" w:rsidR="00327F58" w:rsidRDefault="003F4C23" w:rsidP="003F4C23">
      <w:pPr>
        <w:overflowPunct w:val="0"/>
        <w:autoSpaceDE w:val="0"/>
        <w:autoSpaceDN w:val="0"/>
        <w:adjustRightInd w:val="0"/>
        <w:ind w:left="-76"/>
        <w:jc w:val="both"/>
        <w:textAlignment w:val="baseline"/>
        <w:rPr>
          <w:rFonts w:cs="Arial"/>
          <w:szCs w:val="22"/>
        </w:rPr>
      </w:pPr>
      <w:r w:rsidRPr="00EB64B0">
        <w:rPr>
          <w:rFonts w:cs="Arial"/>
          <w:szCs w:val="22"/>
        </w:rPr>
        <w:t xml:space="preserve">Lo anterior incumple lo establecido </w:t>
      </w:r>
      <w:r w:rsidR="00EB64B0" w:rsidRPr="00EB64B0">
        <w:rPr>
          <w:rFonts w:cs="Arial"/>
          <w:szCs w:val="22"/>
        </w:rPr>
        <w:t>en la 3ª. Dimensión – Gestión con valores para el resultado</w:t>
      </w:r>
      <w:r w:rsidR="00EB64B0">
        <w:rPr>
          <w:rFonts w:cs="Arial"/>
          <w:szCs w:val="22"/>
        </w:rPr>
        <w:t xml:space="preserve">, </w:t>
      </w:r>
      <w:r w:rsidR="00EB64B0" w:rsidRPr="00EB64B0">
        <w:rPr>
          <w:rFonts w:cs="Arial"/>
          <w:szCs w:val="22"/>
        </w:rPr>
        <w:t>afectando la política de Fortalecimiento organizacional y simplificación de procesos y la 7ª. Dimensión- Control Interno afectando la política Asegurar la gestión del riesgo en la entidad</w:t>
      </w:r>
      <w:r w:rsidR="00EB64B0">
        <w:rPr>
          <w:rFonts w:cs="Arial"/>
          <w:szCs w:val="22"/>
        </w:rPr>
        <w:t xml:space="preserve">. </w:t>
      </w:r>
    </w:p>
    <w:p w14:paraId="246B89CD" w14:textId="23ABA29C" w:rsidR="003625F3" w:rsidRDefault="003625F3" w:rsidP="003F4C23">
      <w:pPr>
        <w:overflowPunct w:val="0"/>
        <w:autoSpaceDE w:val="0"/>
        <w:autoSpaceDN w:val="0"/>
        <w:adjustRightInd w:val="0"/>
        <w:ind w:left="-76"/>
        <w:jc w:val="both"/>
        <w:textAlignment w:val="baseline"/>
        <w:rPr>
          <w:rFonts w:cs="Arial"/>
          <w:szCs w:val="22"/>
        </w:rPr>
      </w:pPr>
    </w:p>
    <w:p w14:paraId="4E8BF0BA" w14:textId="6D5BC19B" w:rsidR="00962A4B" w:rsidRDefault="00962A4B" w:rsidP="003C19C7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8708AB">
        <w:rPr>
          <w:rFonts w:cs="Arial"/>
          <w:b/>
        </w:rPr>
        <w:t>CONCLUSIÓN GENERAL</w:t>
      </w:r>
    </w:p>
    <w:p w14:paraId="7E762868" w14:textId="5207CA69" w:rsidR="00F15D7A" w:rsidRDefault="00DC157A" w:rsidP="00DC6FD7">
      <w:pPr>
        <w:widowControl w:val="0"/>
        <w:autoSpaceDE w:val="0"/>
        <w:autoSpaceDN w:val="0"/>
        <w:spacing w:before="188"/>
        <w:ind w:left="-142" w:right="49"/>
        <w:jc w:val="both"/>
        <w:rPr>
          <w:rFonts w:eastAsia="Arial" w:cs="Arial"/>
        </w:rPr>
      </w:pPr>
      <w:r w:rsidRPr="004E2CA0">
        <w:rPr>
          <w:rFonts w:eastAsia="Arial" w:cs="Arial"/>
        </w:rPr>
        <w:t xml:space="preserve">Como resultado del seguimiento practicado al Plan Anticorrupción y de </w:t>
      </w:r>
      <w:r>
        <w:rPr>
          <w:rFonts w:eastAsia="Arial" w:cs="Arial"/>
        </w:rPr>
        <w:t xml:space="preserve">Atención al Ciudadano (PAAC) del Instituto Distrital de Patrimonio Cultural </w:t>
      </w:r>
      <w:r w:rsidR="0031669A">
        <w:rPr>
          <w:rFonts w:eastAsia="Arial" w:cs="Arial"/>
        </w:rPr>
        <w:t xml:space="preserve">– IDPC, </w:t>
      </w:r>
      <w:r>
        <w:rPr>
          <w:rFonts w:eastAsia="Arial" w:cs="Arial"/>
        </w:rPr>
        <w:t>correspondiente al tercer cuatrimestre de la vigencia 2021</w:t>
      </w:r>
      <w:r w:rsidRPr="004E2CA0">
        <w:rPr>
          <w:rFonts w:eastAsia="Arial" w:cs="Arial"/>
        </w:rPr>
        <w:t xml:space="preserve">, se comprobó un </w:t>
      </w:r>
      <w:r w:rsidR="00F330C3">
        <w:rPr>
          <w:rFonts w:eastAsia="Arial" w:cs="Arial"/>
        </w:rPr>
        <w:t xml:space="preserve">cumplimiento </w:t>
      </w:r>
      <w:r w:rsidR="00A36D56">
        <w:rPr>
          <w:rFonts w:eastAsia="Arial" w:cs="Arial"/>
        </w:rPr>
        <w:t xml:space="preserve">total </w:t>
      </w:r>
      <w:r w:rsidR="00F330C3">
        <w:rPr>
          <w:rFonts w:eastAsia="Arial" w:cs="Arial"/>
        </w:rPr>
        <w:t xml:space="preserve">del </w:t>
      </w:r>
      <w:r w:rsidR="00DC6FD7">
        <w:rPr>
          <w:rFonts w:eastAsia="Arial" w:cs="Arial"/>
          <w:b/>
        </w:rPr>
        <w:t>95</w:t>
      </w:r>
      <w:r w:rsidR="00F330C3" w:rsidRPr="00F330C3">
        <w:rPr>
          <w:rFonts w:eastAsia="Arial" w:cs="Arial"/>
          <w:b/>
        </w:rPr>
        <w:t>%</w:t>
      </w:r>
      <w:r w:rsidRPr="004E2CA0">
        <w:rPr>
          <w:rFonts w:eastAsia="Arial" w:cs="Arial"/>
          <w:b/>
        </w:rPr>
        <w:t>,</w:t>
      </w:r>
      <w:r w:rsidRPr="004E2CA0">
        <w:rPr>
          <w:rFonts w:eastAsia="Arial" w:cs="Arial"/>
        </w:rPr>
        <w:t xml:space="preserve"> derivado de verificar las evidencias correspondientes </w:t>
      </w:r>
      <w:r>
        <w:rPr>
          <w:rFonts w:eastAsia="Arial" w:cs="Arial"/>
        </w:rPr>
        <w:t>al cumplimiento de 4</w:t>
      </w:r>
      <w:r w:rsidR="008A5E9A">
        <w:rPr>
          <w:rFonts w:eastAsia="Arial" w:cs="Arial"/>
        </w:rPr>
        <w:t>1</w:t>
      </w:r>
      <w:r w:rsidR="00F330C3">
        <w:rPr>
          <w:rFonts w:eastAsia="Arial" w:cs="Arial"/>
        </w:rPr>
        <w:t xml:space="preserve"> actividades, lo que representa el 8</w:t>
      </w:r>
      <w:r w:rsidR="008A5E9A">
        <w:rPr>
          <w:rFonts w:eastAsia="Arial" w:cs="Arial"/>
        </w:rPr>
        <w:t>5</w:t>
      </w:r>
      <w:r w:rsidR="00F330C3">
        <w:rPr>
          <w:rFonts w:eastAsia="Arial" w:cs="Arial"/>
        </w:rPr>
        <w:t xml:space="preserve">% </w:t>
      </w:r>
      <w:r w:rsidRPr="004E2CA0">
        <w:rPr>
          <w:rFonts w:eastAsia="Arial" w:cs="Arial"/>
        </w:rPr>
        <w:t xml:space="preserve">de las </w:t>
      </w:r>
      <w:r>
        <w:rPr>
          <w:rFonts w:eastAsia="Arial" w:cs="Arial"/>
        </w:rPr>
        <w:t xml:space="preserve">48 </w:t>
      </w:r>
      <w:r w:rsidRPr="004E2CA0">
        <w:rPr>
          <w:rFonts w:eastAsia="Arial" w:cs="Arial"/>
        </w:rPr>
        <w:t xml:space="preserve">establecidas para la vigencia de </w:t>
      </w:r>
      <w:r>
        <w:rPr>
          <w:rFonts w:eastAsia="Arial" w:cs="Arial"/>
        </w:rPr>
        <w:t>2021,</w:t>
      </w:r>
      <w:r w:rsidR="00F15D7A">
        <w:rPr>
          <w:rFonts w:eastAsia="Arial" w:cs="Arial"/>
        </w:rPr>
        <w:t xml:space="preserve"> en el total de los componentes.</w:t>
      </w:r>
    </w:p>
    <w:p w14:paraId="7EBABA45" w14:textId="450B9DA7" w:rsidR="00F330C3" w:rsidRDefault="00F15D7A" w:rsidP="00DC6FD7">
      <w:pPr>
        <w:widowControl w:val="0"/>
        <w:autoSpaceDE w:val="0"/>
        <w:autoSpaceDN w:val="0"/>
        <w:spacing w:before="188"/>
        <w:ind w:left="-142" w:right="49"/>
        <w:jc w:val="both"/>
        <w:rPr>
          <w:rFonts w:eastAsia="Arial" w:cs="Arial"/>
        </w:rPr>
      </w:pPr>
      <w:r>
        <w:rPr>
          <w:rFonts w:eastAsia="Arial" w:cs="Arial"/>
        </w:rPr>
        <w:t xml:space="preserve">De otra parte, en el marco de la verificación se observó que </w:t>
      </w:r>
      <w:r w:rsidR="008A5E9A">
        <w:rPr>
          <w:rFonts w:eastAsia="Arial" w:cs="Arial"/>
        </w:rPr>
        <w:t>7</w:t>
      </w:r>
      <w:r>
        <w:rPr>
          <w:rFonts w:eastAsia="Arial" w:cs="Arial"/>
        </w:rPr>
        <w:t xml:space="preserve"> acciones que corresponden al </w:t>
      </w:r>
      <w:r w:rsidR="00F330C3">
        <w:rPr>
          <w:rFonts w:eastAsia="Arial" w:cs="Arial"/>
        </w:rPr>
        <w:t>1</w:t>
      </w:r>
      <w:r w:rsidR="008A5E9A">
        <w:rPr>
          <w:rFonts w:eastAsia="Arial" w:cs="Arial"/>
        </w:rPr>
        <w:t>5</w:t>
      </w:r>
      <w:r>
        <w:rPr>
          <w:rFonts w:eastAsia="Arial" w:cs="Arial"/>
        </w:rPr>
        <w:t>%, fueron</w:t>
      </w:r>
      <w:r w:rsidR="00BF7D08">
        <w:rPr>
          <w:rFonts w:eastAsia="Arial" w:cs="Arial"/>
        </w:rPr>
        <w:t xml:space="preserve"> ejecutadas parcialmente</w:t>
      </w:r>
      <w:r w:rsidR="00F330C3">
        <w:rPr>
          <w:rFonts w:eastAsia="Arial" w:cs="Arial"/>
        </w:rPr>
        <w:t xml:space="preserve">. </w:t>
      </w:r>
    </w:p>
    <w:p w14:paraId="799723FA" w14:textId="77777777" w:rsidR="00DC157A" w:rsidRDefault="00DC157A" w:rsidP="00962A4B">
      <w:pPr>
        <w:jc w:val="both"/>
        <w:rPr>
          <w:rFonts w:cs="Arial"/>
          <w:color w:val="FF0000"/>
        </w:rPr>
      </w:pPr>
    </w:p>
    <w:p w14:paraId="10957102" w14:textId="6F05EA03" w:rsidR="00962A4B" w:rsidRDefault="00962A4B" w:rsidP="00F330C3">
      <w:pPr>
        <w:ind w:left="-142"/>
        <w:jc w:val="both"/>
        <w:rPr>
          <w:rFonts w:cs="Arial"/>
        </w:rPr>
      </w:pPr>
      <w:r w:rsidRPr="00F330C3">
        <w:rPr>
          <w:rFonts w:cs="Arial"/>
        </w:rPr>
        <w:t>El Plan Anticorrupción y de Atención al Ciudadano, al ser un instrumento de tipo preventivo para el control de la gestión de la entidad, se debe cumplir estrictamente y dentro de los términos establecidos, toda vez que, su incumplimiento puede acarrear sanciones de tipo disciplinario conforme lo contempla el artículo 81 de la Ley 1474 de 2011.</w:t>
      </w:r>
    </w:p>
    <w:p w14:paraId="50EF5513" w14:textId="089F879B" w:rsidR="003625F3" w:rsidRDefault="003625F3" w:rsidP="00F330C3">
      <w:pPr>
        <w:ind w:left="-142"/>
        <w:jc w:val="both"/>
        <w:rPr>
          <w:rFonts w:cs="Arial"/>
        </w:rPr>
      </w:pPr>
    </w:p>
    <w:p w14:paraId="10EE345E" w14:textId="70851544" w:rsidR="00DC6FD7" w:rsidRPr="00740651" w:rsidRDefault="00DC6FD7" w:rsidP="00962A4B">
      <w:pPr>
        <w:rPr>
          <w:rFonts w:cs="Arial"/>
          <w:b/>
          <w:color w:val="FF0000"/>
        </w:rPr>
      </w:pPr>
    </w:p>
    <w:p w14:paraId="44ACA5A9" w14:textId="55534622" w:rsidR="00962A4B" w:rsidRPr="00770050" w:rsidRDefault="00962A4B" w:rsidP="003C19C7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70050">
        <w:rPr>
          <w:rFonts w:cs="Arial"/>
          <w:b/>
        </w:rPr>
        <w:t>RECOMENDACIONES</w:t>
      </w:r>
    </w:p>
    <w:p w14:paraId="2E5C2EF2" w14:textId="77777777" w:rsidR="00962A4B" w:rsidRPr="00962A4B" w:rsidRDefault="00962A4B" w:rsidP="00962A4B">
      <w:pPr>
        <w:jc w:val="both"/>
        <w:rPr>
          <w:rFonts w:cs="Arial"/>
          <w:b/>
          <w:color w:val="FF0000"/>
          <w:sz w:val="18"/>
        </w:rPr>
      </w:pPr>
    </w:p>
    <w:p w14:paraId="412AF7B6" w14:textId="400FFE9A" w:rsidR="00F81657" w:rsidRPr="00836558" w:rsidRDefault="00F81657" w:rsidP="00836558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</w:rPr>
      </w:pPr>
      <w:r w:rsidRPr="00836558">
        <w:rPr>
          <w:rFonts w:cs="Arial"/>
        </w:rPr>
        <w:t xml:space="preserve">Incluir las actividades que fueron ejecutadas parcialmente en la formulación del PAAC 2022  </w:t>
      </w:r>
    </w:p>
    <w:p w14:paraId="7E65F6C9" w14:textId="596D4448" w:rsidR="008B3716" w:rsidRPr="00836558" w:rsidRDefault="008B3716" w:rsidP="00836558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</w:rPr>
      </w:pPr>
      <w:r w:rsidRPr="00836558">
        <w:rPr>
          <w:rFonts w:cs="Arial"/>
        </w:rPr>
        <w:lastRenderedPageBreak/>
        <w:t xml:space="preserve">Realizar </w:t>
      </w:r>
      <w:r w:rsidR="00F81657" w:rsidRPr="00836558">
        <w:rPr>
          <w:rFonts w:cs="Arial"/>
        </w:rPr>
        <w:t xml:space="preserve">seguimiento </w:t>
      </w:r>
      <w:r w:rsidR="00836558">
        <w:rPr>
          <w:rFonts w:cs="Arial"/>
        </w:rPr>
        <w:t xml:space="preserve">y monitoreo </w:t>
      </w:r>
      <w:r w:rsidR="00F81657" w:rsidRPr="00836558">
        <w:rPr>
          <w:rFonts w:cs="Arial"/>
        </w:rPr>
        <w:t xml:space="preserve">permanente al avance de las acciones formuladas en el PAAC con el propósito de detectar desviaciones de forma oportuna para la toma de decisiones y la implementación de acciones correctivas, que permita evitar incumplimientos que puede acarrear sanciones para la entidad. </w:t>
      </w:r>
    </w:p>
    <w:p w14:paraId="149C000B" w14:textId="0149308A" w:rsidR="00F81657" w:rsidRPr="00836558" w:rsidRDefault="00F81657" w:rsidP="00836558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</w:rPr>
      </w:pPr>
      <w:r w:rsidRPr="00836558">
        <w:rPr>
          <w:rFonts w:cs="Arial"/>
        </w:rPr>
        <w:t xml:space="preserve">Realizar procesos de autoevaluación </w:t>
      </w:r>
      <w:r w:rsidR="005333DA">
        <w:rPr>
          <w:rFonts w:cs="Arial"/>
        </w:rPr>
        <w:t xml:space="preserve">periódicamente, </w:t>
      </w:r>
      <w:r w:rsidRPr="00836558">
        <w:rPr>
          <w:rFonts w:cs="Arial"/>
        </w:rPr>
        <w:t>que permitan identificar acciones de mejora y realizar seguimiento a las mismas</w:t>
      </w:r>
      <w:r w:rsidR="0031669A" w:rsidRPr="00836558">
        <w:rPr>
          <w:rFonts w:cs="Arial"/>
        </w:rPr>
        <w:t>.</w:t>
      </w:r>
    </w:p>
    <w:p w14:paraId="461728A5" w14:textId="674D1716" w:rsidR="00F81657" w:rsidRDefault="00F81657" w:rsidP="00836558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Aportar documentos y/o soportes completos y de forma oportuna atendiendo los cronogramas establecidos por la entidad, que permitan en cada seguimiento establecer el cumplimiento de cada una de las acciones que son formuladas en el PAAC </w:t>
      </w:r>
    </w:p>
    <w:p w14:paraId="1B5F203C" w14:textId="1DAFAA5C" w:rsidR="00836558" w:rsidRPr="005333DA" w:rsidRDefault="00836558" w:rsidP="00836558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Cs w:val="22"/>
          <w:lang w:val="es-MX"/>
        </w:rPr>
      </w:pPr>
      <w:r w:rsidRPr="005333DA">
        <w:rPr>
          <w:rFonts w:cs="Arial"/>
          <w:szCs w:val="22"/>
          <w:lang w:val="es-MX"/>
        </w:rPr>
        <w:t xml:space="preserve">Revisar la pertinencia y operación de los controles implementados para </w:t>
      </w:r>
      <w:r w:rsidR="00EF6FBE" w:rsidRPr="005333DA">
        <w:rPr>
          <w:rFonts w:cs="Arial"/>
          <w:szCs w:val="22"/>
          <w:lang w:val="es-MX"/>
        </w:rPr>
        <w:t xml:space="preserve">la ejecución </w:t>
      </w:r>
      <w:r w:rsidRPr="005333DA">
        <w:rPr>
          <w:rFonts w:cs="Arial"/>
          <w:szCs w:val="22"/>
          <w:lang w:val="es-MX"/>
        </w:rPr>
        <w:t>del PAAC</w:t>
      </w:r>
      <w:r w:rsidR="00EF6FBE" w:rsidRPr="005333DA">
        <w:rPr>
          <w:rFonts w:cs="Arial"/>
          <w:szCs w:val="22"/>
          <w:lang w:val="es-MX"/>
        </w:rPr>
        <w:t xml:space="preserve">, con el fin de evitar que se vuelva a materializar el riesgo de incumplimiento. </w:t>
      </w:r>
    </w:p>
    <w:p w14:paraId="761D7646" w14:textId="57364E27" w:rsidR="008708AB" w:rsidRPr="005333DA" w:rsidRDefault="008708AB" w:rsidP="00836558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Cs w:val="22"/>
          <w:lang w:val="es-MX"/>
        </w:rPr>
      </w:pPr>
      <w:r w:rsidRPr="005333DA">
        <w:rPr>
          <w:rFonts w:cs="Arial"/>
          <w:szCs w:val="22"/>
          <w:lang w:val="es-MX"/>
        </w:rPr>
        <w:t xml:space="preserve">Definir acciones que garanticen la </w:t>
      </w:r>
      <w:r w:rsidR="00836558" w:rsidRPr="005333DA">
        <w:rPr>
          <w:rFonts w:cs="Arial"/>
          <w:szCs w:val="22"/>
          <w:lang w:val="es-MX"/>
        </w:rPr>
        <w:t xml:space="preserve">operación </w:t>
      </w:r>
      <w:r w:rsidRPr="005333DA">
        <w:rPr>
          <w:rFonts w:cs="Arial"/>
          <w:szCs w:val="22"/>
          <w:lang w:val="es-MX"/>
        </w:rPr>
        <w:t xml:space="preserve">de los controles con el fin de detectar desviaciones </w:t>
      </w:r>
      <w:r w:rsidR="00836558" w:rsidRPr="005333DA">
        <w:rPr>
          <w:rFonts w:cs="Arial"/>
          <w:szCs w:val="22"/>
          <w:lang w:val="es-MX"/>
        </w:rPr>
        <w:t xml:space="preserve">de forma oportuna </w:t>
      </w:r>
      <w:r w:rsidRPr="005333DA">
        <w:rPr>
          <w:rFonts w:cs="Arial"/>
          <w:szCs w:val="22"/>
          <w:lang w:val="es-MX"/>
        </w:rPr>
        <w:t xml:space="preserve">y permitir el logro de los objetivos </w:t>
      </w:r>
      <w:r w:rsidR="00836558" w:rsidRPr="005333DA">
        <w:rPr>
          <w:rFonts w:cs="Arial"/>
          <w:szCs w:val="22"/>
          <w:lang w:val="es-MX"/>
        </w:rPr>
        <w:t xml:space="preserve">propuestos en el PAAC. </w:t>
      </w:r>
    </w:p>
    <w:p w14:paraId="140AA6F3" w14:textId="27CC1752" w:rsidR="00836558" w:rsidRPr="005333DA" w:rsidRDefault="00836558" w:rsidP="00836558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Cs w:val="22"/>
          <w:lang w:val="es-MX"/>
        </w:rPr>
      </w:pPr>
      <w:r w:rsidRPr="005333DA">
        <w:rPr>
          <w:rFonts w:cs="Arial"/>
          <w:szCs w:val="22"/>
          <w:lang w:val="es-MX"/>
        </w:rPr>
        <w:t>Fortalecer el conocimiento de los lineamientos en la ejecución de las actividades formuladas en el PAAC a los responsables de</w:t>
      </w:r>
      <w:r w:rsidR="005333DA">
        <w:rPr>
          <w:rFonts w:cs="Arial"/>
          <w:szCs w:val="22"/>
          <w:lang w:val="es-MX"/>
        </w:rPr>
        <w:t xml:space="preserve"> su cumplimiento</w:t>
      </w:r>
      <w:r w:rsidRPr="005333DA">
        <w:rPr>
          <w:rFonts w:cs="Arial"/>
          <w:szCs w:val="22"/>
          <w:lang w:val="es-MX"/>
        </w:rPr>
        <w:t xml:space="preserve">. </w:t>
      </w:r>
    </w:p>
    <w:p w14:paraId="750F98BA" w14:textId="32383DCF" w:rsidR="008708AB" w:rsidRDefault="008708AB" w:rsidP="00F8165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Cs w:val="22"/>
          <w:lang w:val="es-MX"/>
        </w:rPr>
      </w:pPr>
    </w:p>
    <w:p w14:paraId="467E9397" w14:textId="3A25D263" w:rsidR="007E187A" w:rsidRPr="005333DA" w:rsidRDefault="007E187A" w:rsidP="00EF6FBE">
      <w:pPr>
        <w:suppressAutoHyphens/>
        <w:autoSpaceDE w:val="0"/>
        <w:autoSpaceDN w:val="0"/>
        <w:adjustRightInd w:val="0"/>
        <w:spacing w:before="60" w:after="60"/>
        <w:jc w:val="both"/>
        <w:rPr>
          <w:rFonts w:cs="Arial"/>
          <w:szCs w:val="22"/>
          <w:lang w:val="es-MX"/>
        </w:rPr>
      </w:pPr>
    </w:p>
    <w:p w14:paraId="5BD31159" w14:textId="1628AE84" w:rsidR="00B036B5" w:rsidRDefault="00B036B5" w:rsidP="00B036B5">
      <w:pPr>
        <w:jc w:val="both"/>
      </w:pPr>
    </w:p>
    <w:sectPr w:rsidR="00B036B5" w:rsidSect="002F1F7E">
      <w:headerReference w:type="default" r:id="rId11"/>
      <w:footerReference w:type="default" r:id="rId12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76A4" w14:textId="77777777" w:rsidR="00560152" w:rsidRDefault="00560152" w:rsidP="00106E49">
      <w:r>
        <w:separator/>
      </w:r>
    </w:p>
  </w:endnote>
  <w:endnote w:type="continuationSeparator" w:id="0">
    <w:p w14:paraId="4B8FC39D" w14:textId="77777777" w:rsidR="00560152" w:rsidRDefault="00560152" w:rsidP="001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DC6FD7" w14:paraId="4649E5C5" w14:textId="77777777" w:rsidTr="00455B38">
      <w:tc>
        <w:tcPr>
          <w:tcW w:w="2942" w:type="dxa"/>
        </w:tcPr>
        <w:p w14:paraId="5B4A80BF" w14:textId="260E9B2A" w:rsidR="00DC6FD7" w:rsidRPr="00455B38" w:rsidRDefault="00DC6FD7" w:rsidP="001D2412">
          <w:pPr>
            <w:pStyle w:val="Piedepgina"/>
            <w:rPr>
              <w:sz w:val="18"/>
              <w:szCs w:val="18"/>
            </w:rPr>
          </w:pPr>
          <w:r>
            <w:rPr>
              <w:sz w:val="18"/>
              <w:szCs w:val="18"/>
            </w:rPr>
            <w:t>Versión 03</w:t>
          </w:r>
          <w:r w:rsidRPr="00455B38">
            <w:rPr>
              <w:sz w:val="18"/>
              <w:szCs w:val="18"/>
            </w:rPr>
            <w:t xml:space="preserve">   3</w:t>
          </w:r>
          <w:r>
            <w:rPr>
              <w:sz w:val="18"/>
              <w:szCs w:val="18"/>
            </w:rPr>
            <w:t>1</w:t>
          </w:r>
          <w:r w:rsidRPr="00455B3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12</w:t>
          </w:r>
          <w:r w:rsidRPr="00455B38">
            <w:rPr>
              <w:sz w:val="18"/>
              <w:szCs w:val="18"/>
            </w:rPr>
            <w:t>/2020</w:t>
          </w:r>
        </w:p>
      </w:tc>
      <w:tc>
        <w:tcPr>
          <w:tcW w:w="2943" w:type="dxa"/>
        </w:tcPr>
        <w:p w14:paraId="543A11A7" w14:textId="77777777" w:rsidR="00DC6FD7" w:rsidRDefault="00DC6FD7">
          <w:pPr>
            <w:pStyle w:val="Piedepgina"/>
          </w:pPr>
        </w:p>
      </w:tc>
      <w:tc>
        <w:tcPr>
          <w:tcW w:w="2943" w:type="dxa"/>
        </w:tcPr>
        <w:p w14:paraId="52C40D95" w14:textId="77777777" w:rsidR="00DC6FD7" w:rsidRDefault="00DC6FD7">
          <w:pPr>
            <w:pStyle w:val="Piedepgina"/>
          </w:pPr>
        </w:p>
      </w:tc>
    </w:tr>
  </w:tbl>
  <w:p w14:paraId="5B4AE9E1" w14:textId="77777777" w:rsidR="00DC6FD7" w:rsidRPr="00455B38" w:rsidRDefault="00DC6FD7" w:rsidP="00455B38">
    <w:pPr>
      <w:pStyle w:val="Piedep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CDC4" w14:textId="77777777" w:rsidR="00560152" w:rsidRDefault="00560152" w:rsidP="00106E49">
      <w:r>
        <w:separator/>
      </w:r>
    </w:p>
  </w:footnote>
  <w:footnote w:type="continuationSeparator" w:id="0">
    <w:p w14:paraId="3DAD41D3" w14:textId="77777777" w:rsidR="00560152" w:rsidRDefault="00560152" w:rsidP="0010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ayout w:type="fixed"/>
      <w:tblLook w:val="04A0" w:firstRow="1" w:lastRow="0" w:firstColumn="1" w:lastColumn="0" w:noHBand="0" w:noVBand="1"/>
    </w:tblPr>
    <w:tblGrid>
      <w:gridCol w:w="1412"/>
      <w:gridCol w:w="4395"/>
      <w:gridCol w:w="3021"/>
    </w:tblGrid>
    <w:tr w:rsidR="00DC6FD7" w14:paraId="17F55E8E" w14:textId="77777777" w:rsidTr="00F1402C">
      <w:trPr>
        <w:trHeight w:val="268"/>
      </w:trPr>
      <w:tc>
        <w:tcPr>
          <w:tcW w:w="800" w:type="pct"/>
          <w:vMerge w:val="restart"/>
          <w:vAlign w:val="center"/>
        </w:tcPr>
        <w:p w14:paraId="7FFF3766" w14:textId="467811F2" w:rsidR="00DC6FD7" w:rsidRDefault="00DC6FD7" w:rsidP="00455B38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75543A4" wp14:editId="6D108C12">
                <wp:extent cx="775970" cy="672465"/>
                <wp:effectExtent l="0" t="0" r="0" b="635"/>
                <wp:docPr id="8" name="image1.jpg" descr="Descripción: IDPCBY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ción: IDPCBYN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14:paraId="7CFD37E4" w14:textId="6B6BB5CD" w:rsidR="00DC6FD7" w:rsidRPr="002F1F7E" w:rsidRDefault="00DC6FD7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2F1F7E">
            <w:rPr>
              <w:b/>
              <w:bCs/>
              <w:sz w:val="18"/>
              <w:szCs w:val="18"/>
            </w:rPr>
            <w:t>INSTITUTO DISTRITAL DE PATRIMONIO CULTURAL</w:t>
          </w:r>
        </w:p>
      </w:tc>
      <w:tc>
        <w:tcPr>
          <w:tcW w:w="1711" w:type="pct"/>
          <w:vMerge w:val="restart"/>
          <w:vAlign w:val="center"/>
        </w:tcPr>
        <w:p w14:paraId="22B738FF" w14:textId="77777777" w:rsidR="00DC6FD7" w:rsidRPr="00C2554A" w:rsidRDefault="00DC6FD7" w:rsidP="00455B38">
          <w:pPr>
            <w:pStyle w:val="Encabezamiento"/>
            <w:jc w:val="right"/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</w:pPr>
          <w:r w:rsidRPr="00C2554A"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  <w:t>*20221200007623*</w:t>
          </w:r>
        </w:p>
        <w:p w14:paraId="6A124EDA" w14:textId="375563B4" w:rsidR="00DC6FD7" w:rsidRDefault="00DC6FD7" w:rsidP="00455B38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Radicado: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20221200007623</w:t>
          </w:r>
        </w:p>
        <w:p w14:paraId="5B67E539" w14:textId="77777777" w:rsidR="00DC6FD7" w:rsidRDefault="00DC6FD7" w:rsidP="00455B38">
          <w:pPr>
            <w:pStyle w:val="Sinespaciad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r w:rsidRPr="00645334">
            <w:rPr>
              <w:rFonts w:ascii="Arial" w:eastAsia="Times New Roman" w:hAnsi="Arial" w:cs="Times New Roman"/>
              <w:sz w:val="16"/>
              <w:szCs w:val="16"/>
              <w:lang w:val="en-US"/>
            </w:rPr>
            <w:t xml:space="preserve">Fecha: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17-01-2022</w:t>
          </w:r>
        </w:p>
        <w:p w14:paraId="19561F24" w14:textId="68DF67BE" w:rsidR="00DC6FD7" w:rsidRDefault="00DC6FD7" w:rsidP="00455B38">
          <w:pPr>
            <w:pStyle w:val="Encabezado"/>
            <w:jc w:val="right"/>
          </w:pPr>
          <w:r w:rsidRPr="006C56C7">
            <w:rPr>
              <w:rFonts w:cs="Arial"/>
              <w:sz w:val="18"/>
              <w:szCs w:val="18"/>
              <w:lang w:val="en-US"/>
            </w:rPr>
            <w:t xml:space="preserve">Pág. </w:t>
          </w:r>
          <w:r w:rsidRPr="006C56C7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cs="Arial"/>
              <w:sz w:val="18"/>
              <w:szCs w:val="18"/>
            </w:rPr>
            <w:instrText>PAGE</w:instrText>
          </w:r>
          <w:r w:rsidRPr="006C56C7">
            <w:rPr>
              <w:rFonts w:cs="Arial"/>
              <w:sz w:val="18"/>
              <w:szCs w:val="18"/>
            </w:rPr>
            <w:fldChar w:fldCharType="separate"/>
          </w:r>
          <w:r w:rsidR="001E144E">
            <w:rPr>
              <w:rFonts w:cs="Arial"/>
              <w:noProof/>
              <w:sz w:val="18"/>
              <w:szCs w:val="18"/>
            </w:rPr>
            <w:t>2</w:t>
          </w:r>
          <w:r w:rsidRPr="006C56C7">
            <w:rPr>
              <w:rFonts w:cs="Arial"/>
              <w:sz w:val="18"/>
              <w:szCs w:val="18"/>
            </w:rPr>
            <w:fldChar w:fldCharType="end"/>
          </w:r>
          <w:r w:rsidRPr="006C56C7">
            <w:rPr>
              <w:rFonts w:cs="Arial"/>
              <w:sz w:val="18"/>
              <w:szCs w:val="18"/>
              <w:lang w:val="en-US"/>
            </w:rPr>
            <w:t xml:space="preserve"> de </w:t>
          </w:r>
          <w:r w:rsidRPr="006C56C7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cs="Arial"/>
              <w:sz w:val="18"/>
              <w:szCs w:val="18"/>
            </w:rPr>
            <w:instrText>NUMPAGES</w:instrText>
          </w:r>
          <w:r w:rsidRPr="006C56C7">
            <w:rPr>
              <w:rFonts w:cs="Arial"/>
              <w:sz w:val="18"/>
              <w:szCs w:val="18"/>
            </w:rPr>
            <w:fldChar w:fldCharType="separate"/>
          </w:r>
          <w:r w:rsidR="001E144E">
            <w:rPr>
              <w:rFonts w:cs="Arial"/>
              <w:noProof/>
              <w:sz w:val="18"/>
              <w:szCs w:val="18"/>
            </w:rPr>
            <w:t>11</w:t>
          </w:r>
          <w:r w:rsidRPr="006C56C7">
            <w:rPr>
              <w:rFonts w:cs="Arial"/>
              <w:sz w:val="18"/>
              <w:szCs w:val="18"/>
            </w:rPr>
            <w:fldChar w:fldCharType="end"/>
          </w:r>
        </w:p>
      </w:tc>
    </w:tr>
    <w:tr w:rsidR="00DC6FD7" w14:paraId="08F8725E" w14:textId="77777777" w:rsidTr="00F1402C">
      <w:trPr>
        <w:trHeight w:val="343"/>
      </w:trPr>
      <w:tc>
        <w:tcPr>
          <w:tcW w:w="800" w:type="pct"/>
          <w:vMerge/>
          <w:vAlign w:val="center"/>
        </w:tcPr>
        <w:p w14:paraId="657EB559" w14:textId="77777777" w:rsidR="00DC6FD7" w:rsidRDefault="00DC6FD7" w:rsidP="00455B38">
          <w:pPr>
            <w:pStyle w:val="Encabezado"/>
            <w:jc w:val="center"/>
          </w:pPr>
        </w:p>
      </w:tc>
      <w:tc>
        <w:tcPr>
          <w:tcW w:w="2489" w:type="pct"/>
          <w:vAlign w:val="center"/>
        </w:tcPr>
        <w:p w14:paraId="48FFF810" w14:textId="1FEBDBD4" w:rsidR="00DC6FD7" w:rsidRPr="002F1F7E" w:rsidRDefault="00DC6FD7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PROCESO DE SEGUIMIENTO Y EVALUACIÓN</w:t>
          </w:r>
        </w:p>
      </w:tc>
      <w:tc>
        <w:tcPr>
          <w:tcW w:w="1711" w:type="pct"/>
          <w:vMerge/>
          <w:vAlign w:val="center"/>
        </w:tcPr>
        <w:p w14:paraId="1EDC6AC3" w14:textId="77777777" w:rsidR="00DC6FD7" w:rsidRDefault="00DC6FD7" w:rsidP="00455B38">
          <w:pPr>
            <w:pStyle w:val="Encabezado"/>
            <w:jc w:val="center"/>
          </w:pPr>
        </w:p>
      </w:tc>
    </w:tr>
    <w:tr w:rsidR="00DC6FD7" w14:paraId="3DC35361" w14:textId="77777777" w:rsidTr="00F1402C">
      <w:tc>
        <w:tcPr>
          <w:tcW w:w="800" w:type="pct"/>
          <w:vMerge/>
          <w:vAlign w:val="center"/>
        </w:tcPr>
        <w:p w14:paraId="581663E7" w14:textId="77777777" w:rsidR="00DC6FD7" w:rsidRDefault="00DC6FD7" w:rsidP="00455B38">
          <w:pPr>
            <w:pStyle w:val="Encabezado"/>
            <w:jc w:val="center"/>
          </w:pPr>
        </w:p>
      </w:tc>
      <w:tc>
        <w:tcPr>
          <w:tcW w:w="2489" w:type="pct"/>
          <w:vAlign w:val="center"/>
        </w:tcPr>
        <w:p w14:paraId="6E036EAE" w14:textId="216961A6" w:rsidR="00DC6FD7" w:rsidRPr="002F1F7E" w:rsidRDefault="00DC6FD7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45782D">
            <w:rPr>
              <w:b/>
              <w:bCs/>
              <w:sz w:val="18"/>
              <w:szCs w:val="18"/>
            </w:rPr>
            <w:t>INFORME DE SEGUIMIENTO Y/O EVALUACIÓN</w:t>
          </w:r>
        </w:p>
      </w:tc>
      <w:tc>
        <w:tcPr>
          <w:tcW w:w="1711" w:type="pct"/>
          <w:vMerge/>
          <w:vAlign w:val="center"/>
        </w:tcPr>
        <w:p w14:paraId="14B9FA48" w14:textId="77777777" w:rsidR="00DC6FD7" w:rsidRDefault="00DC6FD7" w:rsidP="00455B38">
          <w:pPr>
            <w:pStyle w:val="Encabezado"/>
            <w:jc w:val="center"/>
          </w:pPr>
        </w:p>
      </w:tc>
    </w:tr>
  </w:tbl>
  <w:p w14:paraId="1D78BD1D" w14:textId="77777777" w:rsidR="00DC6FD7" w:rsidRDefault="00DC6F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441"/>
    <w:multiLevelType w:val="hybridMultilevel"/>
    <w:tmpl w:val="6C603C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9B6"/>
    <w:multiLevelType w:val="hybridMultilevel"/>
    <w:tmpl w:val="35021D1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EED"/>
    <w:multiLevelType w:val="hybridMultilevel"/>
    <w:tmpl w:val="06880E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19B2"/>
    <w:multiLevelType w:val="hybridMultilevel"/>
    <w:tmpl w:val="F33A8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70D5"/>
    <w:multiLevelType w:val="hybridMultilevel"/>
    <w:tmpl w:val="8E7A768A"/>
    <w:lvl w:ilvl="0" w:tplc="F5F09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712B5"/>
    <w:multiLevelType w:val="hybridMultilevel"/>
    <w:tmpl w:val="5C242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B539E"/>
    <w:multiLevelType w:val="hybridMultilevel"/>
    <w:tmpl w:val="05E0C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31AC"/>
    <w:multiLevelType w:val="hybridMultilevel"/>
    <w:tmpl w:val="930477BE"/>
    <w:lvl w:ilvl="0" w:tplc="240A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925F3"/>
    <w:multiLevelType w:val="hybridMultilevel"/>
    <w:tmpl w:val="36FCC6B6"/>
    <w:lvl w:ilvl="0" w:tplc="240A000D">
      <w:start w:val="1"/>
      <w:numFmt w:val="bullet"/>
      <w:lvlText w:val=""/>
      <w:lvlJc w:val="left"/>
      <w:pPr>
        <w:ind w:left="40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9" w15:restartNumberingAfterBreak="0">
    <w:nsid w:val="1ACE0DB6"/>
    <w:multiLevelType w:val="hybridMultilevel"/>
    <w:tmpl w:val="7CD810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E3E3D"/>
    <w:multiLevelType w:val="multilevel"/>
    <w:tmpl w:val="ABB6D618"/>
    <w:lvl w:ilvl="0">
      <w:start w:val="1"/>
      <w:numFmt w:val="decimal"/>
      <w:lvlText w:val="%1."/>
      <w:lvlJc w:val="left"/>
      <w:pPr>
        <w:ind w:left="544" w:hanging="360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60" w:hanging="36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7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7663825"/>
    <w:multiLevelType w:val="hybridMultilevel"/>
    <w:tmpl w:val="1C1E11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E7058"/>
    <w:multiLevelType w:val="hybridMultilevel"/>
    <w:tmpl w:val="5A04C9D6"/>
    <w:lvl w:ilvl="0" w:tplc="24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E17B4"/>
    <w:multiLevelType w:val="hybridMultilevel"/>
    <w:tmpl w:val="D078098A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93D4B"/>
    <w:multiLevelType w:val="hybridMultilevel"/>
    <w:tmpl w:val="C81EBA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67DF8"/>
    <w:multiLevelType w:val="hybridMultilevel"/>
    <w:tmpl w:val="CD2A48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470D"/>
    <w:multiLevelType w:val="multilevel"/>
    <w:tmpl w:val="25C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66F4F"/>
    <w:multiLevelType w:val="hybridMultilevel"/>
    <w:tmpl w:val="5112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1AC"/>
    <w:multiLevelType w:val="hybridMultilevel"/>
    <w:tmpl w:val="8B50DC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4736"/>
    <w:multiLevelType w:val="hybridMultilevel"/>
    <w:tmpl w:val="44D2B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360D0"/>
    <w:multiLevelType w:val="hybridMultilevel"/>
    <w:tmpl w:val="CE3C86CC"/>
    <w:lvl w:ilvl="0" w:tplc="24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C21E1"/>
    <w:multiLevelType w:val="hybridMultilevel"/>
    <w:tmpl w:val="E2AA2D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4C2"/>
    <w:multiLevelType w:val="hybridMultilevel"/>
    <w:tmpl w:val="9C002B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01A12"/>
    <w:multiLevelType w:val="hybridMultilevel"/>
    <w:tmpl w:val="BE4E50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342EE"/>
    <w:multiLevelType w:val="hybridMultilevel"/>
    <w:tmpl w:val="FB3CCF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70EDE"/>
    <w:multiLevelType w:val="hybridMultilevel"/>
    <w:tmpl w:val="146A9D5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6F5411"/>
    <w:multiLevelType w:val="multilevel"/>
    <w:tmpl w:val="967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CA1308"/>
    <w:multiLevelType w:val="hybridMultilevel"/>
    <w:tmpl w:val="0DCED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7701E"/>
    <w:multiLevelType w:val="hybridMultilevel"/>
    <w:tmpl w:val="CA50D1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2113"/>
    <w:multiLevelType w:val="hybridMultilevel"/>
    <w:tmpl w:val="FD52D2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E312D"/>
    <w:multiLevelType w:val="hybridMultilevel"/>
    <w:tmpl w:val="AF1C6F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40465"/>
    <w:multiLevelType w:val="hybridMultilevel"/>
    <w:tmpl w:val="8B026A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E7EB8"/>
    <w:multiLevelType w:val="hybridMultilevel"/>
    <w:tmpl w:val="78327760"/>
    <w:lvl w:ilvl="0" w:tplc="240A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04D67"/>
    <w:multiLevelType w:val="hybridMultilevel"/>
    <w:tmpl w:val="B2BE9BA0"/>
    <w:lvl w:ilvl="0" w:tplc="A4109A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6A68D1"/>
    <w:multiLevelType w:val="hybridMultilevel"/>
    <w:tmpl w:val="D5D61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E30E2"/>
    <w:multiLevelType w:val="hybridMultilevel"/>
    <w:tmpl w:val="FC5E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4"/>
  </w:num>
  <w:num w:numId="4">
    <w:abstractNumId w:val="14"/>
  </w:num>
  <w:num w:numId="5">
    <w:abstractNumId w:val="35"/>
  </w:num>
  <w:num w:numId="6">
    <w:abstractNumId w:val="2"/>
  </w:num>
  <w:num w:numId="7">
    <w:abstractNumId w:val="17"/>
  </w:num>
  <w:num w:numId="8">
    <w:abstractNumId w:val="22"/>
  </w:num>
  <w:num w:numId="9">
    <w:abstractNumId w:val="26"/>
  </w:num>
  <w:num w:numId="10">
    <w:abstractNumId w:val="16"/>
  </w:num>
  <w:num w:numId="11">
    <w:abstractNumId w:val="28"/>
  </w:num>
  <w:num w:numId="12">
    <w:abstractNumId w:val="8"/>
  </w:num>
  <w:num w:numId="13">
    <w:abstractNumId w:val="32"/>
  </w:num>
  <w:num w:numId="14">
    <w:abstractNumId w:val="18"/>
  </w:num>
  <w:num w:numId="15">
    <w:abstractNumId w:val="24"/>
  </w:num>
  <w:num w:numId="16">
    <w:abstractNumId w:val="20"/>
  </w:num>
  <w:num w:numId="17">
    <w:abstractNumId w:val="7"/>
  </w:num>
  <w:num w:numId="18">
    <w:abstractNumId w:val="12"/>
  </w:num>
  <w:num w:numId="19">
    <w:abstractNumId w:val="10"/>
  </w:num>
  <w:num w:numId="20">
    <w:abstractNumId w:val="6"/>
  </w:num>
  <w:num w:numId="21">
    <w:abstractNumId w:val="19"/>
  </w:num>
  <w:num w:numId="22">
    <w:abstractNumId w:val="33"/>
  </w:num>
  <w:num w:numId="23">
    <w:abstractNumId w:val="1"/>
  </w:num>
  <w:num w:numId="24">
    <w:abstractNumId w:val="29"/>
  </w:num>
  <w:num w:numId="25">
    <w:abstractNumId w:val="25"/>
  </w:num>
  <w:num w:numId="26">
    <w:abstractNumId w:val="4"/>
  </w:num>
  <w:num w:numId="27">
    <w:abstractNumId w:val="0"/>
  </w:num>
  <w:num w:numId="28">
    <w:abstractNumId w:val="11"/>
  </w:num>
  <w:num w:numId="29">
    <w:abstractNumId w:val="3"/>
  </w:num>
  <w:num w:numId="30">
    <w:abstractNumId w:val="9"/>
  </w:num>
  <w:num w:numId="31">
    <w:abstractNumId w:val="13"/>
  </w:num>
  <w:num w:numId="32">
    <w:abstractNumId w:val="27"/>
  </w:num>
  <w:num w:numId="33">
    <w:abstractNumId w:val="5"/>
  </w:num>
  <w:num w:numId="34">
    <w:abstractNumId w:val="15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C5"/>
    <w:rsid w:val="00006EBC"/>
    <w:rsid w:val="00014E3D"/>
    <w:rsid w:val="00052611"/>
    <w:rsid w:val="0006687C"/>
    <w:rsid w:val="00097C7B"/>
    <w:rsid w:val="000B7B37"/>
    <w:rsid w:val="000C2BF3"/>
    <w:rsid w:val="00106E49"/>
    <w:rsid w:val="00126220"/>
    <w:rsid w:val="00127B55"/>
    <w:rsid w:val="00136767"/>
    <w:rsid w:val="00150298"/>
    <w:rsid w:val="00164DF0"/>
    <w:rsid w:val="00172F30"/>
    <w:rsid w:val="00185D86"/>
    <w:rsid w:val="001B417D"/>
    <w:rsid w:val="001C7BD1"/>
    <w:rsid w:val="001D2412"/>
    <w:rsid w:val="001D4811"/>
    <w:rsid w:val="001E144E"/>
    <w:rsid w:val="001F18B3"/>
    <w:rsid w:val="001F32F9"/>
    <w:rsid w:val="001F7174"/>
    <w:rsid w:val="00267760"/>
    <w:rsid w:val="00267F9E"/>
    <w:rsid w:val="002C4D18"/>
    <w:rsid w:val="002E3F35"/>
    <w:rsid w:val="002F1F7E"/>
    <w:rsid w:val="0031669A"/>
    <w:rsid w:val="00327F58"/>
    <w:rsid w:val="003625F3"/>
    <w:rsid w:val="003C0413"/>
    <w:rsid w:val="003C19C7"/>
    <w:rsid w:val="003C4A77"/>
    <w:rsid w:val="003F4C23"/>
    <w:rsid w:val="00406C1A"/>
    <w:rsid w:val="00453BC2"/>
    <w:rsid w:val="00455B38"/>
    <w:rsid w:val="0045782D"/>
    <w:rsid w:val="00492359"/>
    <w:rsid w:val="005156E8"/>
    <w:rsid w:val="005238BC"/>
    <w:rsid w:val="005333DA"/>
    <w:rsid w:val="00560152"/>
    <w:rsid w:val="00574294"/>
    <w:rsid w:val="00584171"/>
    <w:rsid w:val="00604D10"/>
    <w:rsid w:val="00610668"/>
    <w:rsid w:val="006177FE"/>
    <w:rsid w:val="00630CBC"/>
    <w:rsid w:val="006363D5"/>
    <w:rsid w:val="00643128"/>
    <w:rsid w:val="00643BBD"/>
    <w:rsid w:val="00655D5C"/>
    <w:rsid w:val="00697F2F"/>
    <w:rsid w:val="006A5099"/>
    <w:rsid w:val="006D49C8"/>
    <w:rsid w:val="006F1926"/>
    <w:rsid w:val="006F4A18"/>
    <w:rsid w:val="00740651"/>
    <w:rsid w:val="007454F7"/>
    <w:rsid w:val="00752611"/>
    <w:rsid w:val="0075274B"/>
    <w:rsid w:val="00753CE6"/>
    <w:rsid w:val="007656CD"/>
    <w:rsid w:val="00770050"/>
    <w:rsid w:val="00771FB8"/>
    <w:rsid w:val="0077331E"/>
    <w:rsid w:val="007766D7"/>
    <w:rsid w:val="007922EA"/>
    <w:rsid w:val="007A43D5"/>
    <w:rsid w:val="007B5341"/>
    <w:rsid w:val="007B56AF"/>
    <w:rsid w:val="007C1AAE"/>
    <w:rsid w:val="007D430F"/>
    <w:rsid w:val="007E168A"/>
    <w:rsid w:val="007E187A"/>
    <w:rsid w:val="007F40A7"/>
    <w:rsid w:val="00822561"/>
    <w:rsid w:val="00826BB0"/>
    <w:rsid w:val="0083195A"/>
    <w:rsid w:val="00836558"/>
    <w:rsid w:val="00844A3B"/>
    <w:rsid w:val="008708AB"/>
    <w:rsid w:val="008A3C9A"/>
    <w:rsid w:val="008A5E9A"/>
    <w:rsid w:val="008B3716"/>
    <w:rsid w:val="008F215F"/>
    <w:rsid w:val="0090020F"/>
    <w:rsid w:val="00901100"/>
    <w:rsid w:val="00924706"/>
    <w:rsid w:val="00955685"/>
    <w:rsid w:val="009623A3"/>
    <w:rsid w:val="00962A4B"/>
    <w:rsid w:val="009C5226"/>
    <w:rsid w:val="009D04F0"/>
    <w:rsid w:val="00A02A3A"/>
    <w:rsid w:val="00A10DBC"/>
    <w:rsid w:val="00A17F7E"/>
    <w:rsid w:val="00A36D56"/>
    <w:rsid w:val="00A43041"/>
    <w:rsid w:val="00A45870"/>
    <w:rsid w:val="00A71E12"/>
    <w:rsid w:val="00AA4676"/>
    <w:rsid w:val="00AA6407"/>
    <w:rsid w:val="00AB27BA"/>
    <w:rsid w:val="00AC1EC1"/>
    <w:rsid w:val="00AD5687"/>
    <w:rsid w:val="00B036B5"/>
    <w:rsid w:val="00B573C1"/>
    <w:rsid w:val="00B945A0"/>
    <w:rsid w:val="00B9638B"/>
    <w:rsid w:val="00BA3AAA"/>
    <w:rsid w:val="00BD7691"/>
    <w:rsid w:val="00BE1836"/>
    <w:rsid w:val="00BF2973"/>
    <w:rsid w:val="00BF7D08"/>
    <w:rsid w:val="00C30C2A"/>
    <w:rsid w:val="00C63240"/>
    <w:rsid w:val="00C83FEA"/>
    <w:rsid w:val="00CC11D6"/>
    <w:rsid w:val="00CF427C"/>
    <w:rsid w:val="00D16855"/>
    <w:rsid w:val="00D2289B"/>
    <w:rsid w:val="00D357BD"/>
    <w:rsid w:val="00D66026"/>
    <w:rsid w:val="00D72363"/>
    <w:rsid w:val="00D84F96"/>
    <w:rsid w:val="00D932C5"/>
    <w:rsid w:val="00DC157A"/>
    <w:rsid w:val="00DC6FD7"/>
    <w:rsid w:val="00DC738F"/>
    <w:rsid w:val="00E02997"/>
    <w:rsid w:val="00E07D10"/>
    <w:rsid w:val="00E13AA7"/>
    <w:rsid w:val="00E60E2A"/>
    <w:rsid w:val="00E63A18"/>
    <w:rsid w:val="00E63A5F"/>
    <w:rsid w:val="00E8649F"/>
    <w:rsid w:val="00EB64B0"/>
    <w:rsid w:val="00EE3278"/>
    <w:rsid w:val="00EF1134"/>
    <w:rsid w:val="00EF1681"/>
    <w:rsid w:val="00EF6FBE"/>
    <w:rsid w:val="00F1402C"/>
    <w:rsid w:val="00F15D7A"/>
    <w:rsid w:val="00F330C3"/>
    <w:rsid w:val="00F37221"/>
    <w:rsid w:val="00F47F98"/>
    <w:rsid w:val="00F5759E"/>
    <w:rsid w:val="00F66C98"/>
    <w:rsid w:val="00F715CB"/>
    <w:rsid w:val="00F81657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0631E"/>
  <w15:chartTrackingRefBased/>
  <w15:docId w15:val="{89E199FD-06CC-D245-8FF6-92C4FF14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036B5"/>
    <w:pPr>
      <w:widowControl w:val="0"/>
      <w:autoSpaceDE w:val="0"/>
      <w:autoSpaceDN w:val="0"/>
      <w:ind w:left="837" w:hanging="360"/>
      <w:outlineLvl w:val="0"/>
    </w:pPr>
    <w:rPr>
      <w:rFonts w:eastAsia="Arial" w:cs="Arial"/>
      <w:b/>
      <w:bCs/>
      <w:sz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106E49"/>
  </w:style>
  <w:style w:type="paragraph" w:styleId="Piedepgina">
    <w:name w:val="footer"/>
    <w:basedOn w:val="Normal"/>
    <w:link w:val="PiedepginaCar"/>
    <w:uiPriority w:val="99"/>
    <w:unhideWhenUsed/>
    <w:rsid w:val="00106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E49"/>
  </w:style>
  <w:style w:type="table" w:styleId="Tablaconcuadrcula">
    <w:name w:val="Table Grid"/>
    <w:basedOn w:val="Tablanormal"/>
    <w:uiPriority w:val="39"/>
    <w:rsid w:val="0010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miento">
    <w:name w:val="Encabezamiento"/>
    <w:basedOn w:val="Normal"/>
    <w:qFormat/>
    <w:rsid w:val="002F1F7E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qFormat/>
    <w:rsid w:val="002F1F7E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B036B5"/>
    <w:rPr>
      <w:rFonts w:eastAsia="Arial" w:cs="Arial"/>
      <w:b/>
      <w:bCs/>
      <w:sz w:val="24"/>
      <w:lang w:val="es-ES" w:eastAsia="es-ES" w:bidi="es-ES"/>
    </w:rPr>
  </w:style>
  <w:style w:type="paragraph" w:styleId="Prrafodelista">
    <w:name w:val="List Paragraph"/>
    <w:aliases w:val="Bullet List,FooterText,numbered,List Paragraph1,Paragraphe de liste1,lp1,List Paragraph"/>
    <w:basedOn w:val="Normal"/>
    <w:link w:val="PrrafodelistaCar"/>
    <w:uiPriority w:val="34"/>
    <w:qFormat/>
    <w:rsid w:val="00B036B5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B036B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67F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67F9E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4C23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List Paragraph1 Car,Paragraphe de liste1 Car,lp1 Car,List Paragraph Car"/>
    <w:link w:val="Prrafodelista"/>
    <w:uiPriority w:val="34"/>
    <w:locked/>
    <w:rsid w:val="003C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ajuridica.gov.co/sisjur/normas/Norma1.jsp?i=5688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atosabiertos.bogota.gov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3470</Words>
  <Characters>19085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seguimiento o evaluación</vt:lpstr>
    </vt:vector>
  </TitlesOfParts>
  <Manager>SGDEA</Manager>
  <Company>Instituto Distrital de Patrimonio Cultural</Company>
  <LinksUpToDate>false</LinksUpToDate>
  <CharactersWithSpaces>22510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o evaluación</dc:title>
  <dc:subject>Informe de seguimiento o evaluación</dc:subject>
  <dc:creator>Seguimiento y evaluación</dc:creator>
  <cp:keywords/>
  <dc:description/>
  <cp:lastModifiedBy>Eleana Marcela Paez Urrego</cp:lastModifiedBy>
  <cp:revision>2</cp:revision>
  <dcterms:created xsi:type="dcterms:W3CDTF">2022-01-17T21:51:00Z</dcterms:created>
  <dcterms:modified xsi:type="dcterms:W3CDTF">2022-01-17T21:51:00Z</dcterms:modified>
  <cp:category/>
  <cp:version>4</cp:version>
</cp:coreProperties>
</file>