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5"/>
        <w:gridCol w:w="834"/>
        <w:gridCol w:w="833"/>
        <w:gridCol w:w="833"/>
        <w:gridCol w:w="833"/>
        <w:gridCol w:w="833"/>
        <w:gridCol w:w="837"/>
      </w:tblGrid>
      <w:tr w:rsidR="0045782D" w14:paraId="0A3D8AC3" w14:textId="77777777" w:rsidTr="00244108">
        <w:tc>
          <w:tcPr>
            <w:tcW w:w="2166" w:type="pct"/>
            <w:shd w:val="clear" w:color="auto" w:fill="F2F2F2" w:themeFill="background1" w:themeFillShade="F2"/>
            <w:vAlign w:val="center"/>
          </w:tcPr>
          <w:p w14:paraId="12923681" w14:textId="558DB7A2" w:rsidR="0045782D" w:rsidRPr="000F488C" w:rsidRDefault="0045782D" w:rsidP="00FD10D0">
            <w:pPr>
              <w:rPr>
                <w:b/>
              </w:rPr>
            </w:pPr>
            <w:bookmarkStart w:id="0" w:name="_GoBack"/>
            <w:bookmarkEnd w:id="0"/>
            <w:r w:rsidRPr="000F488C">
              <w:rPr>
                <w:b/>
              </w:rPr>
              <w:t>FECHA DE EMISIÓN DEL INFORME</w:t>
            </w:r>
          </w:p>
        </w:tc>
        <w:tc>
          <w:tcPr>
            <w:tcW w:w="472" w:type="pct"/>
            <w:shd w:val="clear" w:color="auto" w:fill="F2F2F2" w:themeFill="background1" w:themeFillShade="F2"/>
            <w:vAlign w:val="center"/>
          </w:tcPr>
          <w:p w14:paraId="14398F64" w14:textId="707D4FA8" w:rsidR="0045782D" w:rsidRPr="0045782D" w:rsidRDefault="0045782D" w:rsidP="00B036B5">
            <w:pPr>
              <w:jc w:val="center"/>
              <w:rPr>
                <w:b/>
                <w:color w:val="FFFFFF" w:themeColor="background1"/>
              </w:rPr>
            </w:pPr>
            <w:r w:rsidRPr="0045782D">
              <w:rPr>
                <w:b/>
              </w:rPr>
              <w:t>DÍA</w:t>
            </w:r>
          </w:p>
        </w:tc>
        <w:tc>
          <w:tcPr>
            <w:tcW w:w="472" w:type="pct"/>
            <w:vAlign w:val="center"/>
          </w:tcPr>
          <w:p w14:paraId="7F3EAFB0" w14:textId="1EA422DA" w:rsidR="0045782D" w:rsidRPr="00B24AFC" w:rsidRDefault="00FA5D80" w:rsidP="00B036B5">
            <w:pPr>
              <w:jc w:val="center"/>
              <w:rPr>
                <w:bCs/>
              </w:rPr>
            </w:pPr>
            <w:r>
              <w:rPr>
                <w:bCs/>
              </w:rPr>
              <w:t>11</w:t>
            </w:r>
          </w:p>
        </w:tc>
        <w:tc>
          <w:tcPr>
            <w:tcW w:w="472" w:type="pct"/>
            <w:shd w:val="clear" w:color="auto" w:fill="F2F2F2" w:themeFill="background1" w:themeFillShade="F2"/>
            <w:vAlign w:val="center"/>
          </w:tcPr>
          <w:p w14:paraId="22E6F444" w14:textId="06ABE94D" w:rsidR="0045782D" w:rsidRPr="00B24AFC" w:rsidRDefault="0045782D" w:rsidP="00B036B5">
            <w:pPr>
              <w:jc w:val="center"/>
              <w:rPr>
                <w:b/>
              </w:rPr>
            </w:pPr>
            <w:r w:rsidRPr="00B24AFC">
              <w:rPr>
                <w:b/>
              </w:rPr>
              <w:t>MES</w:t>
            </w:r>
          </w:p>
        </w:tc>
        <w:tc>
          <w:tcPr>
            <w:tcW w:w="472" w:type="pct"/>
            <w:vAlign w:val="center"/>
          </w:tcPr>
          <w:p w14:paraId="11359BF7" w14:textId="2888F18F" w:rsidR="0045782D" w:rsidRPr="00B24AFC" w:rsidRDefault="000444D7" w:rsidP="00B036B5">
            <w:pPr>
              <w:jc w:val="center"/>
              <w:rPr>
                <w:bCs/>
              </w:rPr>
            </w:pPr>
            <w:r>
              <w:rPr>
                <w:bCs/>
              </w:rPr>
              <w:t>03</w:t>
            </w:r>
          </w:p>
        </w:tc>
        <w:tc>
          <w:tcPr>
            <w:tcW w:w="472" w:type="pct"/>
            <w:shd w:val="clear" w:color="auto" w:fill="F2F2F2" w:themeFill="background1" w:themeFillShade="F2"/>
            <w:vAlign w:val="center"/>
          </w:tcPr>
          <w:p w14:paraId="50ACFC3D" w14:textId="553771D2" w:rsidR="0045782D" w:rsidRPr="00B24AFC" w:rsidRDefault="0045782D" w:rsidP="00B036B5">
            <w:pPr>
              <w:jc w:val="center"/>
              <w:rPr>
                <w:b/>
              </w:rPr>
            </w:pPr>
            <w:r w:rsidRPr="00B24AFC">
              <w:rPr>
                <w:b/>
              </w:rPr>
              <w:t>AÑO</w:t>
            </w:r>
          </w:p>
        </w:tc>
        <w:tc>
          <w:tcPr>
            <w:tcW w:w="474" w:type="pct"/>
            <w:vAlign w:val="center"/>
          </w:tcPr>
          <w:p w14:paraId="0E41B807" w14:textId="0E2011D4" w:rsidR="0045782D" w:rsidRPr="00B24AFC" w:rsidRDefault="000444D7" w:rsidP="00B036B5">
            <w:pPr>
              <w:jc w:val="center"/>
            </w:pPr>
            <w:r>
              <w:t>2022</w:t>
            </w:r>
          </w:p>
        </w:tc>
      </w:tr>
      <w:tr w:rsidR="0045782D" w14:paraId="149B1566" w14:textId="77777777" w:rsidTr="00244108">
        <w:trPr>
          <w:trHeight w:val="657"/>
        </w:trPr>
        <w:tc>
          <w:tcPr>
            <w:tcW w:w="2166" w:type="pct"/>
            <w:shd w:val="clear" w:color="auto" w:fill="F2F2F2" w:themeFill="background1" w:themeFillShade="F2"/>
            <w:vAlign w:val="center"/>
          </w:tcPr>
          <w:p w14:paraId="2AB28578" w14:textId="53990E23" w:rsidR="0045782D" w:rsidRPr="00AD5687" w:rsidRDefault="0045782D" w:rsidP="0045782D">
            <w:pPr>
              <w:jc w:val="both"/>
              <w:rPr>
                <w:b/>
                <w:sz w:val="20"/>
                <w:szCs w:val="22"/>
              </w:rPr>
            </w:pPr>
            <w:r w:rsidRPr="00AD5687">
              <w:rPr>
                <w:rFonts w:cs="Arial"/>
                <w:b/>
                <w:sz w:val="20"/>
                <w:szCs w:val="22"/>
                <w:lang w:val="es-MX"/>
              </w:rPr>
              <w:t>PROCESO, PROCEDIMIENTO O ACTIVIDAD EVALUADA</w:t>
            </w:r>
          </w:p>
        </w:tc>
        <w:tc>
          <w:tcPr>
            <w:tcW w:w="2834" w:type="pct"/>
            <w:gridSpan w:val="6"/>
            <w:vAlign w:val="center"/>
          </w:tcPr>
          <w:p w14:paraId="1DB71B32" w14:textId="7B0F2C2D" w:rsidR="0045782D" w:rsidRPr="00767423" w:rsidRDefault="00767423" w:rsidP="00B24AFC">
            <w:pPr>
              <w:pStyle w:val="Prrafodelista"/>
              <w:ind w:left="31"/>
              <w:jc w:val="both"/>
              <w:rPr>
                <w:sz w:val="20"/>
              </w:rPr>
            </w:pPr>
            <w:r w:rsidRPr="00767423">
              <w:rPr>
                <w:rFonts w:cs="Arial"/>
                <w:color w:val="000000"/>
                <w:sz w:val="20"/>
              </w:rPr>
              <w:t>Austeridad y Eficiencia del Gasto Público</w:t>
            </w:r>
          </w:p>
        </w:tc>
      </w:tr>
      <w:tr w:rsidR="0045782D" w14:paraId="1E7326F9" w14:textId="77777777" w:rsidTr="00244108">
        <w:trPr>
          <w:trHeight w:val="709"/>
        </w:trPr>
        <w:tc>
          <w:tcPr>
            <w:tcW w:w="2166" w:type="pct"/>
            <w:shd w:val="clear" w:color="auto" w:fill="F2F2F2" w:themeFill="background1" w:themeFillShade="F2"/>
            <w:vAlign w:val="center"/>
          </w:tcPr>
          <w:p w14:paraId="1C90A16E" w14:textId="33653F2A" w:rsidR="0045782D" w:rsidRPr="00AD5687" w:rsidRDefault="0045782D" w:rsidP="0045782D">
            <w:pPr>
              <w:jc w:val="both"/>
              <w:rPr>
                <w:b/>
                <w:sz w:val="20"/>
                <w:szCs w:val="22"/>
              </w:rPr>
            </w:pPr>
            <w:r w:rsidRPr="00AD5687">
              <w:rPr>
                <w:rFonts w:cs="Arial"/>
                <w:b/>
                <w:sz w:val="20"/>
                <w:szCs w:val="22"/>
                <w:lang w:val="es-MX"/>
              </w:rPr>
              <w:t>RESPONSABLE DEL PROCESO, PROCEDIMIENTO O ACTIVIDAD EVALUADA</w:t>
            </w:r>
          </w:p>
        </w:tc>
        <w:tc>
          <w:tcPr>
            <w:tcW w:w="2834" w:type="pct"/>
            <w:gridSpan w:val="6"/>
            <w:vAlign w:val="center"/>
          </w:tcPr>
          <w:p w14:paraId="738DB55A" w14:textId="76E24451" w:rsidR="0045782D" w:rsidRPr="00767423" w:rsidRDefault="00767423" w:rsidP="00B24AFC">
            <w:pPr>
              <w:pStyle w:val="Prrafodelista"/>
              <w:ind w:left="31"/>
              <w:jc w:val="both"/>
              <w:rPr>
                <w:sz w:val="20"/>
              </w:rPr>
            </w:pPr>
            <w:r w:rsidRPr="00767423">
              <w:rPr>
                <w:rFonts w:cs="Arial"/>
                <w:sz w:val="20"/>
                <w:lang w:val="es-MX"/>
              </w:rPr>
              <w:t>Ordenadores del Gasto</w:t>
            </w:r>
          </w:p>
        </w:tc>
      </w:tr>
      <w:tr w:rsidR="0045782D" w14:paraId="4069ACF0" w14:textId="77777777" w:rsidTr="00244108">
        <w:trPr>
          <w:trHeight w:val="1134"/>
        </w:trPr>
        <w:tc>
          <w:tcPr>
            <w:tcW w:w="2166" w:type="pct"/>
            <w:shd w:val="clear" w:color="auto" w:fill="F2F2F2" w:themeFill="background1" w:themeFillShade="F2"/>
            <w:vAlign w:val="center"/>
          </w:tcPr>
          <w:p w14:paraId="42AAD9E0" w14:textId="64AC8B6E" w:rsidR="0045782D" w:rsidRPr="00AD5687" w:rsidRDefault="0045782D" w:rsidP="0045782D">
            <w:pPr>
              <w:jc w:val="both"/>
              <w:rPr>
                <w:b/>
                <w:sz w:val="20"/>
                <w:szCs w:val="22"/>
              </w:rPr>
            </w:pPr>
            <w:r w:rsidRPr="00AD5687">
              <w:rPr>
                <w:rFonts w:cs="Arial"/>
                <w:b/>
                <w:sz w:val="20"/>
                <w:szCs w:val="22"/>
                <w:lang w:val="es-MX"/>
              </w:rPr>
              <w:t>OBJETIVO GENERAL</w:t>
            </w:r>
          </w:p>
        </w:tc>
        <w:tc>
          <w:tcPr>
            <w:tcW w:w="2834" w:type="pct"/>
            <w:gridSpan w:val="6"/>
            <w:vAlign w:val="center"/>
          </w:tcPr>
          <w:p w14:paraId="2F7541CA" w14:textId="04074FB7" w:rsidR="0045782D" w:rsidRPr="00767423" w:rsidRDefault="00767423" w:rsidP="000444D7">
            <w:pPr>
              <w:pStyle w:val="Prrafodelista"/>
              <w:ind w:left="31"/>
              <w:jc w:val="both"/>
              <w:rPr>
                <w:sz w:val="20"/>
              </w:rPr>
            </w:pPr>
            <w:r w:rsidRPr="00767423">
              <w:rPr>
                <w:rFonts w:cs="Arial"/>
                <w:color w:val="000000"/>
                <w:sz w:val="20"/>
              </w:rPr>
              <w:t xml:space="preserve">Verificar el cumplimiento de las normas en materia de austeridad, a partir de un análisis comparativo del comportamiento del gasto para el </w:t>
            </w:r>
            <w:r w:rsidR="000444D7">
              <w:rPr>
                <w:rFonts w:cs="Arial"/>
                <w:color w:val="000000"/>
                <w:sz w:val="20"/>
              </w:rPr>
              <w:t>cuarto</w:t>
            </w:r>
            <w:r w:rsidRPr="00767423">
              <w:rPr>
                <w:rFonts w:cs="Arial"/>
                <w:color w:val="000000"/>
                <w:sz w:val="20"/>
              </w:rPr>
              <w:t xml:space="preserve"> trimestre de la vigencia 202</w:t>
            </w:r>
            <w:r w:rsidR="00B34250">
              <w:rPr>
                <w:rFonts w:cs="Arial"/>
                <w:color w:val="000000"/>
                <w:sz w:val="20"/>
              </w:rPr>
              <w:t>1</w:t>
            </w:r>
            <w:r w:rsidRPr="00767423">
              <w:rPr>
                <w:rFonts w:cs="Arial"/>
                <w:color w:val="000000"/>
                <w:sz w:val="20"/>
              </w:rPr>
              <w:t xml:space="preserve"> con el mismo período de la vigencia anterior.  </w:t>
            </w:r>
          </w:p>
        </w:tc>
      </w:tr>
      <w:tr w:rsidR="0045782D" w14:paraId="61758759" w14:textId="77777777" w:rsidTr="00244108">
        <w:trPr>
          <w:trHeight w:val="537"/>
        </w:trPr>
        <w:tc>
          <w:tcPr>
            <w:tcW w:w="2166" w:type="pct"/>
            <w:shd w:val="clear" w:color="auto" w:fill="F2F2F2" w:themeFill="background1" w:themeFillShade="F2"/>
            <w:vAlign w:val="center"/>
          </w:tcPr>
          <w:p w14:paraId="311C42C3" w14:textId="77D930F8" w:rsidR="0045782D" w:rsidRPr="00AD5687" w:rsidRDefault="0045782D" w:rsidP="0045782D">
            <w:pPr>
              <w:jc w:val="both"/>
              <w:rPr>
                <w:b/>
                <w:sz w:val="20"/>
                <w:szCs w:val="22"/>
              </w:rPr>
            </w:pPr>
            <w:r w:rsidRPr="00AD5687">
              <w:rPr>
                <w:rFonts w:cs="Arial"/>
                <w:b/>
                <w:sz w:val="20"/>
                <w:szCs w:val="22"/>
              </w:rPr>
              <w:t>ALCANCE</w:t>
            </w:r>
          </w:p>
        </w:tc>
        <w:tc>
          <w:tcPr>
            <w:tcW w:w="2834" w:type="pct"/>
            <w:gridSpan w:val="6"/>
            <w:vAlign w:val="center"/>
          </w:tcPr>
          <w:p w14:paraId="243A08EF" w14:textId="2FED5B79" w:rsidR="0045782D" w:rsidRPr="00767423" w:rsidRDefault="000444D7" w:rsidP="00B24AFC">
            <w:pPr>
              <w:pStyle w:val="Prrafodelista"/>
              <w:ind w:left="31"/>
              <w:jc w:val="both"/>
              <w:rPr>
                <w:sz w:val="20"/>
              </w:rPr>
            </w:pPr>
            <w:r>
              <w:rPr>
                <w:rFonts w:cs="Arial"/>
                <w:sz w:val="20"/>
              </w:rPr>
              <w:t>Cuarto</w:t>
            </w:r>
            <w:r w:rsidR="00767423" w:rsidRPr="00767423">
              <w:rPr>
                <w:rFonts w:cs="Arial"/>
                <w:sz w:val="20"/>
              </w:rPr>
              <w:t xml:space="preserve"> trimestre de </w:t>
            </w:r>
            <w:r w:rsidR="00B34250">
              <w:rPr>
                <w:rFonts w:cs="Arial"/>
                <w:sz w:val="20"/>
              </w:rPr>
              <w:t>2021</w:t>
            </w:r>
          </w:p>
        </w:tc>
      </w:tr>
      <w:tr w:rsidR="0045782D" w14:paraId="00289A75" w14:textId="77777777" w:rsidTr="00244108">
        <w:trPr>
          <w:trHeight w:val="1134"/>
        </w:trPr>
        <w:tc>
          <w:tcPr>
            <w:tcW w:w="2166" w:type="pct"/>
            <w:shd w:val="clear" w:color="auto" w:fill="F2F2F2" w:themeFill="background1" w:themeFillShade="F2"/>
            <w:vAlign w:val="center"/>
          </w:tcPr>
          <w:p w14:paraId="74D648F4" w14:textId="3189BBAA" w:rsidR="0045782D" w:rsidRPr="00AD5687" w:rsidRDefault="0045782D" w:rsidP="0045782D">
            <w:pPr>
              <w:jc w:val="both"/>
              <w:rPr>
                <w:b/>
                <w:sz w:val="20"/>
                <w:szCs w:val="22"/>
              </w:rPr>
            </w:pPr>
            <w:r w:rsidRPr="00AD5687">
              <w:rPr>
                <w:rFonts w:cs="Arial"/>
                <w:b/>
                <w:sz w:val="20"/>
                <w:szCs w:val="22"/>
                <w:lang w:val="es-MX"/>
              </w:rPr>
              <w:t>CRITERIOS</w:t>
            </w:r>
          </w:p>
        </w:tc>
        <w:tc>
          <w:tcPr>
            <w:tcW w:w="2834" w:type="pct"/>
            <w:gridSpan w:val="6"/>
            <w:vAlign w:val="center"/>
          </w:tcPr>
          <w:p w14:paraId="29BB583E" w14:textId="77777777" w:rsidR="00767423" w:rsidRPr="00F6627F" w:rsidRDefault="00767423" w:rsidP="00AA2B29">
            <w:pPr>
              <w:pStyle w:val="Prrafodelista"/>
              <w:numPr>
                <w:ilvl w:val="0"/>
                <w:numId w:val="2"/>
              </w:numPr>
              <w:autoSpaceDE w:val="0"/>
              <w:autoSpaceDN w:val="0"/>
              <w:adjustRightInd w:val="0"/>
              <w:ind w:left="426"/>
              <w:jc w:val="both"/>
              <w:rPr>
                <w:rFonts w:cs="Arial"/>
                <w:color w:val="000000"/>
                <w:sz w:val="20"/>
                <w:lang w:eastAsia="es-CO"/>
              </w:rPr>
            </w:pPr>
            <w:r w:rsidRPr="00F6627F">
              <w:rPr>
                <w:rFonts w:cs="Arial"/>
                <w:color w:val="000000"/>
                <w:sz w:val="20"/>
                <w:lang w:eastAsia="es-CO"/>
              </w:rPr>
              <w:t>Ley 80 de 1993 “por la cual se expide el Estatuto General de Contratación de la Administración Pública”</w:t>
            </w:r>
          </w:p>
          <w:p w14:paraId="133511E0" w14:textId="77777777" w:rsidR="00767423" w:rsidRPr="00F6627F" w:rsidRDefault="00767423" w:rsidP="00AA2B29">
            <w:pPr>
              <w:pStyle w:val="Prrafodelista"/>
              <w:numPr>
                <w:ilvl w:val="0"/>
                <w:numId w:val="2"/>
              </w:numPr>
              <w:autoSpaceDE w:val="0"/>
              <w:autoSpaceDN w:val="0"/>
              <w:adjustRightInd w:val="0"/>
              <w:ind w:left="426"/>
              <w:jc w:val="both"/>
              <w:rPr>
                <w:rFonts w:cs="Arial"/>
                <w:color w:val="000000"/>
                <w:sz w:val="20"/>
                <w:lang w:eastAsia="es-CO"/>
              </w:rPr>
            </w:pPr>
            <w:r w:rsidRPr="00F6627F">
              <w:rPr>
                <w:rFonts w:cs="Arial"/>
                <w:sz w:val="20"/>
              </w:rPr>
              <w:t>Ley 734 de 2002 “Por la cual se expide el Código Disciplinario Único” At. 34 “Deberes” núm. 21” Vigilar y salvaguardar los bienes y valores que le han sido encomendados y cuidar que sean utilizados debida y racionalmente, de conformidad con los fines a que han sido destinados.”</w:t>
            </w:r>
          </w:p>
          <w:p w14:paraId="75FB7F8F" w14:textId="77777777" w:rsidR="00767423" w:rsidRPr="00F6627F" w:rsidRDefault="00767423" w:rsidP="00AA2B29">
            <w:pPr>
              <w:pStyle w:val="Prrafodelista"/>
              <w:numPr>
                <w:ilvl w:val="0"/>
                <w:numId w:val="2"/>
              </w:numPr>
              <w:autoSpaceDE w:val="0"/>
              <w:autoSpaceDN w:val="0"/>
              <w:adjustRightInd w:val="0"/>
              <w:ind w:left="426"/>
              <w:jc w:val="both"/>
              <w:rPr>
                <w:rFonts w:cs="Arial"/>
                <w:color w:val="000000"/>
                <w:sz w:val="20"/>
                <w:lang w:eastAsia="es-CO"/>
              </w:rPr>
            </w:pPr>
            <w:r w:rsidRPr="00F6627F">
              <w:rPr>
                <w:rFonts w:eastAsia="Cambria" w:cs="Arial"/>
                <w:sz w:val="20"/>
              </w:rPr>
              <w:t>Ley 1150 de 2007 “por medio de la cual se introducen medidas para la eficiencia y la transparencia en la Ley </w:t>
            </w:r>
            <w:hyperlink r:id="rId8" w:anchor="0" w:history="1">
              <w:r w:rsidRPr="00F6627F">
                <w:rPr>
                  <w:rFonts w:eastAsia="Cambria" w:cs="Arial"/>
                  <w:sz w:val="20"/>
                </w:rPr>
                <w:t>80</w:t>
              </w:r>
            </w:hyperlink>
            <w:r w:rsidRPr="00F6627F">
              <w:rPr>
                <w:rFonts w:eastAsia="Cambria" w:cs="Arial"/>
                <w:sz w:val="20"/>
              </w:rPr>
              <w:t> de 1993 y se dictan otras disposiciones generales sobre la contratación con Recursos Públicos.”</w:t>
            </w:r>
          </w:p>
          <w:p w14:paraId="4C599233" w14:textId="77777777" w:rsidR="00767423" w:rsidRPr="00F6627F" w:rsidRDefault="00767423" w:rsidP="00AA2B29">
            <w:pPr>
              <w:pStyle w:val="Prrafodelista"/>
              <w:numPr>
                <w:ilvl w:val="0"/>
                <w:numId w:val="2"/>
              </w:numPr>
              <w:autoSpaceDE w:val="0"/>
              <w:autoSpaceDN w:val="0"/>
              <w:adjustRightInd w:val="0"/>
              <w:ind w:left="426"/>
              <w:jc w:val="both"/>
              <w:rPr>
                <w:rFonts w:cs="Arial"/>
                <w:color w:val="000000"/>
                <w:sz w:val="20"/>
                <w:lang w:eastAsia="es-CO"/>
              </w:rPr>
            </w:pPr>
            <w:r w:rsidRPr="00F6627F">
              <w:rPr>
                <w:rFonts w:eastAsia="Cambria" w:cs="Arial"/>
                <w:sz w:val="20"/>
              </w:rPr>
              <w:t xml:space="preserve">Ley 1474 de 2011 </w:t>
            </w:r>
            <w:r w:rsidRPr="00F6627F">
              <w:rPr>
                <w:rFonts w:cs="Arial"/>
                <w:sz w:val="20"/>
              </w:rPr>
              <w:t>“Por la cual se dictan normas orientadas a fortalecer los mecanismos de prevención, investigación y sanción de actos de corrupción y la efectividad del control de la gestión pública” (Art 9, párrafo 2)</w:t>
            </w:r>
          </w:p>
          <w:p w14:paraId="234A951B" w14:textId="77777777" w:rsidR="00767423" w:rsidRPr="00F6627F" w:rsidRDefault="00767423" w:rsidP="00AA2B29">
            <w:pPr>
              <w:pStyle w:val="Prrafodelista"/>
              <w:numPr>
                <w:ilvl w:val="0"/>
                <w:numId w:val="2"/>
              </w:numPr>
              <w:autoSpaceDE w:val="0"/>
              <w:autoSpaceDN w:val="0"/>
              <w:adjustRightInd w:val="0"/>
              <w:ind w:left="426"/>
              <w:jc w:val="both"/>
              <w:rPr>
                <w:rFonts w:cs="Arial"/>
                <w:bCs/>
                <w:iCs/>
                <w:color w:val="000000"/>
                <w:sz w:val="20"/>
                <w:shd w:val="clear" w:color="auto" w:fill="FFFFFF"/>
              </w:rPr>
            </w:pPr>
            <w:r w:rsidRPr="00F6627F">
              <w:rPr>
                <w:rFonts w:cs="Arial"/>
                <w:color w:val="000000"/>
                <w:sz w:val="20"/>
                <w:lang w:eastAsia="es-CO"/>
              </w:rPr>
              <w:t>Decreto 30 de 1999. Alcalde Mayor.</w:t>
            </w:r>
            <w:r w:rsidRPr="00F6627F">
              <w:rPr>
                <w:rFonts w:cs="Arial"/>
                <w:bCs/>
                <w:i/>
                <w:iCs/>
                <w:color w:val="000000"/>
                <w:sz w:val="20"/>
                <w:shd w:val="clear" w:color="auto" w:fill="FFFFFF"/>
              </w:rPr>
              <w:t xml:space="preserve"> “</w:t>
            </w:r>
            <w:r w:rsidRPr="00F6627F">
              <w:rPr>
                <w:rFonts w:cs="Arial"/>
                <w:bCs/>
                <w:iCs/>
                <w:color w:val="000000"/>
                <w:sz w:val="20"/>
                <w:shd w:val="clear" w:color="auto" w:fill="FFFFFF"/>
              </w:rPr>
              <w:t>Por el cual se expiden medidas sobre austeridad en el gasto público del Distrito Capital de Santa Fe de Bogotá</w:t>
            </w:r>
            <w:r w:rsidRPr="00F6627F">
              <w:rPr>
                <w:rStyle w:val="Textoennegrita"/>
                <w:rFonts w:cs="Arial"/>
                <w:iCs/>
                <w:color w:val="000000"/>
                <w:sz w:val="20"/>
                <w:shd w:val="clear" w:color="auto" w:fill="FFFFFF"/>
              </w:rPr>
              <w:t xml:space="preserve">.” </w:t>
            </w:r>
          </w:p>
          <w:p w14:paraId="7F46F9D5" w14:textId="77777777" w:rsidR="00767423" w:rsidRPr="00F6627F" w:rsidRDefault="00767423" w:rsidP="00AA2B29">
            <w:pPr>
              <w:pStyle w:val="Prrafodelista"/>
              <w:numPr>
                <w:ilvl w:val="0"/>
                <w:numId w:val="2"/>
              </w:numPr>
              <w:autoSpaceDE w:val="0"/>
              <w:autoSpaceDN w:val="0"/>
              <w:adjustRightInd w:val="0"/>
              <w:ind w:left="426"/>
              <w:jc w:val="both"/>
              <w:rPr>
                <w:rFonts w:cs="Arial"/>
                <w:color w:val="000000"/>
                <w:sz w:val="20"/>
                <w:lang w:eastAsia="es-CO"/>
              </w:rPr>
            </w:pPr>
            <w:r w:rsidRPr="00F6627F">
              <w:rPr>
                <w:rFonts w:cs="Arial"/>
                <w:color w:val="000000"/>
                <w:sz w:val="20"/>
                <w:lang w:eastAsia="es-CO"/>
              </w:rPr>
              <w:t>Directiva 001 de 2001. Alcalde Mayor.  Medidas de Austeridad en el Gasto público del Distrito Capital.</w:t>
            </w:r>
            <w:r w:rsidRPr="00F6627F">
              <w:rPr>
                <w:rFonts w:cs="Arial"/>
                <w:color w:val="000000"/>
                <w:sz w:val="20"/>
                <w:shd w:val="clear" w:color="auto" w:fill="FFFFFF"/>
              </w:rPr>
              <w:t xml:space="preserve"> </w:t>
            </w:r>
          </w:p>
          <w:p w14:paraId="60EB5617"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Concepto 8 de 2006.</w:t>
            </w:r>
            <w:r w:rsidRPr="00F6627F">
              <w:rPr>
                <w:rFonts w:cs="Arial"/>
                <w:color w:val="000000"/>
                <w:sz w:val="20"/>
                <w:lang w:val="es-ES_tradnl" w:eastAsia="es-CO"/>
              </w:rPr>
              <w:t xml:space="preserve"> Secretaría General de la Alcaldía Mayor de Bogotá. “</w:t>
            </w:r>
            <w:r w:rsidRPr="00F6627F">
              <w:rPr>
                <w:rFonts w:cs="Arial"/>
                <w:color w:val="000000"/>
                <w:sz w:val="20"/>
                <w:lang w:val="es-ES_tradnl"/>
              </w:rPr>
              <w:t>Medidas de Austeridad en el Distrito Capital”.</w:t>
            </w:r>
            <w:r w:rsidRPr="00F6627F">
              <w:rPr>
                <w:rFonts w:cs="Arial"/>
                <w:i/>
                <w:iCs/>
                <w:color w:val="000000"/>
                <w:sz w:val="20"/>
                <w:shd w:val="clear" w:color="auto" w:fill="FFFFFF"/>
              </w:rPr>
              <w:t xml:space="preserve">                                                                                                                                                                                                                                                                                                                                                                                                                                                                                                                                                                                                                                                                                                                                                                                                                                                                                                                                     </w:t>
            </w:r>
          </w:p>
          <w:p w14:paraId="3F5297FB"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cs="Arial"/>
                <w:iCs/>
                <w:color w:val="000000"/>
                <w:sz w:val="20"/>
                <w:shd w:val="clear" w:color="auto" w:fill="FFFFFF"/>
              </w:rPr>
              <w:t>D</w:t>
            </w:r>
            <w:r w:rsidRPr="00F6627F">
              <w:rPr>
                <w:rFonts w:cs="Arial"/>
                <w:sz w:val="20"/>
              </w:rPr>
              <w:t>irectiva Distrital 381 de 2006 - Alcaldía Mayor de Bogotá "Por el cual se asigna la función de autorizar la salida fuera del perímetro urbano del Distrito Capital de vehículos de las entidades distritales".</w:t>
            </w:r>
          </w:p>
          <w:p w14:paraId="5E9D5A0A"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 xml:space="preserve">Directiva 008 de 2007. Medidas de Austeridad en el Gasto público del Distrito Capital. </w:t>
            </w:r>
          </w:p>
          <w:p w14:paraId="55941403"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lastRenderedPageBreak/>
              <w:t>Directiva 16 de 2007. Alcalde Mayor. “Medidas de Austeridad en el Gasto Público del Distrito Capital”</w:t>
            </w:r>
            <w:r w:rsidRPr="00F6627F">
              <w:rPr>
                <w:rFonts w:cs="Arial"/>
                <w:color w:val="000000"/>
                <w:sz w:val="20"/>
                <w:shd w:val="clear" w:color="auto" w:fill="FFFFFF"/>
              </w:rPr>
              <w:t xml:space="preserve"> </w:t>
            </w:r>
          </w:p>
          <w:p w14:paraId="2CD0A3E3"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Decreto 061 de 2007 Alcalde Mayor “Por el cual se reglamenta el funcionamiento de las Cajas Menores y los Avances en Efectivo”</w:t>
            </w:r>
          </w:p>
          <w:p w14:paraId="5B2C0B69"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007 de 2008. Alcalde Mayor. “Aclaración de la Directiva 008 de 2007, sobre medidas de austeridad en el gasto público del Distrito Capital”</w:t>
            </w:r>
            <w:r w:rsidRPr="00F6627F">
              <w:rPr>
                <w:rFonts w:cs="Arial"/>
                <w:i/>
                <w:iCs/>
                <w:color w:val="000000"/>
                <w:sz w:val="20"/>
                <w:shd w:val="clear" w:color="auto" w:fill="FFFFFF"/>
              </w:rPr>
              <w:t xml:space="preserve"> </w:t>
            </w:r>
          </w:p>
          <w:p w14:paraId="43BEB414"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Decreto Distrital 084 de 2008 “Por el cual modifica el artículo </w:t>
            </w:r>
            <w:hyperlink r:id="rId9" w:anchor="1" w:history="1">
              <w:r w:rsidRPr="00F6627F">
                <w:rPr>
                  <w:rFonts w:eastAsia="Cambria" w:cs="Arial"/>
                  <w:sz w:val="20"/>
                </w:rPr>
                <w:t>primero</w:t>
              </w:r>
            </w:hyperlink>
            <w:r w:rsidRPr="00F6627F">
              <w:rPr>
                <w:rFonts w:eastAsia="Cambria" w:cs="Arial"/>
                <w:sz w:val="20"/>
              </w:rPr>
              <w:t xml:space="preserve"> del Decreto Distrital 054 de 2008, por el cual se reglamenta la elaboración de impresos y publicaciones de las entidades y organismos de la Administración Distrital" </w:t>
            </w:r>
          </w:p>
          <w:p w14:paraId="060F438D" w14:textId="77777777" w:rsidR="00767423" w:rsidRPr="00B947BC"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B947BC">
              <w:rPr>
                <w:rFonts w:cs="Arial"/>
                <w:color w:val="000000"/>
                <w:sz w:val="20"/>
                <w:lang w:val="es-ES_tradnl"/>
              </w:rPr>
              <w:t>Resolución 001 de 2009 Secretaría Distrital de Hacienda - Contador General de Bogotá D.C  “Por la cual se adopta el Manual para el Manejo y Control de Cajas Menores”</w:t>
            </w:r>
          </w:p>
          <w:p w14:paraId="129F3B5D"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Circular 12 de 2011 Alcalde Mayor.</w:t>
            </w:r>
            <w:r w:rsidRPr="00F6627F">
              <w:rPr>
                <w:rFonts w:cs="Arial"/>
                <w:color w:val="000000"/>
                <w:sz w:val="20"/>
              </w:rPr>
              <w:t xml:space="preserve"> </w:t>
            </w:r>
            <w:r w:rsidRPr="00F6627F">
              <w:rPr>
                <w:rFonts w:cs="Arial"/>
                <w:color w:val="000000"/>
                <w:sz w:val="20"/>
                <w:lang w:val="es-ES_tradnl"/>
              </w:rPr>
              <w:t xml:space="preserve">Medidas de austeridad en el gasto público del Distrito Capital. </w:t>
            </w:r>
          </w:p>
          <w:p w14:paraId="01B508AD"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Directiva Presidencial 4 de 2012 “Eficiencia administrativa y lineamientos de la Política Cero Papel en la Administración Pública”</w:t>
            </w:r>
          </w:p>
          <w:p w14:paraId="191A7691"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cs="Arial"/>
                <w:color w:val="000000"/>
                <w:sz w:val="20"/>
                <w:lang w:val="es-ES_tradnl"/>
              </w:rPr>
              <w:t>Directiva Presidencial 006 de 2014 “Plan de Austeridad”</w:t>
            </w:r>
          </w:p>
          <w:p w14:paraId="2743687B"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Decreto Único Reglamentario 1068 de 2015 "Por medio del cual se expide el Decreto Único Reglamentario del Sector Hacienda y Crédito Público" </w:t>
            </w:r>
          </w:p>
          <w:p w14:paraId="600BEBF5" w14:textId="77777777" w:rsidR="00767423" w:rsidRPr="00F6627F" w:rsidRDefault="00767423" w:rsidP="00AA2B29">
            <w:pPr>
              <w:pStyle w:val="Prrafodelista"/>
              <w:numPr>
                <w:ilvl w:val="0"/>
                <w:numId w:val="2"/>
              </w:numPr>
              <w:overflowPunct w:val="0"/>
              <w:autoSpaceDE w:val="0"/>
              <w:autoSpaceDN w:val="0"/>
              <w:adjustRightInd w:val="0"/>
              <w:ind w:left="426"/>
              <w:jc w:val="both"/>
              <w:textAlignment w:val="baseline"/>
              <w:rPr>
                <w:rFonts w:cs="Arial"/>
                <w:color w:val="000000"/>
                <w:sz w:val="20"/>
                <w:lang w:val="es-ES_tradnl"/>
              </w:rPr>
            </w:pPr>
            <w:r w:rsidRPr="00F6627F">
              <w:rPr>
                <w:rFonts w:eastAsia="Cambria" w:cs="Arial"/>
                <w:sz w:val="20"/>
              </w:rPr>
              <w:t xml:space="preserve">Circular 20 de 2016 – Secretaria General Alcaldía Mayor de Bogotá. “Adopción de medidas para el ahorro de energía eléctrica y agua en la Administración Distrital.” </w:t>
            </w:r>
          </w:p>
          <w:p w14:paraId="4467F576" w14:textId="77777777" w:rsidR="00767423" w:rsidRDefault="00767423" w:rsidP="00AA2B29">
            <w:pPr>
              <w:pStyle w:val="Prrafodelista"/>
              <w:numPr>
                <w:ilvl w:val="0"/>
                <w:numId w:val="2"/>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Acuerdo 719 de 2018. Concejo de Bogotá “Por el cual se establecen lineamientos generales para promover medidas de austeridad y transparencia del gasto público en las entidades del orden distrital, y se dictan otras disposiciones”</w:t>
            </w:r>
          </w:p>
          <w:p w14:paraId="63409970" w14:textId="77777777" w:rsidR="00767423" w:rsidRPr="008E523B" w:rsidRDefault="00767423" w:rsidP="00AA2B29">
            <w:pPr>
              <w:pStyle w:val="Prrafodelista"/>
              <w:numPr>
                <w:ilvl w:val="0"/>
                <w:numId w:val="2"/>
              </w:numPr>
              <w:overflowPunct w:val="0"/>
              <w:autoSpaceDE w:val="0"/>
              <w:autoSpaceDN w:val="0"/>
              <w:adjustRightInd w:val="0"/>
              <w:ind w:left="426"/>
              <w:jc w:val="both"/>
              <w:textAlignment w:val="baseline"/>
              <w:rPr>
                <w:rFonts w:eastAsia="Cambria" w:cs="Arial"/>
                <w:sz w:val="20"/>
              </w:rPr>
            </w:pPr>
            <w:r w:rsidRPr="008E523B">
              <w:rPr>
                <w:rFonts w:eastAsia="Cambria" w:cs="Arial"/>
                <w:sz w:val="20"/>
              </w:rPr>
              <w:t>Decreto 492 de 2019. "Por el cual se expiden lineamientos generales sobre austeridad y transparencia del</w:t>
            </w:r>
            <w:r>
              <w:rPr>
                <w:rFonts w:eastAsia="Cambria" w:cs="Arial"/>
                <w:sz w:val="20"/>
              </w:rPr>
              <w:t xml:space="preserve"> </w:t>
            </w:r>
            <w:r w:rsidRPr="008E523B">
              <w:rPr>
                <w:rFonts w:eastAsia="Cambria" w:cs="Arial"/>
                <w:sz w:val="20"/>
              </w:rPr>
              <w:t>gasto público en las entidades y organismos del orden distrital</w:t>
            </w:r>
            <w:r>
              <w:rPr>
                <w:rFonts w:eastAsia="Cambria" w:cs="Arial"/>
                <w:sz w:val="20"/>
              </w:rPr>
              <w:t xml:space="preserve"> </w:t>
            </w:r>
            <w:r w:rsidRPr="008E523B">
              <w:rPr>
                <w:rFonts w:eastAsia="Cambria" w:cs="Arial"/>
                <w:sz w:val="20"/>
              </w:rPr>
              <w:t>y se dictan otras</w:t>
            </w:r>
            <w:r>
              <w:rPr>
                <w:rFonts w:eastAsia="Cambria" w:cs="Arial"/>
                <w:sz w:val="20"/>
              </w:rPr>
              <w:t xml:space="preserve"> disposiciones</w:t>
            </w:r>
            <w:r w:rsidRPr="008E523B">
              <w:rPr>
                <w:rFonts w:eastAsia="Cambria" w:cs="Arial"/>
                <w:sz w:val="20"/>
              </w:rPr>
              <w:t>"</w:t>
            </w:r>
          </w:p>
          <w:p w14:paraId="0D3D08D5" w14:textId="77777777" w:rsidR="00767423" w:rsidRDefault="00767423" w:rsidP="00AA2B29">
            <w:pPr>
              <w:pStyle w:val="Prrafodelista"/>
              <w:numPr>
                <w:ilvl w:val="0"/>
                <w:numId w:val="2"/>
              </w:numPr>
              <w:overflowPunct w:val="0"/>
              <w:autoSpaceDE w:val="0"/>
              <w:autoSpaceDN w:val="0"/>
              <w:adjustRightInd w:val="0"/>
              <w:ind w:left="426"/>
              <w:jc w:val="both"/>
              <w:textAlignment w:val="baseline"/>
              <w:rPr>
                <w:rFonts w:eastAsia="Cambria" w:cs="Arial"/>
                <w:sz w:val="20"/>
              </w:rPr>
            </w:pPr>
            <w:r w:rsidRPr="00F6627F">
              <w:rPr>
                <w:rFonts w:eastAsia="Cambria" w:cs="Arial"/>
                <w:sz w:val="20"/>
              </w:rPr>
              <w:t>Concepto Secretaría Jurídica Distrital 2017EE1715</w:t>
            </w:r>
          </w:p>
          <w:p w14:paraId="5BB9C0DC" w14:textId="798888A6" w:rsidR="0045782D" w:rsidRPr="00767423" w:rsidRDefault="00767423" w:rsidP="00AA2B29">
            <w:pPr>
              <w:pStyle w:val="Prrafodelista"/>
              <w:numPr>
                <w:ilvl w:val="0"/>
                <w:numId w:val="2"/>
              </w:numPr>
              <w:overflowPunct w:val="0"/>
              <w:autoSpaceDE w:val="0"/>
              <w:autoSpaceDN w:val="0"/>
              <w:adjustRightInd w:val="0"/>
              <w:ind w:left="426"/>
              <w:jc w:val="both"/>
              <w:textAlignment w:val="baseline"/>
              <w:rPr>
                <w:rFonts w:eastAsia="Cambria" w:cs="Arial"/>
                <w:sz w:val="20"/>
              </w:rPr>
            </w:pPr>
            <w:r w:rsidRPr="00767423">
              <w:rPr>
                <w:rFonts w:cs="Arial"/>
                <w:color w:val="000000"/>
                <w:sz w:val="20"/>
                <w:lang w:val="es-ES_tradnl"/>
              </w:rPr>
              <w:t>Manual Operativo Presupuesto Distrital</w:t>
            </w:r>
          </w:p>
        </w:tc>
      </w:tr>
      <w:tr w:rsidR="0045782D" w14:paraId="4B60AD89" w14:textId="77777777" w:rsidTr="00244108">
        <w:trPr>
          <w:trHeight w:val="667"/>
        </w:trPr>
        <w:tc>
          <w:tcPr>
            <w:tcW w:w="2166" w:type="pct"/>
            <w:shd w:val="clear" w:color="auto" w:fill="F2F2F2" w:themeFill="background1" w:themeFillShade="F2"/>
            <w:vAlign w:val="center"/>
          </w:tcPr>
          <w:p w14:paraId="07E409BC" w14:textId="3D499669" w:rsidR="0045782D" w:rsidRPr="00AD5687" w:rsidRDefault="0045782D" w:rsidP="0045782D">
            <w:pPr>
              <w:jc w:val="both"/>
              <w:rPr>
                <w:rFonts w:cs="Arial"/>
                <w:b/>
                <w:sz w:val="20"/>
                <w:szCs w:val="22"/>
                <w:lang w:val="es-MX"/>
              </w:rPr>
            </w:pPr>
            <w:r w:rsidRPr="00AD5687">
              <w:rPr>
                <w:rFonts w:cs="Arial"/>
                <w:b/>
                <w:sz w:val="20"/>
                <w:szCs w:val="22"/>
                <w:lang w:val="es-MX"/>
              </w:rPr>
              <w:lastRenderedPageBreak/>
              <w:t>PRUEBAS DE AUDITORÍA</w:t>
            </w:r>
          </w:p>
        </w:tc>
        <w:tc>
          <w:tcPr>
            <w:tcW w:w="2834" w:type="pct"/>
            <w:gridSpan w:val="6"/>
            <w:vAlign w:val="center"/>
          </w:tcPr>
          <w:p w14:paraId="52561496" w14:textId="18E13A7D" w:rsidR="0045782D" w:rsidRPr="00B24AFC" w:rsidRDefault="00767423" w:rsidP="00B24AFC">
            <w:pPr>
              <w:pStyle w:val="Prrafodelista"/>
              <w:ind w:left="31"/>
              <w:jc w:val="both"/>
              <w:rPr>
                <w:sz w:val="20"/>
                <w:szCs w:val="22"/>
              </w:rPr>
            </w:pPr>
            <w:r w:rsidRPr="00767423">
              <w:rPr>
                <w:rFonts w:cs="Arial"/>
                <w:sz w:val="20"/>
              </w:rPr>
              <w:t>Verificación documental y de sistemas de información</w:t>
            </w:r>
          </w:p>
        </w:tc>
      </w:tr>
      <w:tr w:rsidR="0045782D" w14:paraId="3D795E5E" w14:textId="77777777" w:rsidTr="00244108">
        <w:trPr>
          <w:trHeight w:val="847"/>
        </w:trPr>
        <w:tc>
          <w:tcPr>
            <w:tcW w:w="2166" w:type="pct"/>
            <w:shd w:val="clear" w:color="auto" w:fill="F2F2F2" w:themeFill="background1" w:themeFillShade="F2"/>
            <w:vAlign w:val="center"/>
          </w:tcPr>
          <w:p w14:paraId="757E46A4" w14:textId="4B1C1735" w:rsidR="0045782D" w:rsidRPr="00AD5687" w:rsidRDefault="0045782D" w:rsidP="0045782D">
            <w:pPr>
              <w:jc w:val="both"/>
              <w:rPr>
                <w:rFonts w:cs="Arial"/>
                <w:b/>
                <w:sz w:val="20"/>
                <w:szCs w:val="22"/>
                <w:lang w:val="es-MX"/>
              </w:rPr>
            </w:pPr>
            <w:r w:rsidRPr="00AD5687">
              <w:rPr>
                <w:rFonts w:cs="Arial"/>
                <w:b/>
                <w:sz w:val="20"/>
                <w:szCs w:val="22"/>
                <w:lang w:val="es-MX"/>
              </w:rPr>
              <w:t>EQUIPO AUDITOR</w:t>
            </w:r>
          </w:p>
        </w:tc>
        <w:tc>
          <w:tcPr>
            <w:tcW w:w="2834" w:type="pct"/>
            <w:gridSpan w:val="6"/>
            <w:vAlign w:val="center"/>
          </w:tcPr>
          <w:p w14:paraId="2F3B2988" w14:textId="19BAD16C" w:rsidR="00767423" w:rsidRDefault="000444D7" w:rsidP="00B24AFC">
            <w:pPr>
              <w:pStyle w:val="Prrafodelista"/>
              <w:ind w:left="31"/>
              <w:jc w:val="both"/>
              <w:rPr>
                <w:sz w:val="20"/>
                <w:szCs w:val="20"/>
              </w:rPr>
            </w:pPr>
            <w:r>
              <w:rPr>
                <w:sz w:val="20"/>
                <w:szCs w:val="20"/>
              </w:rPr>
              <w:t>Angie Paola Triana Montañez</w:t>
            </w:r>
          </w:p>
          <w:p w14:paraId="2F00CAFE" w14:textId="7B63D9D4" w:rsidR="000444D7" w:rsidRDefault="000444D7" w:rsidP="00B24AFC">
            <w:pPr>
              <w:pStyle w:val="Prrafodelista"/>
              <w:ind w:left="31"/>
              <w:jc w:val="both"/>
              <w:rPr>
                <w:sz w:val="20"/>
                <w:szCs w:val="20"/>
              </w:rPr>
            </w:pPr>
            <w:r>
              <w:rPr>
                <w:sz w:val="20"/>
                <w:szCs w:val="20"/>
              </w:rPr>
              <w:t>Edith Janneth Abella Sánchez</w:t>
            </w:r>
          </w:p>
          <w:p w14:paraId="0868F486" w14:textId="3D11E49A" w:rsidR="00767423" w:rsidRPr="00767423" w:rsidRDefault="00767423" w:rsidP="00B24AFC">
            <w:pPr>
              <w:pStyle w:val="Prrafodelista"/>
              <w:ind w:left="31"/>
              <w:jc w:val="both"/>
              <w:rPr>
                <w:sz w:val="20"/>
                <w:szCs w:val="20"/>
              </w:rPr>
            </w:pPr>
            <w:r w:rsidRPr="00767423">
              <w:rPr>
                <w:rFonts w:cs="Arial"/>
                <w:sz w:val="20"/>
                <w:szCs w:val="20"/>
              </w:rPr>
              <w:t>Eleana Marcela Páez Urrego</w:t>
            </w:r>
          </w:p>
        </w:tc>
      </w:tr>
      <w:tr w:rsidR="0045782D" w14:paraId="022BA904" w14:textId="77777777" w:rsidTr="00244108">
        <w:trPr>
          <w:trHeight w:val="687"/>
        </w:trPr>
        <w:tc>
          <w:tcPr>
            <w:tcW w:w="2166" w:type="pct"/>
            <w:shd w:val="clear" w:color="auto" w:fill="F2F2F2" w:themeFill="background1" w:themeFillShade="F2"/>
            <w:vAlign w:val="center"/>
          </w:tcPr>
          <w:p w14:paraId="0C29F327" w14:textId="0BB515CC" w:rsidR="0045782D" w:rsidRPr="00AD5687" w:rsidRDefault="0045782D" w:rsidP="0045782D">
            <w:pPr>
              <w:jc w:val="both"/>
              <w:rPr>
                <w:rFonts w:cs="Arial"/>
                <w:b/>
                <w:sz w:val="20"/>
                <w:szCs w:val="22"/>
                <w:lang w:val="es-MX"/>
              </w:rPr>
            </w:pPr>
            <w:r w:rsidRPr="00AD5687">
              <w:rPr>
                <w:rFonts w:cs="Arial"/>
                <w:b/>
                <w:sz w:val="20"/>
                <w:szCs w:val="22"/>
              </w:rPr>
              <w:lastRenderedPageBreak/>
              <w:t>FECHA DE EJECUCIÓN DE LA AUDITORÍA</w:t>
            </w:r>
          </w:p>
        </w:tc>
        <w:tc>
          <w:tcPr>
            <w:tcW w:w="2834" w:type="pct"/>
            <w:gridSpan w:val="6"/>
            <w:vAlign w:val="center"/>
          </w:tcPr>
          <w:p w14:paraId="4061C768" w14:textId="6C233261" w:rsidR="0045782D" w:rsidRPr="00767423" w:rsidRDefault="000444D7" w:rsidP="005374F3">
            <w:pPr>
              <w:pStyle w:val="Prrafodelista"/>
              <w:ind w:left="31"/>
              <w:jc w:val="both"/>
              <w:rPr>
                <w:sz w:val="20"/>
                <w:szCs w:val="20"/>
              </w:rPr>
            </w:pPr>
            <w:r>
              <w:rPr>
                <w:rFonts w:cs="Arial"/>
                <w:sz w:val="20"/>
                <w:szCs w:val="20"/>
              </w:rPr>
              <w:t>Del 15 de fe</w:t>
            </w:r>
            <w:r w:rsidR="00BD29A2">
              <w:rPr>
                <w:rFonts w:cs="Arial"/>
                <w:sz w:val="20"/>
                <w:szCs w:val="20"/>
              </w:rPr>
              <w:t>bre</w:t>
            </w:r>
            <w:r>
              <w:rPr>
                <w:rFonts w:cs="Arial"/>
                <w:sz w:val="20"/>
                <w:szCs w:val="20"/>
              </w:rPr>
              <w:t>ro</w:t>
            </w:r>
            <w:r w:rsidR="00767423" w:rsidRPr="00767423">
              <w:rPr>
                <w:rFonts w:cs="Arial"/>
                <w:sz w:val="20"/>
                <w:szCs w:val="20"/>
              </w:rPr>
              <w:t xml:space="preserve"> </w:t>
            </w:r>
            <w:r w:rsidR="00AF1239">
              <w:rPr>
                <w:rFonts w:cs="Arial"/>
                <w:sz w:val="20"/>
                <w:szCs w:val="20"/>
              </w:rPr>
              <w:t xml:space="preserve">al </w:t>
            </w:r>
            <w:r w:rsidR="005374F3">
              <w:rPr>
                <w:rFonts w:cs="Arial"/>
                <w:sz w:val="20"/>
                <w:szCs w:val="20"/>
              </w:rPr>
              <w:t>11</w:t>
            </w:r>
            <w:r w:rsidR="00767423" w:rsidRPr="00767423">
              <w:rPr>
                <w:rFonts w:cs="Arial"/>
                <w:sz w:val="20"/>
                <w:szCs w:val="20"/>
              </w:rPr>
              <w:t xml:space="preserve"> de </w:t>
            </w:r>
            <w:r w:rsidR="005374F3">
              <w:rPr>
                <w:rFonts w:cs="Arial"/>
                <w:sz w:val="20"/>
                <w:szCs w:val="20"/>
              </w:rPr>
              <w:t>marzo</w:t>
            </w:r>
            <w:r w:rsidR="00767423" w:rsidRPr="00767423">
              <w:rPr>
                <w:rFonts w:cs="Arial"/>
                <w:sz w:val="20"/>
                <w:szCs w:val="20"/>
              </w:rPr>
              <w:t xml:space="preserve"> </w:t>
            </w:r>
            <w:r>
              <w:rPr>
                <w:rFonts w:cs="Arial"/>
                <w:sz w:val="20"/>
                <w:szCs w:val="20"/>
              </w:rPr>
              <w:t>de 2022</w:t>
            </w:r>
          </w:p>
        </w:tc>
      </w:tr>
      <w:tr w:rsidR="0045782D" w14:paraId="48D3900F" w14:textId="77777777" w:rsidTr="00244108">
        <w:trPr>
          <w:trHeight w:val="1134"/>
        </w:trPr>
        <w:tc>
          <w:tcPr>
            <w:tcW w:w="2166" w:type="pct"/>
            <w:shd w:val="clear" w:color="auto" w:fill="F2F2F2" w:themeFill="background1" w:themeFillShade="F2"/>
            <w:vAlign w:val="center"/>
          </w:tcPr>
          <w:p w14:paraId="5FFFB5D3" w14:textId="64791308" w:rsidR="0045782D" w:rsidRPr="00AD5687" w:rsidRDefault="0045782D" w:rsidP="0045782D">
            <w:pPr>
              <w:jc w:val="both"/>
              <w:rPr>
                <w:rFonts w:cs="Arial"/>
                <w:b/>
                <w:sz w:val="20"/>
                <w:szCs w:val="22"/>
                <w:lang w:val="es-MX"/>
              </w:rPr>
            </w:pPr>
            <w:r w:rsidRPr="00AD5687">
              <w:rPr>
                <w:rFonts w:cs="Arial"/>
                <w:b/>
                <w:sz w:val="20"/>
                <w:szCs w:val="22"/>
              </w:rPr>
              <w:t>INSUMOS</w:t>
            </w:r>
          </w:p>
        </w:tc>
        <w:tc>
          <w:tcPr>
            <w:tcW w:w="2834" w:type="pct"/>
            <w:gridSpan w:val="6"/>
            <w:vAlign w:val="center"/>
          </w:tcPr>
          <w:p w14:paraId="6FEF4268" w14:textId="72F5D973" w:rsidR="0045782D" w:rsidRPr="00767423" w:rsidRDefault="00767423" w:rsidP="006766A4">
            <w:pPr>
              <w:pStyle w:val="Prrafodelista"/>
              <w:ind w:left="31"/>
              <w:jc w:val="both"/>
              <w:rPr>
                <w:sz w:val="20"/>
                <w:szCs w:val="20"/>
              </w:rPr>
            </w:pPr>
            <w:r w:rsidRPr="000D5F46">
              <w:rPr>
                <w:rFonts w:cs="Arial"/>
                <w:color w:val="000000"/>
                <w:sz w:val="20"/>
                <w:szCs w:val="20"/>
              </w:rPr>
              <w:t xml:space="preserve">Los resultados, se fundamentan en la información solicitada el </w:t>
            </w:r>
            <w:r w:rsidR="006766A4">
              <w:rPr>
                <w:rFonts w:cs="Arial"/>
                <w:color w:val="000000"/>
                <w:sz w:val="20"/>
                <w:szCs w:val="20"/>
              </w:rPr>
              <w:t>15</w:t>
            </w:r>
            <w:r w:rsidRPr="000D5F46">
              <w:rPr>
                <w:rFonts w:cs="Arial"/>
                <w:color w:val="000000"/>
                <w:sz w:val="20"/>
                <w:szCs w:val="20"/>
              </w:rPr>
              <w:t xml:space="preserve"> de </w:t>
            </w:r>
            <w:r w:rsidR="006766A4">
              <w:rPr>
                <w:rFonts w:cs="Arial"/>
                <w:color w:val="000000"/>
                <w:sz w:val="20"/>
                <w:szCs w:val="20"/>
              </w:rPr>
              <w:t>fe</w:t>
            </w:r>
            <w:r w:rsidR="00C71BE5">
              <w:rPr>
                <w:rFonts w:cs="Arial"/>
                <w:color w:val="000000"/>
                <w:sz w:val="20"/>
                <w:szCs w:val="20"/>
              </w:rPr>
              <w:t>bre</w:t>
            </w:r>
            <w:r w:rsidR="006766A4">
              <w:rPr>
                <w:rFonts w:cs="Arial"/>
                <w:color w:val="000000"/>
                <w:sz w:val="20"/>
                <w:szCs w:val="20"/>
              </w:rPr>
              <w:t>ro de 2022</w:t>
            </w:r>
            <w:r w:rsidRPr="000D5F46">
              <w:rPr>
                <w:rFonts w:cs="Arial"/>
                <w:color w:val="000000"/>
                <w:sz w:val="20"/>
                <w:szCs w:val="20"/>
              </w:rPr>
              <w:t xml:space="preserve">, a la Subdirección de Gestión Corporativa, Subdirección de Divulgación y Apropiación del Patrimonio, Oficina Asesora Jurídica y Oficina Asesora de Planeación, mediante radicados No. </w:t>
            </w:r>
            <w:r w:rsidR="006766A4">
              <w:rPr>
                <w:rFonts w:cs="Arial"/>
                <w:color w:val="000000"/>
                <w:sz w:val="20"/>
                <w:szCs w:val="20"/>
              </w:rPr>
              <w:t>2022</w:t>
            </w:r>
            <w:r w:rsidRPr="000D5F46">
              <w:rPr>
                <w:rFonts w:cs="Arial"/>
                <w:color w:val="000000"/>
                <w:sz w:val="20"/>
                <w:szCs w:val="20"/>
              </w:rPr>
              <w:t>1200</w:t>
            </w:r>
            <w:r w:rsidR="006766A4">
              <w:rPr>
                <w:rFonts w:cs="Arial"/>
                <w:color w:val="000000"/>
                <w:sz w:val="20"/>
                <w:szCs w:val="20"/>
              </w:rPr>
              <w:t>0404</w:t>
            </w:r>
            <w:r w:rsidR="00C71BE5">
              <w:rPr>
                <w:rFonts w:cs="Arial"/>
                <w:color w:val="000000"/>
                <w:sz w:val="20"/>
                <w:szCs w:val="20"/>
              </w:rPr>
              <w:t>63</w:t>
            </w:r>
            <w:r w:rsidRPr="000D5F46">
              <w:rPr>
                <w:rFonts w:cs="Arial"/>
                <w:color w:val="000000"/>
                <w:sz w:val="20"/>
                <w:szCs w:val="20"/>
              </w:rPr>
              <w:t xml:space="preserve">, </w:t>
            </w:r>
            <w:r w:rsidR="006766A4">
              <w:rPr>
                <w:rFonts w:cs="Arial"/>
                <w:color w:val="000000"/>
                <w:sz w:val="20"/>
                <w:szCs w:val="20"/>
              </w:rPr>
              <w:t>2022</w:t>
            </w:r>
            <w:r w:rsidR="006766A4" w:rsidRPr="000D5F46">
              <w:rPr>
                <w:rFonts w:cs="Arial"/>
                <w:color w:val="000000"/>
                <w:sz w:val="20"/>
                <w:szCs w:val="20"/>
              </w:rPr>
              <w:t>1200</w:t>
            </w:r>
            <w:r w:rsidR="006766A4">
              <w:rPr>
                <w:rFonts w:cs="Arial"/>
                <w:color w:val="000000"/>
                <w:sz w:val="20"/>
                <w:szCs w:val="20"/>
              </w:rPr>
              <w:t>040473</w:t>
            </w:r>
            <w:r w:rsidRPr="000D5F46">
              <w:rPr>
                <w:rFonts w:cs="Arial"/>
                <w:color w:val="000000"/>
                <w:sz w:val="20"/>
                <w:szCs w:val="20"/>
              </w:rPr>
              <w:t xml:space="preserve">, </w:t>
            </w:r>
            <w:r w:rsidR="006766A4">
              <w:rPr>
                <w:rFonts w:cs="Arial"/>
                <w:color w:val="000000"/>
                <w:sz w:val="20"/>
                <w:szCs w:val="20"/>
              </w:rPr>
              <w:t>2022</w:t>
            </w:r>
            <w:r w:rsidR="006766A4" w:rsidRPr="000D5F46">
              <w:rPr>
                <w:rFonts w:cs="Arial"/>
                <w:color w:val="000000"/>
                <w:sz w:val="20"/>
                <w:szCs w:val="20"/>
              </w:rPr>
              <w:t>1200</w:t>
            </w:r>
            <w:r w:rsidR="006766A4">
              <w:rPr>
                <w:rFonts w:cs="Arial"/>
                <w:color w:val="000000"/>
                <w:sz w:val="20"/>
                <w:szCs w:val="20"/>
              </w:rPr>
              <w:t>040493</w:t>
            </w:r>
            <w:r w:rsidRPr="000D5F46">
              <w:rPr>
                <w:rFonts w:cs="Arial"/>
                <w:color w:val="000000"/>
                <w:sz w:val="20"/>
                <w:szCs w:val="20"/>
              </w:rPr>
              <w:t xml:space="preserve"> y </w:t>
            </w:r>
            <w:r w:rsidR="006766A4">
              <w:rPr>
                <w:rFonts w:cs="Arial"/>
                <w:color w:val="000000"/>
                <w:sz w:val="20"/>
                <w:szCs w:val="20"/>
              </w:rPr>
              <w:t>2022</w:t>
            </w:r>
            <w:r w:rsidR="006766A4" w:rsidRPr="000D5F46">
              <w:rPr>
                <w:rFonts w:cs="Arial"/>
                <w:color w:val="000000"/>
                <w:sz w:val="20"/>
                <w:szCs w:val="20"/>
              </w:rPr>
              <w:t>1200</w:t>
            </w:r>
            <w:r w:rsidR="006766A4">
              <w:rPr>
                <w:rFonts w:cs="Arial"/>
                <w:color w:val="000000"/>
                <w:sz w:val="20"/>
                <w:szCs w:val="20"/>
              </w:rPr>
              <w:t>040503</w:t>
            </w:r>
            <w:r w:rsidRPr="000D5F46">
              <w:rPr>
                <w:rFonts w:cs="Arial"/>
                <w:color w:val="000000"/>
                <w:sz w:val="20"/>
                <w:szCs w:val="20"/>
              </w:rPr>
              <w:t xml:space="preserve">; la cual fue remitida por las áreas, mediante radicado No. </w:t>
            </w:r>
            <w:r w:rsidR="000D5F46" w:rsidRPr="000D5F46">
              <w:rPr>
                <w:rFonts w:cs="Arial"/>
                <w:color w:val="000000"/>
                <w:sz w:val="20"/>
                <w:szCs w:val="20"/>
              </w:rPr>
              <w:t>20</w:t>
            </w:r>
            <w:r w:rsidR="006766A4">
              <w:rPr>
                <w:rFonts w:cs="Arial"/>
                <w:color w:val="000000"/>
                <w:sz w:val="20"/>
                <w:szCs w:val="20"/>
              </w:rPr>
              <w:t>2250</w:t>
            </w:r>
            <w:r w:rsidR="00DE64B7" w:rsidRPr="000D5F46">
              <w:rPr>
                <w:rFonts w:cs="Arial"/>
                <w:color w:val="000000"/>
                <w:sz w:val="20"/>
                <w:szCs w:val="20"/>
              </w:rPr>
              <w:t>0</w:t>
            </w:r>
            <w:r w:rsidR="00CF44F8" w:rsidRPr="000D5F46">
              <w:rPr>
                <w:rFonts w:cs="Arial"/>
                <w:color w:val="000000"/>
                <w:sz w:val="20"/>
                <w:szCs w:val="20"/>
              </w:rPr>
              <w:t>0</w:t>
            </w:r>
            <w:r w:rsidR="006766A4">
              <w:rPr>
                <w:rFonts w:cs="Arial"/>
                <w:color w:val="000000"/>
                <w:sz w:val="20"/>
                <w:szCs w:val="20"/>
              </w:rPr>
              <w:t>411</w:t>
            </w:r>
            <w:r w:rsidR="00C71BE5">
              <w:rPr>
                <w:rFonts w:cs="Arial"/>
                <w:color w:val="000000"/>
                <w:sz w:val="20"/>
                <w:szCs w:val="20"/>
              </w:rPr>
              <w:t>9</w:t>
            </w:r>
            <w:r w:rsidR="000D5F46" w:rsidRPr="000D5F46">
              <w:rPr>
                <w:rFonts w:cs="Arial"/>
                <w:color w:val="000000"/>
                <w:sz w:val="20"/>
                <w:szCs w:val="20"/>
              </w:rPr>
              <w:t>3</w:t>
            </w:r>
            <w:r w:rsidRPr="000D5F46">
              <w:rPr>
                <w:rFonts w:cs="Arial"/>
                <w:color w:val="000000"/>
                <w:sz w:val="20"/>
                <w:szCs w:val="20"/>
              </w:rPr>
              <w:t xml:space="preserve"> de la Subdirección de Gestión Corporativa, </w:t>
            </w:r>
            <w:r w:rsidR="006766A4">
              <w:rPr>
                <w:rFonts w:cs="Arial"/>
                <w:color w:val="000000"/>
                <w:sz w:val="20"/>
                <w:szCs w:val="20"/>
              </w:rPr>
              <w:t>radicado No. 2022</w:t>
            </w:r>
            <w:r w:rsidRPr="000D5F46">
              <w:rPr>
                <w:rFonts w:cs="Arial"/>
                <w:color w:val="000000"/>
                <w:sz w:val="20"/>
                <w:szCs w:val="20"/>
              </w:rPr>
              <w:t>1100</w:t>
            </w:r>
            <w:r w:rsidR="006766A4">
              <w:rPr>
                <w:rFonts w:cs="Arial"/>
                <w:color w:val="000000"/>
                <w:sz w:val="20"/>
                <w:szCs w:val="20"/>
              </w:rPr>
              <w:t>04</w:t>
            </w:r>
            <w:r w:rsidR="000D5F46" w:rsidRPr="000D5F46">
              <w:rPr>
                <w:rFonts w:cs="Arial"/>
                <w:color w:val="000000"/>
                <w:sz w:val="20"/>
                <w:szCs w:val="20"/>
              </w:rPr>
              <w:t>1</w:t>
            </w:r>
            <w:r w:rsidR="00577CFD">
              <w:rPr>
                <w:rFonts w:cs="Arial"/>
                <w:color w:val="000000"/>
                <w:sz w:val="20"/>
                <w:szCs w:val="20"/>
              </w:rPr>
              <w:t>7</w:t>
            </w:r>
            <w:r w:rsidR="006766A4">
              <w:rPr>
                <w:rFonts w:cs="Arial"/>
                <w:color w:val="000000"/>
                <w:sz w:val="20"/>
                <w:szCs w:val="20"/>
              </w:rPr>
              <w:t>7</w:t>
            </w:r>
            <w:r w:rsidRPr="000D5F46">
              <w:rPr>
                <w:rFonts w:cs="Arial"/>
                <w:color w:val="000000"/>
                <w:sz w:val="20"/>
                <w:szCs w:val="20"/>
              </w:rPr>
              <w:t xml:space="preserve">3 de la Oficina Asesora Jurídica, radicado No. </w:t>
            </w:r>
            <w:r w:rsidR="006766A4">
              <w:rPr>
                <w:rFonts w:cs="Arial"/>
                <w:color w:val="000000"/>
                <w:sz w:val="20"/>
                <w:szCs w:val="20"/>
              </w:rPr>
              <w:t>2022</w:t>
            </w:r>
            <w:r w:rsidR="000D5F46" w:rsidRPr="000D5F46">
              <w:rPr>
                <w:rFonts w:cs="Arial"/>
                <w:color w:val="000000"/>
                <w:sz w:val="20"/>
                <w:szCs w:val="20"/>
              </w:rPr>
              <w:t>22</w:t>
            </w:r>
            <w:r w:rsidRPr="000D5F46">
              <w:rPr>
                <w:rFonts w:cs="Arial"/>
                <w:color w:val="000000"/>
                <w:sz w:val="20"/>
                <w:szCs w:val="20"/>
              </w:rPr>
              <w:t>00</w:t>
            </w:r>
            <w:r w:rsidR="006766A4">
              <w:rPr>
                <w:rFonts w:cs="Arial"/>
                <w:color w:val="000000"/>
                <w:sz w:val="20"/>
                <w:szCs w:val="20"/>
              </w:rPr>
              <w:t>0</w:t>
            </w:r>
            <w:r w:rsidR="000D5F46" w:rsidRPr="000D5F46">
              <w:rPr>
                <w:rFonts w:cs="Arial"/>
                <w:color w:val="000000"/>
                <w:sz w:val="20"/>
                <w:szCs w:val="20"/>
              </w:rPr>
              <w:t>4</w:t>
            </w:r>
            <w:r w:rsidR="006766A4">
              <w:rPr>
                <w:rFonts w:cs="Arial"/>
                <w:color w:val="000000"/>
                <w:sz w:val="20"/>
                <w:szCs w:val="20"/>
              </w:rPr>
              <w:t>115</w:t>
            </w:r>
            <w:r w:rsidRPr="000D5F46">
              <w:rPr>
                <w:rFonts w:cs="Arial"/>
                <w:color w:val="000000"/>
                <w:sz w:val="20"/>
                <w:szCs w:val="20"/>
              </w:rPr>
              <w:t>3 de la Oficina Asesora de Planeación</w:t>
            </w:r>
            <w:r w:rsidR="006766A4">
              <w:rPr>
                <w:rFonts w:cs="Arial"/>
                <w:color w:val="000000"/>
                <w:sz w:val="20"/>
                <w:szCs w:val="20"/>
              </w:rPr>
              <w:t xml:space="preserve"> y radicado No. 2022</w:t>
            </w:r>
            <w:r w:rsidR="00CF44F8" w:rsidRPr="000D5F46">
              <w:rPr>
                <w:rFonts w:cs="Arial"/>
                <w:color w:val="000000"/>
                <w:sz w:val="20"/>
                <w:szCs w:val="20"/>
              </w:rPr>
              <w:t>4</w:t>
            </w:r>
            <w:r w:rsidR="006766A4">
              <w:rPr>
                <w:rFonts w:cs="Arial"/>
                <w:color w:val="000000"/>
                <w:sz w:val="20"/>
                <w:szCs w:val="20"/>
              </w:rPr>
              <w:t>6</w:t>
            </w:r>
            <w:r w:rsidR="00CF44F8" w:rsidRPr="000D5F46">
              <w:rPr>
                <w:rFonts w:cs="Arial"/>
                <w:color w:val="000000"/>
                <w:sz w:val="20"/>
                <w:szCs w:val="20"/>
              </w:rPr>
              <w:t>000</w:t>
            </w:r>
            <w:r w:rsidR="006766A4">
              <w:rPr>
                <w:rFonts w:cs="Arial"/>
                <w:color w:val="000000"/>
                <w:sz w:val="20"/>
                <w:szCs w:val="20"/>
              </w:rPr>
              <w:t>4089</w:t>
            </w:r>
            <w:r w:rsidR="00CF44F8" w:rsidRPr="000D5F46">
              <w:rPr>
                <w:rFonts w:cs="Arial"/>
                <w:color w:val="000000"/>
                <w:sz w:val="20"/>
                <w:szCs w:val="20"/>
              </w:rPr>
              <w:t>3 de la Subdirección de Divulgación y Apropiación del Patrimonio</w:t>
            </w:r>
          </w:p>
        </w:tc>
      </w:tr>
      <w:tr w:rsidR="0045782D" w14:paraId="0ACC3BE1" w14:textId="77777777" w:rsidTr="00D77F6A">
        <w:trPr>
          <w:trHeight w:val="599"/>
        </w:trPr>
        <w:tc>
          <w:tcPr>
            <w:tcW w:w="2166" w:type="pct"/>
            <w:shd w:val="clear" w:color="auto" w:fill="F2F2F2" w:themeFill="background1" w:themeFillShade="F2"/>
            <w:vAlign w:val="center"/>
          </w:tcPr>
          <w:p w14:paraId="774A6816" w14:textId="13DBF83E" w:rsidR="0045782D" w:rsidRPr="00AD5687" w:rsidRDefault="0045782D" w:rsidP="0045782D">
            <w:pPr>
              <w:jc w:val="both"/>
              <w:rPr>
                <w:rFonts w:cs="Arial"/>
                <w:b/>
                <w:sz w:val="20"/>
                <w:szCs w:val="22"/>
                <w:lang w:val="es-MX"/>
              </w:rPr>
            </w:pPr>
            <w:r w:rsidRPr="00AD5687">
              <w:rPr>
                <w:rFonts w:cs="Arial"/>
                <w:b/>
                <w:sz w:val="20"/>
                <w:szCs w:val="22"/>
              </w:rPr>
              <w:t>LIMITACIONES DE LA EVALUACIÓN Y/O SEGUIMIENTO</w:t>
            </w:r>
          </w:p>
        </w:tc>
        <w:tc>
          <w:tcPr>
            <w:tcW w:w="2834" w:type="pct"/>
            <w:gridSpan w:val="6"/>
            <w:vAlign w:val="center"/>
          </w:tcPr>
          <w:p w14:paraId="7C880F9F" w14:textId="51199128" w:rsidR="0045782D" w:rsidRPr="00B24AFC" w:rsidRDefault="00767423" w:rsidP="00B24AFC">
            <w:pPr>
              <w:pStyle w:val="Prrafodelista"/>
              <w:ind w:left="31"/>
              <w:jc w:val="both"/>
              <w:rPr>
                <w:sz w:val="20"/>
                <w:szCs w:val="22"/>
              </w:rPr>
            </w:pPr>
            <w:r>
              <w:rPr>
                <w:sz w:val="20"/>
                <w:szCs w:val="22"/>
              </w:rPr>
              <w:t>Ninguna</w:t>
            </w:r>
          </w:p>
        </w:tc>
      </w:tr>
    </w:tbl>
    <w:p w14:paraId="6C8CE5A8" w14:textId="77777777" w:rsidR="00F1402C" w:rsidRPr="00767423" w:rsidRDefault="00F1402C" w:rsidP="00767423">
      <w:pPr>
        <w:rPr>
          <w:rFonts w:cs="Arial"/>
          <w:b/>
        </w:rPr>
      </w:pPr>
    </w:p>
    <w:p w14:paraId="1B369F58" w14:textId="77777777" w:rsidR="003D3182" w:rsidRDefault="003D3182" w:rsidP="003D3182">
      <w:pPr>
        <w:pStyle w:val="Prrafodelista"/>
        <w:rPr>
          <w:rFonts w:cs="Arial"/>
          <w:b/>
        </w:rPr>
      </w:pPr>
    </w:p>
    <w:p w14:paraId="45635FF4" w14:textId="59482FE9" w:rsidR="007E187A" w:rsidRPr="007E187A" w:rsidRDefault="007E187A" w:rsidP="00AA2B29">
      <w:pPr>
        <w:pStyle w:val="Prrafodelista"/>
        <w:numPr>
          <w:ilvl w:val="0"/>
          <w:numId w:val="1"/>
        </w:numPr>
        <w:jc w:val="center"/>
        <w:rPr>
          <w:rFonts w:cs="Arial"/>
          <w:b/>
        </w:rPr>
      </w:pPr>
      <w:r w:rsidRPr="007E187A">
        <w:rPr>
          <w:rFonts w:cs="Arial"/>
          <w:b/>
        </w:rPr>
        <w:t>RESULTADOS DE LA EVALUACIÓN Y/O SEGUIMIENTO</w:t>
      </w:r>
    </w:p>
    <w:p w14:paraId="1064F87F" w14:textId="77777777" w:rsidR="007E187A" w:rsidRDefault="007E187A" w:rsidP="007E187A">
      <w:pPr>
        <w:jc w:val="both"/>
        <w:rPr>
          <w:rFonts w:cs="Arial"/>
          <w:b/>
        </w:rPr>
      </w:pPr>
    </w:p>
    <w:p w14:paraId="7FDAD0BE" w14:textId="145FB86B" w:rsidR="008D1378" w:rsidRDefault="008D1378" w:rsidP="008D1378">
      <w:pPr>
        <w:jc w:val="both"/>
        <w:rPr>
          <w:rFonts w:cs="Arial"/>
        </w:rPr>
      </w:pPr>
      <w:r>
        <w:rPr>
          <w:rFonts w:cs="Arial"/>
        </w:rPr>
        <w:t>El presente informe se realizó en 2 partes, la primera que corresponde al seguimiento del Plan de Austeridad generado por el IDPC para la vigencia 2021, el cual se realiza con base en lo aportado por la Subdirección de Gestión Corporativa y la Oficina Asesora de Planeación; la segunda parte, se basa en el cumplimiento del Decreto 492 de 2019.</w:t>
      </w:r>
    </w:p>
    <w:p w14:paraId="14E26A8E" w14:textId="0C49A20F" w:rsidR="008D1378" w:rsidRDefault="008D1378" w:rsidP="008D1378">
      <w:pPr>
        <w:jc w:val="both"/>
        <w:rPr>
          <w:rFonts w:cs="Arial"/>
        </w:rPr>
      </w:pPr>
    </w:p>
    <w:p w14:paraId="4D1E77BE" w14:textId="77777777" w:rsidR="008D1378" w:rsidRPr="00AF1239" w:rsidRDefault="008D1378" w:rsidP="008D1378">
      <w:pPr>
        <w:jc w:val="both"/>
        <w:rPr>
          <w:rFonts w:cs="Arial"/>
        </w:rPr>
      </w:pPr>
    </w:p>
    <w:p w14:paraId="24E489AB" w14:textId="77777777" w:rsidR="008D1378" w:rsidRDefault="008D1378" w:rsidP="00AA2B29">
      <w:pPr>
        <w:pStyle w:val="Prrafodelista"/>
        <w:numPr>
          <w:ilvl w:val="1"/>
          <w:numId w:val="5"/>
        </w:numPr>
        <w:jc w:val="both"/>
        <w:rPr>
          <w:rFonts w:cs="Arial"/>
          <w:b/>
        </w:rPr>
      </w:pPr>
      <w:r w:rsidRPr="00AF1239">
        <w:rPr>
          <w:rFonts w:cs="Arial"/>
          <w:b/>
        </w:rPr>
        <w:t>SEGUIMIENTO PLAN DE AUSTERIDAD VIGENCIA 2021</w:t>
      </w:r>
    </w:p>
    <w:p w14:paraId="6E823032" w14:textId="77777777" w:rsidR="008D1378" w:rsidRDefault="008D1378" w:rsidP="008D1378">
      <w:pPr>
        <w:jc w:val="both"/>
        <w:rPr>
          <w:rFonts w:cs="Arial"/>
          <w:b/>
        </w:rPr>
      </w:pPr>
    </w:p>
    <w:p w14:paraId="137FEE85" w14:textId="77777777" w:rsidR="008D1378" w:rsidRDefault="008D1378" w:rsidP="008D1378">
      <w:pPr>
        <w:jc w:val="both"/>
        <w:rPr>
          <w:rFonts w:cs="Arial"/>
        </w:rPr>
      </w:pPr>
      <w:r w:rsidRPr="00BE0B72">
        <w:rPr>
          <w:rFonts w:cs="Arial"/>
        </w:rPr>
        <w:t>El plan de austeridad de la vigencia, se presentó y aprobó ante el Comité Institucional de Gestión y Desempeño el día 28 de abril de 2021, contempla: Actividad, Producto, Indicador, Dimensión–MIPG, Política de Gestión – MIPG, Responsable, Fecha de ejecución y Eficacia actividad.</w:t>
      </w:r>
      <w:r>
        <w:rPr>
          <w:rFonts w:cs="Arial"/>
        </w:rPr>
        <w:t xml:space="preserve"> </w:t>
      </w:r>
    </w:p>
    <w:p w14:paraId="17A85953" w14:textId="77777777" w:rsidR="008D1378" w:rsidRPr="00A00840" w:rsidRDefault="008D1378" w:rsidP="008D1378">
      <w:pPr>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5"/>
        <w:gridCol w:w="1683"/>
        <w:gridCol w:w="1270"/>
        <w:gridCol w:w="2114"/>
        <w:gridCol w:w="3356"/>
      </w:tblGrid>
      <w:tr w:rsidR="00BE0B72" w:rsidRPr="00BE0B72" w14:paraId="1C3FD48C" w14:textId="77777777" w:rsidTr="00BE0B72">
        <w:trPr>
          <w:trHeight w:val="285"/>
          <w:tblHeader/>
        </w:trPr>
        <w:tc>
          <w:tcPr>
            <w:tcW w:w="182" w:type="pct"/>
            <w:shd w:val="clear" w:color="000000" w:fill="D9D9D9"/>
            <w:vAlign w:val="center"/>
            <w:hideMark/>
          </w:tcPr>
          <w:p w14:paraId="1DEB312B" w14:textId="77777777" w:rsidR="00BE0B72" w:rsidRPr="00BE0B72" w:rsidRDefault="00BE0B72" w:rsidP="00BE0B72">
            <w:pPr>
              <w:jc w:val="center"/>
              <w:rPr>
                <w:rFonts w:ascii="Arial Narrow" w:eastAsia="Times New Roman" w:hAnsi="Arial Narrow" w:cs="Arial"/>
                <w:b/>
                <w:bCs/>
                <w:color w:val="000000"/>
                <w:sz w:val="20"/>
                <w:szCs w:val="20"/>
                <w:lang w:eastAsia="es-CO"/>
              </w:rPr>
            </w:pPr>
            <w:r w:rsidRPr="00BE0B72">
              <w:rPr>
                <w:rFonts w:ascii="Arial Narrow" w:eastAsia="Times New Roman" w:hAnsi="Arial Narrow" w:cs="Arial"/>
                <w:b/>
                <w:bCs/>
                <w:color w:val="000000"/>
                <w:sz w:val="20"/>
                <w:szCs w:val="20"/>
                <w:lang w:eastAsia="es-CO"/>
              </w:rPr>
              <w:t>No.</w:t>
            </w:r>
          </w:p>
        </w:tc>
        <w:tc>
          <w:tcPr>
            <w:tcW w:w="965" w:type="pct"/>
            <w:shd w:val="clear" w:color="000000" w:fill="D9D9D9"/>
            <w:vAlign w:val="center"/>
            <w:hideMark/>
          </w:tcPr>
          <w:p w14:paraId="62C9FA90" w14:textId="77777777" w:rsidR="00BE0B72" w:rsidRPr="00BE0B72" w:rsidRDefault="00BE0B72" w:rsidP="00BE0B72">
            <w:pPr>
              <w:jc w:val="center"/>
              <w:rPr>
                <w:rFonts w:ascii="Arial Narrow" w:eastAsia="Times New Roman" w:hAnsi="Arial Narrow" w:cs="Arial"/>
                <w:b/>
                <w:bCs/>
                <w:color w:val="000000"/>
                <w:sz w:val="20"/>
                <w:szCs w:val="20"/>
                <w:lang w:eastAsia="es-CO"/>
              </w:rPr>
            </w:pPr>
            <w:r w:rsidRPr="00BE0B72">
              <w:rPr>
                <w:rFonts w:ascii="Arial Narrow" w:eastAsia="Times New Roman" w:hAnsi="Arial Narrow" w:cs="Arial"/>
                <w:b/>
                <w:bCs/>
                <w:color w:val="000000"/>
                <w:sz w:val="20"/>
                <w:szCs w:val="20"/>
                <w:lang w:eastAsia="es-CO"/>
              </w:rPr>
              <w:t>ACTIVIDAD</w:t>
            </w:r>
          </w:p>
        </w:tc>
        <w:tc>
          <w:tcPr>
            <w:tcW w:w="731" w:type="pct"/>
            <w:shd w:val="clear" w:color="000000" w:fill="D9D9D9"/>
            <w:vAlign w:val="center"/>
            <w:hideMark/>
          </w:tcPr>
          <w:p w14:paraId="799E4C23" w14:textId="77777777" w:rsidR="00BE0B72" w:rsidRPr="00BE0B72" w:rsidRDefault="00BE0B72" w:rsidP="00BE0B72">
            <w:pPr>
              <w:jc w:val="center"/>
              <w:rPr>
                <w:rFonts w:ascii="Arial Narrow" w:eastAsia="Times New Roman" w:hAnsi="Arial Narrow" w:cs="Arial"/>
                <w:b/>
                <w:bCs/>
                <w:color w:val="000000"/>
                <w:sz w:val="20"/>
                <w:szCs w:val="20"/>
                <w:lang w:eastAsia="es-CO"/>
              </w:rPr>
            </w:pPr>
            <w:r w:rsidRPr="00BE0B72">
              <w:rPr>
                <w:rFonts w:ascii="Arial Narrow" w:eastAsia="Times New Roman" w:hAnsi="Arial Narrow" w:cs="Arial"/>
                <w:b/>
                <w:bCs/>
                <w:color w:val="000000"/>
                <w:sz w:val="20"/>
                <w:szCs w:val="20"/>
                <w:lang w:eastAsia="es-CO"/>
              </w:rPr>
              <w:t>PRODUCTO</w:t>
            </w:r>
          </w:p>
        </w:tc>
        <w:tc>
          <w:tcPr>
            <w:tcW w:w="1209" w:type="pct"/>
            <w:shd w:val="clear" w:color="000000" w:fill="D9D9D9"/>
            <w:vAlign w:val="center"/>
            <w:hideMark/>
          </w:tcPr>
          <w:p w14:paraId="48DBD526" w14:textId="77777777" w:rsidR="00BE0B72" w:rsidRPr="00BE0B72" w:rsidRDefault="00BE0B72" w:rsidP="00BE0B72">
            <w:pPr>
              <w:jc w:val="center"/>
              <w:rPr>
                <w:rFonts w:ascii="Arial Narrow" w:eastAsia="Times New Roman" w:hAnsi="Arial Narrow" w:cs="Arial"/>
                <w:b/>
                <w:bCs/>
                <w:color w:val="000000"/>
                <w:sz w:val="20"/>
                <w:szCs w:val="20"/>
                <w:lang w:eastAsia="es-CO"/>
              </w:rPr>
            </w:pPr>
            <w:r w:rsidRPr="00BE0B72">
              <w:rPr>
                <w:rFonts w:ascii="Arial Narrow" w:eastAsia="Times New Roman" w:hAnsi="Arial Narrow" w:cs="Arial"/>
                <w:b/>
                <w:bCs/>
                <w:color w:val="000000"/>
                <w:sz w:val="20"/>
                <w:szCs w:val="20"/>
                <w:lang w:eastAsia="es-CO"/>
              </w:rPr>
              <w:t>INDICADOR</w:t>
            </w:r>
          </w:p>
        </w:tc>
        <w:tc>
          <w:tcPr>
            <w:tcW w:w="1912" w:type="pct"/>
            <w:shd w:val="clear" w:color="000000" w:fill="D9D9D9"/>
            <w:vAlign w:val="center"/>
            <w:hideMark/>
          </w:tcPr>
          <w:p w14:paraId="348CE527" w14:textId="77777777" w:rsidR="00BE0B72" w:rsidRPr="00BE0B72" w:rsidRDefault="00BE0B72" w:rsidP="00BE0B72">
            <w:pPr>
              <w:jc w:val="center"/>
              <w:rPr>
                <w:rFonts w:ascii="Arial Narrow" w:eastAsia="Times New Roman" w:hAnsi="Arial Narrow" w:cs="Arial"/>
                <w:b/>
                <w:bCs/>
                <w:color w:val="000000"/>
                <w:sz w:val="20"/>
                <w:szCs w:val="20"/>
                <w:lang w:eastAsia="es-CO"/>
              </w:rPr>
            </w:pPr>
            <w:r w:rsidRPr="00BE0B72">
              <w:rPr>
                <w:rFonts w:ascii="Arial Narrow" w:eastAsia="Times New Roman" w:hAnsi="Arial Narrow" w:cs="Arial"/>
                <w:b/>
                <w:bCs/>
                <w:color w:val="000000"/>
                <w:sz w:val="20"/>
                <w:szCs w:val="20"/>
                <w:lang w:eastAsia="es-CO"/>
              </w:rPr>
              <w:t>OBSERVACIONES</w:t>
            </w:r>
          </w:p>
        </w:tc>
      </w:tr>
      <w:tr w:rsidR="00BE0B72" w:rsidRPr="00BE0B72" w14:paraId="022D769A" w14:textId="77777777" w:rsidTr="00BE0B72">
        <w:trPr>
          <w:trHeight w:val="2550"/>
        </w:trPr>
        <w:tc>
          <w:tcPr>
            <w:tcW w:w="182" w:type="pct"/>
            <w:shd w:val="clear" w:color="000000" w:fill="FFFFFF"/>
            <w:vAlign w:val="center"/>
            <w:hideMark/>
          </w:tcPr>
          <w:p w14:paraId="57C9CE5B"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1</w:t>
            </w:r>
          </w:p>
        </w:tc>
        <w:tc>
          <w:tcPr>
            <w:tcW w:w="965" w:type="pct"/>
            <w:shd w:val="clear" w:color="000000" w:fill="FFFFFF"/>
            <w:vAlign w:val="center"/>
            <w:hideMark/>
          </w:tcPr>
          <w:p w14:paraId="73FE6E8B" w14:textId="77777777" w:rsidR="00BE0B72" w:rsidRPr="00BE0B72" w:rsidRDefault="00BE0B72" w:rsidP="00BE0B72">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 xml:space="preserve">Art. 14 Telefonía Celular </w:t>
            </w:r>
            <w:r w:rsidRPr="00BE0B72">
              <w:rPr>
                <w:rFonts w:ascii="Arial Narrow" w:eastAsia="Times New Roman" w:hAnsi="Arial Narrow" w:cs="Arial"/>
                <w:color w:val="000000"/>
                <w:sz w:val="20"/>
                <w:szCs w:val="20"/>
                <w:lang w:eastAsia="es-CO"/>
              </w:rPr>
              <w:br/>
              <w:t>Revisar los planes de Telefonía celular para estudiar la posibilidad de reducir el valor en los planes</w:t>
            </w:r>
          </w:p>
        </w:tc>
        <w:tc>
          <w:tcPr>
            <w:tcW w:w="731" w:type="pct"/>
            <w:shd w:val="clear" w:color="000000" w:fill="FFFFFF"/>
            <w:vAlign w:val="center"/>
            <w:hideMark/>
          </w:tcPr>
          <w:p w14:paraId="02E3C382"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Análisis de gastos-reducción del 2% en el valor de la factura del plan</w:t>
            </w:r>
          </w:p>
        </w:tc>
        <w:tc>
          <w:tcPr>
            <w:tcW w:w="1209" w:type="pct"/>
            <w:shd w:val="clear" w:color="000000" w:fill="FFFFFF"/>
            <w:vAlign w:val="center"/>
            <w:hideMark/>
          </w:tcPr>
          <w:p w14:paraId="76D01330"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IAt=1-(valor gasto semestre actual /gasto semestre año anterior)*100</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C(IA)= %reducción ejecutado/% reducción programado</w:t>
            </w:r>
          </w:p>
        </w:tc>
        <w:tc>
          <w:tcPr>
            <w:tcW w:w="1912" w:type="pct"/>
            <w:shd w:val="clear" w:color="000000" w:fill="FFFFFF"/>
            <w:vAlign w:val="center"/>
            <w:hideMark/>
          </w:tcPr>
          <w:p w14:paraId="277D04CA" w14:textId="79CACF78" w:rsidR="00BE0B72" w:rsidRPr="00BE0B72" w:rsidRDefault="00BE0B72" w:rsidP="002A0EED">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 xml:space="preserve">En la verificación realizada con corte a 31 de diciembre 2021 se evidenció que a partir del mes de junio de 2021 fueron ajustados los planes de </w:t>
            </w:r>
            <w:r w:rsidR="002A0EED" w:rsidRPr="00BE0B72">
              <w:rPr>
                <w:rFonts w:ascii="Arial Narrow" w:eastAsia="Times New Roman" w:hAnsi="Arial Narrow" w:cs="Arial"/>
                <w:color w:val="000000"/>
                <w:sz w:val="20"/>
                <w:szCs w:val="20"/>
                <w:lang w:eastAsia="es-CO"/>
              </w:rPr>
              <w:t>telefonía</w:t>
            </w:r>
            <w:r w:rsidRPr="00BE0B72">
              <w:rPr>
                <w:rFonts w:ascii="Arial Narrow" w:eastAsia="Times New Roman" w:hAnsi="Arial Narrow" w:cs="Arial"/>
                <w:color w:val="000000"/>
                <w:sz w:val="20"/>
                <w:szCs w:val="20"/>
                <w:lang w:eastAsia="es-CO"/>
              </w:rPr>
              <w:t xml:space="preserve"> celular para el Instituto pasando de $ 1.146.739 en 2020 a $ 706.089 en 2021 </w:t>
            </w:r>
            <w:r w:rsidR="002A0EED" w:rsidRPr="00BE0B72">
              <w:rPr>
                <w:rFonts w:ascii="Arial Narrow" w:eastAsia="Times New Roman" w:hAnsi="Arial Narrow" w:cs="Arial"/>
                <w:color w:val="000000"/>
                <w:sz w:val="20"/>
                <w:szCs w:val="20"/>
                <w:lang w:eastAsia="es-CO"/>
              </w:rPr>
              <w:t>registrando</w:t>
            </w:r>
            <w:r w:rsidRPr="00BE0B72">
              <w:rPr>
                <w:rFonts w:ascii="Arial Narrow" w:eastAsia="Times New Roman" w:hAnsi="Arial Narrow" w:cs="Arial"/>
                <w:color w:val="000000"/>
                <w:sz w:val="20"/>
                <w:szCs w:val="20"/>
                <w:lang w:eastAsia="es-CO"/>
              </w:rPr>
              <w:t xml:space="preserve"> una </w:t>
            </w:r>
            <w:r w:rsidR="002A0EED" w:rsidRPr="00BE0B72">
              <w:rPr>
                <w:rFonts w:ascii="Arial Narrow" w:eastAsia="Times New Roman" w:hAnsi="Arial Narrow" w:cs="Arial"/>
                <w:color w:val="000000"/>
                <w:sz w:val="20"/>
                <w:szCs w:val="20"/>
                <w:lang w:eastAsia="es-CO"/>
              </w:rPr>
              <w:t>disminución</w:t>
            </w:r>
            <w:r w:rsidRPr="00BE0B72">
              <w:rPr>
                <w:rFonts w:ascii="Arial Narrow" w:eastAsia="Times New Roman" w:hAnsi="Arial Narrow" w:cs="Arial"/>
                <w:color w:val="000000"/>
                <w:sz w:val="20"/>
                <w:szCs w:val="20"/>
                <w:lang w:eastAsia="es-CO"/>
              </w:rPr>
              <w:t xml:space="preserve"> del 62,40%</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Con fundamento en lo anterior, se observa cumplimiento de la acción para la vigencia 2021</w:t>
            </w:r>
          </w:p>
        </w:tc>
      </w:tr>
      <w:tr w:rsidR="00BE0B72" w:rsidRPr="00BE0B72" w14:paraId="1E0F2C10" w14:textId="77777777" w:rsidTr="00BE0B72">
        <w:trPr>
          <w:trHeight w:val="3570"/>
        </w:trPr>
        <w:tc>
          <w:tcPr>
            <w:tcW w:w="182" w:type="pct"/>
            <w:shd w:val="clear" w:color="000000" w:fill="FFFFFF"/>
            <w:vAlign w:val="center"/>
            <w:hideMark/>
          </w:tcPr>
          <w:p w14:paraId="252BB4C9"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lastRenderedPageBreak/>
              <w:t>2</w:t>
            </w:r>
          </w:p>
        </w:tc>
        <w:tc>
          <w:tcPr>
            <w:tcW w:w="965" w:type="pct"/>
            <w:shd w:val="clear" w:color="000000" w:fill="FFFFFF"/>
            <w:vAlign w:val="center"/>
            <w:hideMark/>
          </w:tcPr>
          <w:p w14:paraId="18C33766" w14:textId="77777777" w:rsidR="00BE0B72" w:rsidRPr="00BE0B72" w:rsidRDefault="00BE0B72" w:rsidP="00BE0B72">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Art. 16 Vehículos oficiales</w:t>
            </w:r>
            <w:r w:rsidRPr="00BE0B72">
              <w:rPr>
                <w:rFonts w:ascii="Arial Narrow" w:eastAsia="Times New Roman" w:hAnsi="Arial Narrow" w:cs="Arial"/>
                <w:color w:val="000000"/>
                <w:sz w:val="20"/>
                <w:szCs w:val="20"/>
                <w:lang w:eastAsia="es-CO"/>
              </w:rPr>
              <w:br/>
              <w:t>Controlar y analizar el consumo de combustible para Vehículos oficiales del instituto</w:t>
            </w:r>
          </w:p>
        </w:tc>
        <w:tc>
          <w:tcPr>
            <w:tcW w:w="731" w:type="pct"/>
            <w:shd w:val="clear" w:color="000000" w:fill="FFFFFF"/>
            <w:vAlign w:val="center"/>
            <w:hideMark/>
          </w:tcPr>
          <w:p w14:paraId="14310D43"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informe de consumo por vehículo- reducción del 2% en el valor</w:t>
            </w:r>
          </w:p>
        </w:tc>
        <w:tc>
          <w:tcPr>
            <w:tcW w:w="1209" w:type="pct"/>
            <w:shd w:val="clear" w:color="000000" w:fill="FFFFFF"/>
            <w:vAlign w:val="center"/>
            <w:hideMark/>
          </w:tcPr>
          <w:p w14:paraId="38D68893"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Reducción Consumo combustible= (consumo semestre año actual / consumo semestre año anterior)*100</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C(IA)=%reducción ejecutado/% reducción programado</w:t>
            </w:r>
          </w:p>
        </w:tc>
        <w:tc>
          <w:tcPr>
            <w:tcW w:w="1912" w:type="pct"/>
            <w:shd w:val="clear" w:color="000000" w:fill="FFFFFF"/>
            <w:vAlign w:val="center"/>
            <w:hideMark/>
          </w:tcPr>
          <w:p w14:paraId="194242F3" w14:textId="1C4C8054" w:rsidR="00BE0B72" w:rsidRPr="00BE0B72" w:rsidRDefault="00BE0B72" w:rsidP="002A0EED">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 xml:space="preserve">En la Verificación </w:t>
            </w:r>
            <w:r w:rsidR="002A0EED">
              <w:rPr>
                <w:rFonts w:ascii="Arial Narrow" w:eastAsia="Times New Roman" w:hAnsi="Arial Narrow" w:cs="Arial"/>
                <w:color w:val="000000"/>
                <w:sz w:val="20"/>
                <w:szCs w:val="20"/>
                <w:lang w:eastAsia="es-CO"/>
              </w:rPr>
              <w:t>efectu</w:t>
            </w:r>
            <w:r w:rsidR="002A0EED" w:rsidRPr="00BE0B72">
              <w:rPr>
                <w:rFonts w:ascii="Arial Narrow" w:eastAsia="Times New Roman" w:hAnsi="Arial Narrow" w:cs="Arial"/>
                <w:color w:val="000000"/>
                <w:sz w:val="20"/>
                <w:szCs w:val="20"/>
                <w:lang w:eastAsia="es-CO"/>
              </w:rPr>
              <w:t>ada</w:t>
            </w:r>
            <w:r w:rsidRPr="00BE0B72">
              <w:rPr>
                <w:rFonts w:ascii="Arial Narrow" w:eastAsia="Times New Roman" w:hAnsi="Arial Narrow" w:cs="Arial"/>
                <w:color w:val="000000"/>
                <w:sz w:val="20"/>
                <w:szCs w:val="20"/>
                <w:lang w:eastAsia="es-CO"/>
              </w:rPr>
              <w:t xml:space="preserve"> con corte a 31 de diciembre 2021 se realizó el comparativo del consumo de combustible de los tres (3) </w:t>
            </w:r>
            <w:r w:rsidR="002A0EED" w:rsidRPr="00BE0B72">
              <w:rPr>
                <w:rFonts w:ascii="Arial Narrow" w:eastAsia="Times New Roman" w:hAnsi="Arial Narrow" w:cs="Arial"/>
                <w:color w:val="000000"/>
                <w:sz w:val="20"/>
                <w:szCs w:val="20"/>
                <w:lang w:eastAsia="es-CO"/>
              </w:rPr>
              <w:t>vehículos</w:t>
            </w:r>
            <w:r w:rsidRPr="00BE0B72">
              <w:rPr>
                <w:rFonts w:ascii="Arial Narrow" w:eastAsia="Times New Roman" w:hAnsi="Arial Narrow" w:cs="Arial"/>
                <w:color w:val="000000"/>
                <w:sz w:val="20"/>
                <w:szCs w:val="20"/>
                <w:lang w:eastAsia="es-CO"/>
              </w:rPr>
              <w:t xml:space="preserve"> al servicio del Instituto observando: que de julio a diciembre 2020, se re</w:t>
            </w:r>
            <w:r w:rsidR="002A0EED">
              <w:rPr>
                <w:rFonts w:ascii="Arial Narrow" w:eastAsia="Times New Roman" w:hAnsi="Arial Narrow" w:cs="Arial"/>
                <w:color w:val="000000"/>
                <w:sz w:val="20"/>
                <w:szCs w:val="20"/>
                <w:lang w:eastAsia="es-CO"/>
              </w:rPr>
              <w:t>gistró consumo por valor de $6.638.</w:t>
            </w:r>
            <w:r w:rsidRPr="00BE0B72">
              <w:rPr>
                <w:rFonts w:ascii="Arial Narrow" w:eastAsia="Times New Roman" w:hAnsi="Arial Narrow" w:cs="Arial"/>
                <w:color w:val="000000"/>
                <w:sz w:val="20"/>
                <w:szCs w:val="20"/>
                <w:lang w:eastAsia="es-CO"/>
              </w:rPr>
              <w:t xml:space="preserve">743 y en el mismo periodo de la vigencia 2021 se </w:t>
            </w:r>
            <w:r w:rsidR="002A0EED">
              <w:rPr>
                <w:rFonts w:ascii="Arial Narrow" w:eastAsia="Times New Roman" w:hAnsi="Arial Narrow" w:cs="Arial"/>
                <w:color w:val="000000"/>
                <w:sz w:val="20"/>
                <w:szCs w:val="20"/>
                <w:lang w:eastAsia="es-CO"/>
              </w:rPr>
              <w:t>registró consumo por valor de $</w:t>
            </w:r>
            <w:r w:rsidRPr="00BE0B72">
              <w:rPr>
                <w:rFonts w:ascii="Arial Narrow" w:eastAsia="Times New Roman" w:hAnsi="Arial Narrow" w:cs="Arial"/>
                <w:color w:val="000000"/>
                <w:sz w:val="20"/>
                <w:szCs w:val="20"/>
                <w:lang w:eastAsia="es-CO"/>
              </w:rPr>
              <w:t>10.081.266, lo que representa un aumen</w:t>
            </w:r>
            <w:r w:rsidR="002A0EED">
              <w:rPr>
                <w:rFonts w:ascii="Arial Narrow" w:eastAsia="Times New Roman" w:hAnsi="Arial Narrow" w:cs="Arial"/>
                <w:color w:val="000000"/>
                <w:sz w:val="20"/>
                <w:szCs w:val="20"/>
                <w:lang w:eastAsia="es-CO"/>
              </w:rPr>
              <w:t>to del 51,85% aproximadamente. L</w:t>
            </w:r>
            <w:r w:rsidRPr="00BE0B72">
              <w:rPr>
                <w:rFonts w:ascii="Arial Narrow" w:eastAsia="Times New Roman" w:hAnsi="Arial Narrow" w:cs="Arial"/>
                <w:color w:val="000000"/>
                <w:sz w:val="20"/>
                <w:szCs w:val="20"/>
                <w:lang w:eastAsia="es-CO"/>
              </w:rPr>
              <w:t xml:space="preserve">o anterior obedece a que en 2020, el </w:t>
            </w:r>
            <w:r w:rsidR="002A0EED" w:rsidRPr="00BE0B72">
              <w:rPr>
                <w:rFonts w:ascii="Arial Narrow" w:eastAsia="Times New Roman" w:hAnsi="Arial Narrow" w:cs="Arial"/>
                <w:color w:val="000000"/>
                <w:sz w:val="20"/>
                <w:szCs w:val="20"/>
                <w:lang w:eastAsia="es-CO"/>
              </w:rPr>
              <w:t>país</w:t>
            </w:r>
            <w:r w:rsidRPr="00BE0B72">
              <w:rPr>
                <w:rFonts w:ascii="Arial Narrow" w:eastAsia="Times New Roman" w:hAnsi="Arial Narrow" w:cs="Arial"/>
                <w:color w:val="000000"/>
                <w:sz w:val="20"/>
                <w:szCs w:val="20"/>
                <w:lang w:eastAsia="es-CO"/>
              </w:rPr>
              <w:t xml:space="preserve"> se </w:t>
            </w:r>
            <w:r w:rsidR="002A0EED" w:rsidRPr="00BE0B72">
              <w:rPr>
                <w:rFonts w:ascii="Arial Narrow" w:eastAsia="Times New Roman" w:hAnsi="Arial Narrow" w:cs="Arial"/>
                <w:color w:val="000000"/>
                <w:sz w:val="20"/>
                <w:szCs w:val="20"/>
                <w:lang w:eastAsia="es-CO"/>
              </w:rPr>
              <w:t>encontraba</w:t>
            </w:r>
            <w:r w:rsidRPr="00BE0B72">
              <w:rPr>
                <w:rFonts w:ascii="Arial Narrow" w:eastAsia="Times New Roman" w:hAnsi="Arial Narrow" w:cs="Arial"/>
                <w:color w:val="000000"/>
                <w:sz w:val="20"/>
                <w:szCs w:val="20"/>
                <w:lang w:eastAsia="es-CO"/>
              </w:rPr>
              <w:t xml:space="preserve"> en confinamiento por la pandemia del COVID 19 y en el 2021, se presentó retorno gradual a la presencialidad, lo que generó la mayor utilización de los </w:t>
            </w:r>
            <w:r w:rsidR="002A0EED" w:rsidRPr="00BE0B72">
              <w:rPr>
                <w:rFonts w:ascii="Arial Narrow" w:eastAsia="Times New Roman" w:hAnsi="Arial Narrow" w:cs="Arial"/>
                <w:color w:val="000000"/>
                <w:sz w:val="20"/>
                <w:szCs w:val="20"/>
                <w:lang w:eastAsia="es-CO"/>
              </w:rPr>
              <w:t>vehículos</w:t>
            </w:r>
            <w:r w:rsidRPr="00BE0B72">
              <w:rPr>
                <w:rFonts w:ascii="Arial Narrow" w:eastAsia="Times New Roman" w:hAnsi="Arial Narrow" w:cs="Arial"/>
                <w:color w:val="000000"/>
                <w:sz w:val="20"/>
                <w:szCs w:val="20"/>
                <w:lang w:eastAsia="es-CO"/>
              </w:rPr>
              <w:t xml:space="preserve"> de la entidad por consiguiente mayor consumo de combustible.</w:t>
            </w:r>
          </w:p>
        </w:tc>
      </w:tr>
      <w:tr w:rsidR="00BE0B72" w:rsidRPr="00BE0B72" w14:paraId="4CD593F3" w14:textId="77777777" w:rsidTr="00BE0B72">
        <w:trPr>
          <w:trHeight w:val="3060"/>
        </w:trPr>
        <w:tc>
          <w:tcPr>
            <w:tcW w:w="182" w:type="pct"/>
            <w:shd w:val="clear" w:color="000000" w:fill="FFFFFF"/>
            <w:vAlign w:val="center"/>
            <w:hideMark/>
          </w:tcPr>
          <w:p w14:paraId="471A15BD"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3</w:t>
            </w:r>
          </w:p>
        </w:tc>
        <w:tc>
          <w:tcPr>
            <w:tcW w:w="965" w:type="pct"/>
            <w:shd w:val="clear" w:color="000000" w:fill="FFFFFF"/>
            <w:vAlign w:val="center"/>
            <w:hideMark/>
          </w:tcPr>
          <w:p w14:paraId="4EC0C8C7" w14:textId="77777777" w:rsidR="00BE0B72" w:rsidRPr="00BE0B72" w:rsidRDefault="00BE0B72" w:rsidP="00BE0B72">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Art. 18 Fotocopiado, multicopiado e impresión</w:t>
            </w:r>
            <w:r w:rsidRPr="00BE0B72">
              <w:rPr>
                <w:rFonts w:ascii="Arial Narrow" w:eastAsia="Times New Roman" w:hAnsi="Arial Narrow" w:cs="Arial"/>
                <w:color w:val="000000"/>
                <w:sz w:val="20"/>
                <w:szCs w:val="20"/>
                <w:lang w:eastAsia="es-CO"/>
              </w:rPr>
              <w:br/>
              <w:t>Realizar informe trimestral de seguimiento al consumo de impresiones y fotocopiado</w:t>
            </w:r>
          </w:p>
        </w:tc>
        <w:tc>
          <w:tcPr>
            <w:tcW w:w="731" w:type="pct"/>
            <w:shd w:val="clear" w:color="000000" w:fill="FFFFFF"/>
            <w:vAlign w:val="center"/>
            <w:hideMark/>
          </w:tcPr>
          <w:p w14:paraId="54E36152"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Informes de seguimiento al consumo de impresiones y fotocopiado. Disminución en el gasto y consumo del 5%</w:t>
            </w:r>
          </w:p>
        </w:tc>
        <w:tc>
          <w:tcPr>
            <w:tcW w:w="1209" w:type="pct"/>
            <w:shd w:val="clear" w:color="000000" w:fill="FFFFFF"/>
            <w:vAlign w:val="center"/>
            <w:hideMark/>
          </w:tcPr>
          <w:p w14:paraId="32195743"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IAt=1-(valor gasto semestre actual /gasto semestre año anterior)*100</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Reducción Consumo papel= (consumo semestre año actual / consumo semestre año anterior)*100</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C(IA)=%reducción ejecutado/% reducción programado</w:t>
            </w:r>
          </w:p>
        </w:tc>
        <w:tc>
          <w:tcPr>
            <w:tcW w:w="1912" w:type="pct"/>
            <w:shd w:val="clear" w:color="000000" w:fill="FFFFFF"/>
            <w:vAlign w:val="center"/>
            <w:hideMark/>
          </w:tcPr>
          <w:p w14:paraId="11358254" w14:textId="51530A9B" w:rsidR="00BE0B72" w:rsidRPr="00BE0B72" w:rsidRDefault="002A0EED" w:rsidP="00BE0B72">
            <w:pPr>
              <w:rPr>
                <w:rFonts w:ascii="Arial Narrow" w:eastAsia="Times New Roman" w:hAnsi="Arial Narrow" w:cs="Arial"/>
                <w:color w:val="000000"/>
                <w:sz w:val="20"/>
                <w:szCs w:val="20"/>
                <w:lang w:eastAsia="es-CO"/>
              </w:rPr>
            </w:pPr>
            <w:r>
              <w:rPr>
                <w:rFonts w:ascii="Arial Narrow" w:eastAsia="Times New Roman" w:hAnsi="Arial Narrow" w:cs="Arial"/>
                <w:color w:val="000000"/>
                <w:sz w:val="20"/>
                <w:szCs w:val="20"/>
                <w:lang w:eastAsia="es-CO"/>
              </w:rPr>
              <w:t>En la verificación efectu</w:t>
            </w:r>
            <w:r w:rsidR="00BE0B72" w:rsidRPr="00BE0B72">
              <w:rPr>
                <w:rFonts w:ascii="Arial Narrow" w:eastAsia="Times New Roman" w:hAnsi="Arial Narrow" w:cs="Arial"/>
                <w:color w:val="000000"/>
                <w:sz w:val="20"/>
                <w:szCs w:val="20"/>
                <w:lang w:eastAsia="es-CO"/>
              </w:rPr>
              <w:t xml:space="preserve">ada se observó que éste seguimiento se </w:t>
            </w:r>
            <w:r w:rsidRPr="00BE0B72">
              <w:rPr>
                <w:rFonts w:ascii="Arial Narrow" w:eastAsia="Times New Roman" w:hAnsi="Arial Narrow" w:cs="Arial"/>
                <w:color w:val="000000"/>
                <w:sz w:val="20"/>
                <w:szCs w:val="20"/>
                <w:lang w:eastAsia="es-CO"/>
              </w:rPr>
              <w:t>está</w:t>
            </w:r>
            <w:r w:rsidR="00BE0B72" w:rsidRPr="00BE0B72">
              <w:rPr>
                <w:rFonts w:ascii="Arial Narrow" w:eastAsia="Times New Roman" w:hAnsi="Arial Narrow" w:cs="Arial"/>
                <w:color w:val="000000"/>
                <w:sz w:val="20"/>
                <w:szCs w:val="20"/>
                <w:lang w:eastAsia="es-CO"/>
              </w:rPr>
              <w:t xml:space="preserve"> realizando por la Oficina Asesora de Planeación desde el 2021, razón por la cual no se observó línea base del 2020, por lo anterior se realiza comparación con el 1, 2 y 3er. Trimestre 2021, concluyendo que durante el primer semestre de 2021 se generaron en total para todas las sedes 62.182 impresiones y fotocopias y para el segundo semestre de 2021 se redujo la cantidad en un 27,31% equivalente a un consumo de 45.198 impresiones y fotocopias.</w:t>
            </w:r>
          </w:p>
        </w:tc>
      </w:tr>
      <w:tr w:rsidR="00BE0B72" w:rsidRPr="00BE0B72" w14:paraId="796B96D6" w14:textId="77777777" w:rsidTr="00BE0B72">
        <w:trPr>
          <w:trHeight w:val="70"/>
        </w:trPr>
        <w:tc>
          <w:tcPr>
            <w:tcW w:w="182" w:type="pct"/>
            <w:shd w:val="clear" w:color="000000" w:fill="FFFFFF"/>
            <w:vAlign w:val="center"/>
            <w:hideMark/>
          </w:tcPr>
          <w:p w14:paraId="3899BD66"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4</w:t>
            </w:r>
          </w:p>
        </w:tc>
        <w:tc>
          <w:tcPr>
            <w:tcW w:w="965" w:type="pct"/>
            <w:shd w:val="clear" w:color="000000" w:fill="FFFFFF"/>
            <w:vAlign w:val="center"/>
            <w:hideMark/>
          </w:tcPr>
          <w:p w14:paraId="7D03D003" w14:textId="77777777" w:rsidR="00BE0B72" w:rsidRPr="00BE0B72" w:rsidRDefault="00BE0B72" w:rsidP="00BE0B72">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Art 27. Servicios público</w:t>
            </w:r>
            <w:r w:rsidRPr="00BE0B72">
              <w:rPr>
                <w:rFonts w:ascii="Arial Narrow" w:eastAsia="Times New Roman" w:hAnsi="Arial Narrow" w:cs="Arial"/>
                <w:color w:val="000000"/>
                <w:sz w:val="20"/>
                <w:szCs w:val="20"/>
                <w:lang w:eastAsia="es-CO"/>
              </w:rPr>
              <w:br/>
              <w:t>Controlar y analizar el consumo de Servicio público de energía eléctrica</w:t>
            </w:r>
          </w:p>
        </w:tc>
        <w:tc>
          <w:tcPr>
            <w:tcW w:w="731" w:type="pct"/>
            <w:shd w:val="clear" w:color="000000" w:fill="FFFFFF"/>
            <w:vAlign w:val="center"/>
            <w:hideMark/>
          </w:tcPr>
          <w:p w14:paraId="164FFAC1"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Informes de seguimiento y análisis de consumo de energía eléctrica. Reducción del 1% de consumo.</w:t>
            </w:r>
          </w:p>
        </w:tc>
        <w:tc>
          <w:tcPr>
            <w:tcW w:w="1209" w:type="pct"/>
            <w:shd w:val="clear" w:color="000000" w:fill="FFFFFF"/>
            <w:vAlign w:val="center"/>
            <w:hideMark/>
          </w:tcPr>
          <w:p w14:paraId="155374BD"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Reducción Consumo energía= (consumo semestre año actual / consumo semestre año anterior)*100</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C(IA)=%reducción ejecutado/% reducción programado</w:t>
            </w:r>
          </w:p>
        </w:tc>
        <w:tc>
          <w:tcPr>
            <w:tcW w:w="1912" w:type="pct"/>
            <w:shd w:val="clear" w:color="000000" w:fill="FFFFFF"/>
            <w:vAlign w:val="center"/>
            <w:hideMark/>
          </w:tcPr>
          <w:p w14:paraId="3DB23A19" w14:textId="77777777" w:rsidR="00BE0B72" w:rsidRPr="00BE0B72" w:rsidRDefault="00BE0B72" w:rsidP="00BE0B72">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 xml:space="preserve">En el seguimiento realizado y en concordancia con los soportes aportados, se evidenció que en el periodo comprendido entre julio - diciembre de 2020, fueron facturados 94892 Kw/h lo que representó un valor de $ 49.117.003 Vs. El mismo periodo de la vigencia 2021 aumentó los Kw/h facturados, toda vez que consumo de energía eléctrica del segundo semestre de 2021 fue de 97388 kW/h lo cual equivale a un aumento en el consumo de 2496 kW/h versus el segundo semestre de 2020, no cumpliendo la meta establecida para el segundo semestre 2021, lo que representó un costo por mayor valor de $ 56.272.747 aproximadamente el 14,5%. </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 xml:space="preserve">Se presenta un incremento en el consumo de energía eléctrica en la Casa Genoveva para los meses de octubre, noviembre y </w:t>
            </w:r>
            <w:r w:rsidRPr="00BE0B72">
              <w:rPr>
                <w:rFonts w:ascii="Arial Narrow" w:eastAsia="Times New Roman" w:hAnsi="Arial Narrow" w:cs="Arial"/>
                <w:color w:val="000000"/>
                <w:sz w:val="20"/>
                <w:szCs w:val="20"/>
                <w:lang w:eastAsia="es-CO"/>
              </w:rPr>
              <w:lastRenderedPageBreak/>
              <w:t>diciembre que exceden el rango de consumo normal de esta sede</w:t>
            </w:r>
          </w:p>
        </w:tc>
      </w:tr>
      <w:tr w:rsidR="00BE0B72" w:rsidRPr="00BE0B72" w14:paraId="125AFEA4" w14:textId="77777777" w:rsidTr="00BE0B72">
        <w:trPr>
          <w:trHeight w:val="2040"/>
        </w:trPr>
        <w:tc>
          <w:tcPr>
            <w:tcW w:w="182" w:type="pct"/>
            <w:shd w:val="clear" w:color="000000" w:fill="FFFFFF"/>
            <w:vAlign w:val="center"/>
            <w:hideMark/>
          </w:tcPr>
          <w:p w14:paraId="2F869411"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lastRenderedPageBreak/>
              <w:t>5</w:t>
            </w:r>
          </w:p>
        </w:tc>
        <w:tc>
          <w:tcPr>
            <w:tcW w:w="965" w:type="pct"/>
            <w:shd w:val="clear" w:color="000000" w:fill="FFFFFF"/>
            <w:vAlign w:val="center"/>
            <w:hideMark/>
          </w:tcPr>
          <w:p w14:paraId="58EB219F" w14:textId="77777777" w:rsidR="00BE0B72" w:rsidRPr="00BE0B72" w:rsidRDefault="00BE0B72" w:rsidP="00BE0B72">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 xml:space="preserve">Art 27. Servicios público </w:t>
            </w:r>
            <w:r w:rsidRPr="00BE0B72">
              <w:rPr>
                <w:rFonts w:ascii="Arial Narrow" w:eastAsia="Times New Roman" w:hAnsi="Arial Narrow" w:cs="Arial"/>
                <w:color w:val="000000"/>
                <w:sz w:val="20"/>
                <w:szCs w:val="20"/>
                <w:lang w:eastAsia="es-CO"/>
              </w:rPr>
              <w:br/>
              <w:t>Controlar y analizar el consumo de Servicio público de acueducto</w:t>
            </w:r>
          </w:p>
        </w:tc>
        <w:tc>
          <w:tcPr>
            <w:tcW w:w="731" w:type="pct"/>
            <w:shd w:val="clear" w:color="000000" w:fill="FFFFFF"/>
            <w:vAlign w:val="center"/>
            <w:hideMark/>
          </w:tcPr>
          <w:p w14:paraId="4F75BB9C"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Informes de seguimiento y análisis de consumo de acueducto. Reducción del 1% de consumo.</w:t>
            </w:r>
          </w:p>
        </w:tc>
        <w:tc>
          <w:tcPr>
            <w:tcW w:w="1209" w:type="pct"/>
            <w:shd w:val="clear" w:color="000000" w:fill="FFFFFF"/>
            <w:vAlign w:val="center"/>
            <w:hideMark/>
          </w:tcPr>
          <w:p w14:paraId="72AB2A42"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Reducción Consumo acueducto= (consumo semestre año actual / consumo semestre año anterior)*100</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C(IA)=%reducción ejecutado/% reducción programado</w:t>
            </w:r>
          </w:p>
        </w:tc>
        <w:tc>
          <w:tcPr>
            <w:tcW w:w="1912" w:type="pct"/>
            <w:shd w:val="clear" w:color="000000" w:fill="FFFFFF"/>
            <w:vAlign w:val="center"/>
            <w:hideMark/>
          </w:tcPr>
          <w:p w14:paraId="2B8116F8" w14:textId="77777777" w:rsidR="00BE0B72" w:rsidRPr="00BE0B72" w:rsidRDefault="00BE0B72" w:rsidP="00BE0B72">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En la verificación realizada y en concordancia con los documentos soportes aportados se evidenció que durante la vigencia 2021 se presentó una disminución en los M3 que fueron facturados toda vez que en 2020, se facturaron 3169 por un valor de $ 18.405.540 y en 2021 - 2636 por valor de $ 17.040.301 lo que representa una disminución aproximada del 7,4%</w:t>
            </w:r>
          </w:p>
        </w:tc>
      </w:tr>
      <w:tr w:rsidR="00BE0B72" w:rsidRPr="00BE0B72" w14:paraId="35E261CA" w14:textId="77777777" w:rsidTr="00BE0B72">
        <w:trPr>
          <w:trHeight w:val="3060"/>
        </w:trPr>
        <w:tc>
          <w:tcPr>
            <w:tcW w:w="182" w:type="pct"/>
            <w:shd w:val="clear" w:color="000000" w:fill="FFFFFF"/>
            <w:vAlign w:val="center"/>
            <w:hideMark/>
          </w:tcPr>
          <w:p w14:paraId="47E78530"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6</w:t>
            </w:r>
          </w:p>
        </w:tc>
        <w:tc>
          <w:tcPr>
            <w:tcW w:w="965" w:type="pct"/>
            <w:shd w:val="clear" w:color="000000" w:fill="FFFFFF"/>
            <w:vAlign w:val="center"/>
            <w:hideMark/>
          </w:tcPr>
          <w:p w14:paraId="17ED5157" w14:textId="77777777" w:rsidR="00BE0B72" w:rsidRPr="00BE0B72" w:rsidRDefault="00BE0B72" w:rsidP="00BE0B72">
            <w:pP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Art. 19 Condiciones para contratar elementos de consumo</w:t>
            </w:r>
            <w:r w:rsidRPr="00BE0B72">
              <w:rPr>
                <w:rFonts w:ascii="Arial Narrow" w:eastAsia="Times New Roman" w:hAnsi="Arial Narrow" w:cs="Arial"/>
                <w:color w:val="000000"/>
                <w:sz w:val="20"/>
                <w:szCs w:val="20"/>
                <w:lang w:eastAsia="es-CO"/>
              </w:rPr>
              <w:br/>
              <w:t>Entrega de papel por oferta en la subdirección de gestión corporativa</w:t>
            </w:r>
          </w:p>
        </w:tc>
        <w:tc>
          <w:tcPr>
            <w:tcW w:w="731" w:type="pct"/>
            <w:shd w:val="clear" w:color="000000" w:fill="FFFFFF"/>
            <w:vAlign w:val="center"/>
            <w:hideMark/>
          </w:tcPr>
          <w:p w14:paraId="0656345A"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Análisis de gasto- Disminución en el gasto y consumo del 5%</w:t>
            </w:r>
          </w:p>
        </w:tc>
        <w:tc>
          <w:tcPr>
            <w:tcW w:w="1209" w:type="pct"/>
            <w:shd w:val="clear" w:color="000000" w:fill="FFFFFF"/>
            <w:vAlign w:val="center"/>
            <w:hideMark/>
          </w:tcPr>
          <w:p w14:paraId="34230796" w14:textId="77777777" w:rsidR="00BE0B72" w:rsidRPr="00BE0B72" w:rsidRDefault="00BE0B72" w:rsidP="00BE0B72">
            <w:pPr>
              <w:jc w:val="center"/>
              <w:rPr>
                <w:rFonts w:ascii="Arial Narrow" w:eastAsia="Times New Roman" w:hAnsi="Arial Narrow" w:cs="Arial"/>
                <w:color w:val="000000"/>
                <w:sz w:val="20"/>
                <w:szCs w:val="20"/>
                <w:lang w:eastAsia="es-CO"/>
              </w:rPr>
            </w:pPr>
            <w:r w:rsidRPr="00BE0B72">
              <w:rPr>
                <w:rFonts w:ascii="Arial Narrow" w:eastAsia="Times New Roman" w:hAnsi="Arial Narrow" w:cs="Arial"/>
                <w:color w:val="000000"/>
                <w:sz w:val="20"/>
                <w:szCs w:val="20"/>
                <w:lang w:eastAsia="es-CO"/>
              </w:rPr>
              <w:t>IAt=1-(valor gasto semestre actual /gasto semestre año anterior)*100</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Reducción Consumo papel= (consumo semestre año actual / consumo semestre año anterior)*100</w:t>
            </w:r>
            <w:r w:rsidRPr="00BE0B72">
              <w:rPr>
                <w:rFonts w:ascii="Arial Narrow" w:eastAsia="Times New Roman" w:hAnsi="Arial Narrow" w:cs="Arial"/>
                <w:color w:val="000000"/>
                <w:sz w:val="20"/>
                <w:szCs w:val="20"/>
                <w:lang w:eastAsia="es-CO"/>
              </w:rPr>
              <w:br/>
            </w:r>
            <w:r w:rsidRPr="00BE0B72">
              <w:rPr>
                <w:rFonts w:ascii="Arial Narrow" w:eastAsia="Times New Roman" w:hAnsi="Arial Narrow" w:cs="Arial"/>
                <w:color w:val="000000"/>
                <w:sz w:val="20"/>
                <w:szCs w:val="20"/>
                <w:lang w:eastAsia="es-CO"/>
              </w:rPr>
              <w:br/>
              <w:t>C(IA)=%reducción ejecutado/% reducción programado</w:t>
            </w:r>
          </w:p>
        </w:tc>
        <w:tc>
          <w:tcPr>
            <w:tcW w:w="1912" w:type="pct"/>
            <w:shd w:val="clear" w:color="000000" w:fill="FFFFFF"/>
            <w:vAlign w:val="center"/>
            <w:hideMark/>
          </w:tcPr>
          <w:p w14:paraId="3EE6C362" w14:textId="546E64B1" w:rsidR="00BE0B72" w:rsidRPr="00BE0B72" w:rsidRDefault="003E5E1F" w:rsidP="00BE0B72">
            <w:pPr>
              <w:rPr>
                <w:rFonts w:ascii="Arial Narrow" w:eastAsia="Times New Roman" w:hAnsi="Arial Narrow" w:cs="Arial"/>
                <w:color w:val="000000"/>
                <w:sz w:val="20"/>
                <w:szCs w:val="20"/>
                <w:lang w:eastAsia="es-CO"/>
              </w:rPr>
            </w:pPr>
            <w:r w:rsidRPr="003E5E1F">
              <w:rPr>
                <w:rFonts w:ascii="Arial Narrow" w:eastAsia="Times New Roman" w:hAnsi="Arial Narrow" w:cs="Arial"/>
                <w:color w:val="000000"/>
                <w:sz w:val="20"/>
                <w:szCs w:val="20"/>
                <w:lang w:eastAsia="es-CO"/>
              </w:rPr>
              <w:t>Durante el segundo semestre se registró un consumo de 145 resmas de papel, frente a 137 de la vigencia anterior, lo cual representa un incremento.</w:t>
            </w:r>
          </w:p>
        </w:tc>
      </w:tr>
    </w:tbl>
    <w:p w14:paraId="7DCD1FF4" w14:textId="77777777" w:rsidR="008D1378" w:rsidRDefault="008D1378" w:rsidP="008D1378">
      <w:pPr>
        <w:jc w:val="both"/>
        <w:rPr>
          <w:rFonts w:cs="Arial"/>
        </w:rPr>
      </w:pPr>
    </w:p>
    <w:p w14:paraId="4E0AC906" w14:textId="679327B7" w:rsidR="00BE0B72" w:rsidRDefault="002A0EED" w:rsidP="008D1378">
      <w:pPr>
        <w:jc w:val="both"/>
        <w:rPr>
          <w:rFonts w:cs="Arial"/>
        </w:rPr>
      </w:pPr>
      <w:r>
        <w:rPr>
          <w:rFonts w:cs="Arial"/>
        </w:rPr>
        <w:t>Del cuadro anterior se puede concluir que, de las 6 actividades inclu</w:t>
      </w:r>
      <w:r w:rsidR="003E5E1F">
        <w:rPr>
          <w:rFonts w:cs="Arial"/>
        </w:rPr>
        <w:t>idas en el plan de austeridad, 3</w:t>
      </w:r>
      <w:r>
        <w:rPr>
          <w:rFonts w:cs="Arial"/>
        </w:rPr>
        <w:t xml:space="preserve"> de ellas cumplieron el pro</w:t>
      </w:r>
      <w:r w:rsidR="003E5E1F">
        <w:rPr>
          <w:rFonts w:cs="Arial"/>
        </w:rPr>
        <w:t>ducto programado, sin embargo, 3</w:t>
      </w:r>
      <w:r>
        <w:rPr>
          <w:rFonts w:cs="Arial"/>
        </w:rPr>
        <w:t xml:space="preserve"> de ellas generaron aumentos y no reducciones en el consumo.</w:t>
      </w:r>
    </w:p>
    <w:p w14:paraId="139F9F29" w14:textId="77777777" w:rsidR="002A0EED" w:rsidRDefault="002A0EED" w:rsidP="008D1378">
      <w:pPr>
        <w:jc w:val="both"/>
        <w:rPr>
          <w:rFonts w:cs="Arial"/>
        </w:rPr>
      </w:pPr>
    </w:p>
    <w:p w14:paraId="20A30733" w14:textId="77777777" w:rsidR="002A0EED" w:rsidRPr="00AF1239" w:rsidRDefault="002A0EED" w:rsidP="008D1378">
      <w:pPr>
        <w:jc w:val="both"/>
        <w:rPr>
          <w:rFonts w:cs="Arial"/>
        </w:rPr>
      </w:pPr>
    </w:p>
    <w:p w14:paraId="414FC682" w14:textId="77777777" w:rsidR="008D1378" w:rsidRPr="00AF1239" w:rsidRDefault="008D1378" w:rsidP="00AA2B29">
      <w:pPr>
        <w:pStyle w:val="Prrafodelista"/>
        <w:numPr>
          <w:ilvl w:val="1"/>
          <w:numId w:val="5"/>
        </w:numPr>
        <w:jc w:val="both"/>
        <w:rPr>
          <w:rFonts w:cs="Arial"/>
          <w:b/>
        </w:rPr>
      </w:pPr>
      <w:r w:rsidRPr="00AF1239">
        <w:rPr>
          <w:rFonts w:cs="Arial"/>
          <w:b/>
        </w:rPr>
        <w:t>VERIFICACIÓN CUMPLIMIENTO DECRETO 492 DE 2019</w:t>
      </w:r>
    </w:p>
    <w:p w14:paraId="2C7F2E3D" w14:textId="77777777" w:rsidR="008D1378" w:rsidRDefault="008D1378" w:rsidP="008D1378">
      <w:pPr>
        <w:jc w:val="both"/>
        <w:rPr>
          <w:rFonts w:cs="Arial"/>
        </w:rPr>
      </w:pPr>
    </w:p>
    <w:p w14:paraId="7D7C32D7" w14:textId="2A6FFF80" w:rsidR="008D1378" w:rsidRPr="000D5F46" w:rsidRDefault="00AF1239" w:rsidP="008D1378">
      <w:pPr>
        <w:jc w:val="both"/>
        <w:rPr>
          <w:rFonts w:cs="Arial"/>
        </w:rPr>
      </w:pPr>
      <w:r>
        <w:rPr>
          <w:rFonts w:cs="Arial"/>
        </w:rPr>
        <w:t>Para esta parte del</w:t>
      </w:r>
      <w:r w:rsidR="00767423">
        <w:rPr>
          <w:rFonts w:cs="Arial"/>
        </w:rPr>
        <w:t xml:space="preserve"> seguimiento se </w:t>
      </w:r>
      <w:r>
        <w:rPr>
          <w:rFonts w:cs="Arial"/>
        </w:rPr>
        <w:t>verificaron todos los artículos</w:t>
      </w:r>
      <w:r w:rsidR="00767423">
        <w:rPr>
          <w:rFonts w:cs="Arial"/>
        </w:rPr>
        <w:t xml:space="preserve"> </w:t>
      </w:r>
      <w:r>
        <w:rPr>
          <w:rFonts w:cs="Arial"/>
        </w:rPr>
        <w:t>d</w:t>
      </w:r>
      <w:r w:rsidR="00767423">
        <w:rPr>
          <w:rFonts w:cs="Arial"/>
        </w:rPr>
        <w:t>el Decreto 492 de 2019</w:t>
      </w:r>
      <w:r w:rsidR="003471B2">
        <w:rPr>
          <w:rFonts w:cs="Arial"/>
        </w:rPr>
        <w:t xml:space="preserve">, </w:t>
      </w:r>
      <w:r w:rsidR="00934560">
        <w:rPr>
          <w:rFonts w:cs="Arial"/>
        </w:rPr>
        <w:t>evidenciando de los 75</w:t>
      </w:r>
      <w:r w:rsidR="008D1378">
        <w:rPr>
          <w:rFonts w:cs="Arial"/>
        </w:rPr>
        <w:t xml:space="preserve"> requisitos </w:t>
      </w:r>
      <w:r w:rsidR="00934560">
        <w:rPr>
          <w:rFonts w:cs="Arial"/>
        </w:rPr>
        <w:t>que aplican para la entidad en el período evaluado</w:t>
      </w:r>
      <w:r w:rsidR="008D1378" w:rsidRPr="000D5F46">
        <w:rPr>
          <w:rFonts w:cs="Arial"/>
        </w:rPr>
        <w:t>:</w:t>
      </w:r>
    </w:p>
    <w:p w14:paraId="20B75E6A" w14:textId="77777777" w:rsidR="008D1378" w:rsidRPr="000D5F46" w:rsidRDefault="008D1378" w:rsidP="008D1378">
      <w:pPr>
        <w:jc w:val="both"/>
        <w:rPr>
          <w:rFonts w:cs="Arial"/>
        </w:rPr>
      </w:pPr>
    </w:p>
    <w:tbl>
      <w:tblPr>
        <w:tblW w:w="4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12"/>
        <w:gridCol w:w="880"/>
        <w:gridCol w:w="880"/>
        <w:gridCol w:w="900"/>
        <w:gridCol w:w="900"/>
      </w:tblGrid>
      <w:tr w:rsidR="008D1378" w:rsidRPr="000D5F46" w14:paraId="05E13C61" w14:textId="1DBDFFA5" w:rsidTr="008D1378">
        <w:trPr>
          <w:trHeight w:val="285"/>
          <w:jc w:val="center"/>
        </w:trPr>
        <w:tc>
          <w:tcPr>
            <w:tcW w:w="1212" w:type="dxa"/>
            <w:shd w:val="clear" w:color="auto" w:fill="auto"/>
            <w:noWrap/>
            <w:vAlign w:val="center"/>
            <w:hideMark/>
          </w:tcPr>
          <w:p w14:paraId="35ADC92C" w14:textId="77777777" w:rsidR="008D1378" w:rsidRPr="000D5F46" w:rsidRDefault="008D1378" w:rsidP="00C65777">
            <w:pPr>
              <w:rPr>
                <w:rFonts w:eastAsia="Times New Roman" w:cs="Arial"/>
                <w:szCs w:val="22"/>
                <w:lang w:eastAsia="es-CO"/>
              </w:rPr>
            </w:pPr>
            <w:r w:rsidRPr="000D5F46">
              <w:rPr>
                <w:rFonts w:eastAsia="Times New Roman" w:cs="Arial"/>
                <w:szCs w:val="22"/>
                <w:lang w:eastAsia="es-CO"/>
              </w:rPr>
              <w:t> </w:t>
            </w:r>
          </w:p>
        </w:tc>
        <w:tc>
          <w:tcPr>
            <w:tcW w:w="880" w:type="dxa"/>
            <w:shd w:val="clear" w:color="auto" w:fill="CCFF99"/>
            <w:vAlign w:val="center"/>
            <w:hideMark/>
          </w:tcPr>
          <w:p w14:paraId="670B6D75" w14:textId="77777777" w:rsidR="008D1378" w:rsidRPr="000D5F46" w:rsidRDefault="008D1378" w:rsidP="00C65777">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CUMPLE</w:t>
            </w:r>
          </w:p>
        </w:tc>
        <w:tc>
          <w:tcPr>
            <w:tcW w:w="880" w:type="dxa"/>
            <w:shd w:val="clear" w:color="auto" w:fill="FF66CC"/>
            <w:vAlign w:val="center"/>
            <w:hideMark/>
          </w:tcPr>
          <w:p w14:paraId="3C72FE7E" w14:textId="77777777" w:rsidR="008D1378" w:rsidRPr="000D5F46" w:rsidRDefault="008D1378" w:rsidP="00C65777">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NO CUMPLE</w:t>
            </w:r>
          </w:p>
        </w:tc>
        <w:tc>
          <w:tcPr>
            <w:tcW w:w="900" w:type="dxa"/>
            <w:shd w:val="clear" w:color="auto" w:fill="FFFF99"/>
            <w:vAlign w:val="center"/>
            <w:hideMark/>
          </w:tcPr>
          <w:p w14:paraId="2299EB36" w14:textId="77777777" w:rsidR="008D1378" w:rsidRPr="000D5F46" w:rsidRDefault="008D1378" w:rsidP="00C65777">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PARCIAL</w:t>
            </w:r>
          </w:p>
        </w:tc>
        <w:tc>
          <w:tcPr>
            <w:tcW w:w="900" w:type="dxa"/>
            <w:shd w:val="clear" w:color="auto" w:fill="F2F2F2" w:themeFill="background1" w:themeFillShade="F2"/>
            <w:vAlign w:val="center"/>
          </w:tcPr>
          <w:p w14:paraId="1D05203B" w14:textId="4BA84A2F" w:rsidR="008D1378" w:rsidRPr="000D5F46" w:rsidRDefault="008D1378" w:rsidP="00C65777">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N/A</w:t>
            </w:r>
          </w:p>
        </w:tc>
      </w:tr>
      <w:tr w:rsidR="008D1378" w:rsidRPr="000D5F46" w14:paraId="5F815265" w14:textId="68B22F41" w:rsidTr="008D1378">
        <w:trPr>
          <w:trHeight w:val="285"/>
          <w:jc w:val="center"/>
        </w:trPr>
        <w:tc>
          <w:tcPr>
            <w:tcW w:w="1212" w:type="dxa"/>
            <w:shd w:val="clear" w:color="auto" w:fill="auto"/>
            <w:vAlign w:val="center"/>
            <w:hideMark/>
          </w:tcPr>
          <w:p w14:paraId="2CD60CD6" w14:textId="77777777" w:rsidR="008D1378" w:rsidRPr="000D5F46" w:rsidRDefault="008D1378" w:rsidP="00C65777">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Cantidad</w:t>
            </w:r>
          </w:p>
        </w:tc>
        <w:tc>
          <w:tcPr>
            <w:tcW w:w="880" w:type="dxa"/>
            <w:shd w:val="clear" w:color="auto" w:fill="CCFF99"/>
            <w:vAlign w:val="center"/>
            <w:hideMark/>
          </w:tcPr>
          <w:p w14:paraId="2AB73F0A" w14:textId="3775B9C9" w:rsidR="008D1378" w:rsidRPr="000D5F46" w:rsidRDefault="00934560" w:rsidP="00C65777">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72</w:t>
            </w:r>
          </w:p>
        </w:tc>
        <w:tc>
          <w:tcPr>
            <w:tcW w:w="880" w:type="dxa"/>
            <w:shd w:val="clear" w:color="auto" w:fill="FF66CC"/>
            <w:vAlign w:val="center"/>
            <w:hideMark/>
          </w:tcPr>
          <w:p w14:paraId="52FA3F8B" w14:textId="3A652ED5" w:rsidR="008D1378" w:rsidRPr="000D5F46" w:rsidRDefault="00934560" w:rsidP="00C65777">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3</w:t>
            </w:r>
          </w:p>
        </w:tc>
        <w:tc>
          <w:tcPr>
            <w:tcW w:w="900" w:type="dxa"/>
            <w:shd w:val="clear" w:color="auto" w:fill="FFFF99"/>
            <w:vAlign w:val="center"/>
            <w:hideMark/>
          </w:tcPr>
          <w:p w14:paraId="65649A53" w14:textId="56C280E9" w:rsidR="008D1378" w:rsidRPr="000D5F46" w:rsidRDefault="00934560" w:rsidP="00C65777">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0</w:t>
            </w:r>
          </w:p>
        </w:tc>
        <w:tc>
          <w:tcPr>
            <w:tcW w:w="900" w:type="dxa"/>
            <w:shd w:val="clear" w:color="auto" w:fill="F2F2F2" w:themeFill="background1" w:themeFillShade="F2"/>
            <w:vAlign w:val="center"/>
          </w:tcPr>
          <w:p w14:paraId="16CBB6D1" w14:textId="4D2F1388" w:rsidR="008D1378" w:rsidRPr="000D5F46" w:rsidRDefault="00934560" w:rsidP="00C65777">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17</w:t>
            </w:r>
          </w:p>
        </w:tc>
      </w:tr>
      <w:tr w:rsidR="008D1378" w:rsidRPr="000538B9" w14:paraId="04232C2F" w14:textId="2031407A" w:rsidTr="008D1378">
        <w:trPr>
          <w:trHeight w:val="285"/>
          <w:jc w:val="center"/>
        </w:trPr>
        <w:tc>
          <w:tcPr>
            <w:tcW w:w="1212" w:type="dxa"/>
            <w:shd w:val="clear" w:color="auto" w:fill="auto"/>
            <w:vAlign w:val="center"/>
            <w:hideMark/>
          </w:tcPr>
          <w:p w14:paraId="7F42CA46" w14:textId="77777777" w:rsidR="008D1378" w:rsidRPr="000D5F46" w:rsidRDefault="008D1378" w:rsidP="00C65777">
            <w:pPr>
              <w:jc w:val="center"/>
              <w:rPr>
                <w:rFonts w:ascii="Arial Narrow" w:eastAsia="Times New Roman" w:hAnsi="Arial Narrow" w:cs="Arial"/>
                <w:b/>
                <w:bCs/>
                <w:color w:val="000000"/>
                <w:sz w:val="18"/>
                <w:szCs w:val="18"/>
                <w:lang w:eastAsia="es-CO"/>
              </w:rPr>
            </w:pPr>
            <w:r w:rsidRPr="000D5F46">
              <w:rPr>
                <w:rFonts w:ascii="Arial Narrow" w:eastAsia="Times New Roman" w:hAnsi="Arial Narrow" w:cs="Arial"/>
                <w:b/>
                <w:bCs/>
                <w:color w:val="000000"/>
                <w:sz w:val="18"/>
                <w:szCs w:val="18"/>
                <w:lang w:eastAsia="es-CO"/>
              </w:rPr>
              <w:t>Porcentaje</w:t>
            </w:r>
          </w:p>
        </w:tc>
        <w:tc>
          <w:tcPr>
            <w:tcW w:w="880" w:type="dxa"/>
            <w:shd w:val="clear" w:color="auto" w:fill="CCFF99"/>
            <w:vAlign w:val="center"/>
            <w:hideMark/>
          </w:tcPr>
          <w:p w14:paraId="4056DA9D" w14:textId="7786CCA3" w:rsidR="008D1378" w:rsidRPr="000D5F46" w:rsidRDefault="00934560" w:rsidP="00C65777">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96</w:t>
            </w:r>
            <w:r w:rsidR="008D1378" w:rsidRPr="000D5F46">
              <w:rPr>
                <w:rFonts w:ascii="Arial Narrow" w:eastAsia="Times New Roman" w:hAnsi="Arial Narrow" w:cs="Arial"/>
                <w:b/>
                <w:bCs/>
                <w:color w:val="000000"/>
                <w:sz w:val="18"/>
                <w:szCs w:val="18"/>
                <w:lang w:eastAsia="es-CO"/>
              </w:rPr>
              <w:t>%</w:t>
            </w:r>
          </w:p>
        </w:tc>
        <w:tc>
          <w:tcPr>
            <w:tcW w:w="880" w:type="dxa"/>
            <w:shd w:val="clear" w:color="auto" w:fill="FF66CC"/>
            <w:vAlign w:val="center"/>
            <w:hideMark/>
          </w:tcPr>
          <w:p w14:paraId="5F0D8430" w14:textId="18BA0F96" w:rsidR="008D1378" w:rsidRPr="000D5F46" w:rsidRDefault="00934560" w:rsidP="00C65777">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4</w:t>
            </w:r>
            <w:r w:rsidR="008D1378" w:rsidRPr="000D5F46">
              <w:rPr>
                <w:rFonts w:ascii="Arial Narrow" w:eastAsia="Times New Roman" w:hAnsi="Arial Narrow" w:cs="Arial"/>
                <w:b/>
                <w:bCs/>
                <w:color w:val="000000"/>
                <w:sz w:val="18"/>
                <w:szCs w:val="18"/>
                <w:lang w:eastAsia="es-CO"/>
              </w:rPr>
              <w:t>%</w:t>
            </w:r>
          </w:p>
        </w:tc>
        <w:tc>
          <w:tcPr>
            <w:tcW w:w="900" w:type="dxa"/>
            <w:shd w:val="clear" w:color="auto" w:fill="FFFF99"/>
            <w:vAlign w:val="center"/>
            <w:hideMark/>
          </w:tcPr>
          <w:p w14:paraId="24950666" w14:textId="338CED91" w:rsidR="008D1378" w:rsidRPr="00203E64" w:rsidRDefault="00934560" w:rsidP="00C65777">
            <w:pPr>
              <w:jc w:val="center"/>
              <w:rPr>
                <w:rFonts w:ascii="Arial Narrow" w:eastAsia="Times New Roman" w:hAnsi="Arial Narrow" w:cs="Arial"/>
                <w:b/>
                <w:bCs/>
                <w:color w:val="000000"/>
                <w:sz w:val="18"/>
                <w:szCs w:val="18"/>
                <w:lang w:eastAsia="es-CO"/>
              </w:rPr>
            </w:pPr>
            <w:r>
              <w:rPr>
                <w:rFonts w:ascii="Arial Narrow" w:eastAsia="Times New Roman" w:hAnsi="Arial Narrow" w:cs="Arial"/>
                <w:b/>
                <w:bCs/>
                <w:color w:val="000000"/>
                <w:sz w:val="18"/>
                <w:szCs w:val="18"/>
                <w:lang w:eastAsia="es-CO"/>
              </w:rPr>
              <w:t>0</w:t>
            </w:r>
            <w:r w:rsidR="008D1378" w:rsidRPr="000D5F46">
              <w:rPr>
                <w:rFonts w:ascii="Arial Narrow" w:eastAsia="Times New Roman" w:hAnsi="Arial Narrow" w:cs="Arial"/>
                <w:b/>
                <w:bCs/>
                <w:color w:val="000000"/>
                <w:sz w:val="18"/>
                <w:szCs w:val="18"/>
                <w:lang w:eastAsia="es-CO"/>
              </w:rPr>
              <w:t>%</w:t>
            </w:r>
          </w:p>
        </w:tc>
        <w:tc>
          <w:tcPr>
            <w:tcW w:w="900" w:type="dxa"/>
            <w:shd w:val="clear" w:color="auto" w:fill="F2F2F2" w:themeFill="background1" w:themeFillShade="F2"/>
            <w:vAlign w:val="center"/>
          </w:tcPr>
          <w:p w14:paraId="1C8345EA" w14:textId="4B2A00D5" w:rsidR="008D1378" w:rsidRPr="000D5F46" w:rsidRDefault="008D1378" w:rsidP="00C65777">
            <w:pPr>
              <w:jc w:val="center"/>
              <w:rPr>
                <w:rFonts w:ascii="Arial Narrow" w:eastAsia="Times New Roman" w:hAnsi="Arial Narrow" w:cs="Arial"/>
                <w:b/>
                <w:bCs/>
                <w:color w:val="000000"/>
                <w:sz w:val="18"/>
                <w:szCs w:val="18"/>
                <w:lang w:eastAsia="es-CO"/>
              </w:rPr>
            </w:pPr>
          </w:p>
        </w:tc>
      </w:tr>
    </w:tbl>
    <w:p w14:paraId="178A889E" w14:textId="77777777" w:rsidR="008F6545" w:rsidRDefault="008F6545" w:rsidP="008F6545">
      <w:pPr>
        <w:jc w:val="both"/>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7"/>
        <w:gridCol w:w="4658"/>
        <w:gridCol w:w="676"/>
        <w:gridCol w:w="682"/>
        <w:gridCol w:w="798"/>
        <w:gridCol w:w="667"/>
      </w:tblGrid>
      <w:tr w:rsidR="008D1378" w:rsidRPr="008D1378" w14:paraId="5B867F5F" w14:textId="77777777" w:rsidTr="00FA5D80">
        <w:trPr>
          <w:trHeight w:val="285"/>
          <w:tblHeader/>
        </w:trPr>
        <w:tc>
          <w:tcPr>
            <w:tcW w:w="763" w:type="pct"/>
            <w:vMerge w:val="restart"/>
            <w:shd w:val="clear" w:color="F2F2F2" w:fill="F2F2F2"/>
            <w:vAlign w:val="center"/>
            <w:hideMark/>
          </w:tcPr>
          <w:p w14:paraId="5AAAFD3C" w14:textId="77777777" w:rsidR="008D1378" w:rsidRPr="008D1378" w:rsidRDefault="008D1378" w:rsidP="008D1378">
            <w:pPr>
              <w:jc w:val="center"/>
              <w:rPr>
                <w:rFonts w:ascii="Arial Narrow" w:eastAsia="Times New Roman" w:hAnsi="Arial Narrow" w:cs="Arial"/>
                <w:b/>
                <w:bCs/>
                <w:color w:val="000000"/>
                <w:sz w:val="18"/>
                <w:szCs w:val="18"/>
                <w:lang w:val="es-MX" w:eastAsia="es-MX"/>
              </w:rPr>
            </w:pPr>
            <w:r w:rsidRPr="008D1378">
              <w:rPr>
                <w:rFonts w:ascii="Arial Narrow" w:eastAsia="Times New Roman" w:hAnsi="Arial Narrow" w:cs="Arial"/>
                <w:b/>
                <w:bCs/>
                <w:color w:val="000000"/>
                <w:sz w:val="18"/>
                <w:szCs w:val="18"/>
                <w:lang w:val="es-MX" w:eastAsia="es-MX"/>
              </w:rPr>
              <w:t>CRITERIO</w:t>
            </w:r>
          </w:p>
        </w:tc>
        <w:tc>
          <w:tcPr>
            <w:tcW w:w="2638" w:type="pct"/>
            <w:vMerge w:val="restart"/>
            <w:shd w:val="clear" w:color="F2F2F2" w:fill="F2F2F2"/>
            <w:vAlign w:val="center"/>
            <w:hideMark/>
          </w:tcPr>
          <w:p w14:paraId="6CC1DB75" w14:textId="77777777" w:rsidR="008D1378" w:rsidRPr="008D1378" w:rsidRDefault="008D1378" w:rsidP="008D1378">
            <w:pPr>
              <w:jc w:val="center"/>
              <w:rPr>
                <w:rFonts w:ascii="Arial Narrow" w:eastAsia="Times New Roman" w:hAnsi="Arial Narrow" w:cs="Arial"/>
                <w:b/>
                <w:bCs/>
                <w:color w:val="000000"/>
                <w:sz w:val="18"/>
                <w:szCs w:val="18"/>
                <w:lang w:val="es-MX" w:eastAsia="es-MX"/>
              </w:rPr>
            </w:pPr>
            <w:r w:rsidRPr="008D1378">
              <w:rPr>
                <w:rFonts w:ascii="Arial Narrow" w:eastAsia="Times New Roman" w:hAnsi="Arial Narrow" w:cs="Arial"/>
                <w:b/>
                <w:bCs/>
                <w:color w:val="000000"/>
                <w:sz w:val="18"/>
                <w:szCs w:val="18"/>
                <w:lang w:val="es-MX" w:eastAsia="es-MX"/>
              </w:rPr>
              <w:t>LINEAMIENTO</w:t>
            </w:r>
          </w:p>
        </w:tc>
        <w:tc>
          <w:tcPr>
            <w:tcW w:w="1221" w:type="pct"/>
            <w:gridSpan w:val="3"/>
            <w:shd w:val="clear" w:color="F2F2F2" w:fill="F2F2F2"/>
            <w:vAlign w:val="center"/>
            <w:hideMark/>
          </w:tcPr>
          <w:p w14:paraId="640D1096" w14:textId="77777777" w:rsidR="008D1378" w:rsidRPr="008D1378" w:rsidRDefault="008D1378" w:rsidP="008D1378">
            <w:pPr>
              <w:jc w:val="center"/>
              <w:rPr>
                <w:rFonts w:ascii="Arial Narrow" w:eastAsia="Times New Roman" w:hAnsi="Arial Narrow" w:cs="Arial"/>
                <w:b/>
                <w:bCs/>
                <w:color w:val="000000"/>
                <w:sz w:val="18"/>
                <w:szCs w:val="18"/>
                <w:lang w:val="es-MX" w:eastAsia="es-MX"/>
              </w:rPr>
            </w:pPr>
            <w:r w:rsidRPr="008D1378">
              <w:rPr>
                <w:rFonts w:ascii="Arial Narrow" w:eastAsia="Times New Roman" w:hAnsi="Arial Narrow" w:cs="Arial"/>
                <w:b/>
                <w:bCs/>
                <w:color w:val="000000"/>
                <w:sz w:val="18"/>
                <w:szCs w:val="18"/>
                <w:lang w:val="es-MX" w:eastAsia="es-MX"/>
              </w:rPr>
              <w:t>CUMPLIMIENTO</w:t>
            </w:r>
          </w:p>
        </w:tc>
        <w:tc>
          <w:tcPr>
            <w:tcW w:w="378" w:type="pct"/>
            <w:vMerge w:val="restart"/>
            <w:shd w:val="clear" w:color="F2F2F2" w:fill="F2F2F2"/>
            <w:vAlign w:val="center"/>
            <w:hideMark/>
          </w:tcPr>
          <w:p w14:paraId="644238B6" w14:textId="77777777" w:rsidR="008D1378" w:rsidRPr="008D1378" w:rsidRDefault="008D1378" w:rsidP="008D1378">
            <w:pPr>
              <w:jc w:val="center"/>
              <w:rPr>
                <w:rFonts w:ascii="Arial Narrow" w:eastAsia="Times New Roman" w:hAnsi="Arial Narrow" w:cs="Arial"/>
                <w:b/>
                <w:bCs/>
                <w:color w:val="000000"/>
                <w:sz w:val="18"/>
                <w:szCs w:val="18"/>
                <w:lang w:val="es-MX" w:eastAsia="es-MX"/>
              </w:rPr>
            </w:pPr>
            <w:r w:rsidRPr="008D1378">
              <w:rPr>
                <w:rFonts w:ascii="Arial Narrow" w:eastAsia="Times New Roman" w:hAnsi="Arial Narrow" w:cs="Arial"/>
                <w:b/>
                <w:bCs/>
                <w:color w:val="000000"/>
                <w:sz w:val="18"/>
                <w:szCs w:val="18"/>
                <w:lang w:val="es-MX" w:eastAsia="es-MX"/>
              </w:rPr>
              <w:t>N/A</w:t>
            </w:r>
          </w:p>
        </w:tc>
      </w:tr>
      <w:tr w:rsidR="008D1378" w:rsidRPr="008D1378" w14:paraId="198F5EC4" w14:textId="77777777" w:rsidTr="00FA5D80">
        <w:trPr>
          <w:trHeight w:val="285"/>
          <w:tblHeader/>
        </w:trPr>
        <w:tc>
          <w:tcPr>
            <w:tcW w:w="763" w:type="pct"/>
            <w:vMerge/>
            <w:vAlign w:val="center"/>
            <w:hideMark/>
          </w:tcPr>
          <w:p w14:paraId="51D156DF" w14:textId="77777777" w:rsidR="008D1378" w:rsidRPr="008D1378" w:rsidRDefault="008D1378" w:rsidP="008D1378">
            <w:pPr>
              <w:rPr>
                <w:rFonts w:ascii="Arial Narrow" w:eastAsia="Times New Roman" w:hAnsi="Arial Narrow" w:cs="Arial"/>
                <w:b/>
                <w:bCs/>
                <w:color w:val="000000"/>
                <w:sz w:val="18"/>
                <w:szCs w:val="18"/>
                <w:lang w:val="es-MX" w:eastAsia="es-MX"/>
              </w:rPr>
            </w:pPr>
          </w:p>
        </w:tc>
        <w:tc>
          <w:tcPr>
            <w:tcW w:w="2638" w:type="pct"/>
            <w:vMerge/>
            <w:vAlign w:val="center"/>
            <w:hideMark/>
          </w:tcPr>
          <w:p w14:paraId="66FE9069" w14:textId="77777777" w:rsidR="008D1378" w:rsidRPr="008D1378" w:rsidRDefault="008D1378" w:rsidP="008D1378">
            <w:pPr>
              <w:rPr>
                <w:rFonts w:ascii="Arial Narrow" w:eastAsia="Times New Roman" w:hAnsi="Arial Narrow" w:cs="Arial"/>
                <w:b/>
                <w:bCs/>
                <w:color w:val="000000"/>
                <w:sz w:val="18"/>
                <w:szCs w:val="18"/>
                <w:lang w:val="es-MX" w:eastAsia="es-MX"/>
              </w:rPr>
            </w:pPr>
          </w:p>
        </w:tc>
        <w:tc>
          <w:tcPr>
            <w:tcW w:w="383" w:type="pct"/>
            <w:shd w:val="clear" w:color="auto" w:fill="CCFF99"/>
            <w:vAlign w:val="center"/>
            <w:hideMark/>
          </w:tcPr>
          <w:p w14:paraId="4EF6FF75" w14:textId="77777777" w:rsidR="008D1378" w:rsidRPr="008D1378" w:rsidRDefault="008D1378" w:rsidP="008D1378">
            <w:pPr>
              <w:jc w:val="center"/>
              <w:rPr>
                <w:rFonts w:ascii="Arial Narrow" w:eastAsia="Times New Roman" w:hAnsi="Arial Narrow" w:cs="Arial"/>
                <w:b/>
                <w:bCs/>
                <w:color w:val="000000"/>
                <w:sz w:val="18"/>
                <w:szCs w:val="18"/>
                <w:lang w:val="es-MX" w:eastAsia="es-MX"/>
              </w:rPr>
            </w:pPr>
            <w:r w:rsidRPr="008D1378">
              <w:rPr>
                <w:rFonts w:ascii="Arial Narrow" w:eastAsia="Times New Roman" w:hAnsi="Arial Narrow" w:cs="Arial"/>
                <w:b/>
                <w:bCs/>
                <w:color w:val="000000"/>
                <w:sz w:val="18"/>
                <w:szCs w:val="18"/>
                <w:lang w:val="es-MX" w:eastAsia="es-MX"/>
              </w:rPr>
              <w:t>SI</w:t>
            </w:r>
          </w:p>
        </w:tc>
        <w:tc>
          <w:tcPr>
            <w:tcW w:w="386" w:type="pct"/>
            <w:shd w:val="clear" w:color="FF66CC" w:fill="FF66CC"/>
            <w:vAlign w:val="center"/>
            <w:hideMark/>
          </w:tcPr>
          <w:p w14:paraId="74B31A3F" w14:textId="77777777" w:rsidR="008D1378" w:rsidRPr="008D1378" w:rsidRDefault="008D1378" w:rsidP="008D1378">
            <w:pPr>
              <w:jc w:val="center"/>
              <w:rPr>
                <w:rFonts w:ascii="Arial Narrow" w:eastAsia="Times New Roman" w:hAnsi="Arial Narrow" w:cs="Arial"/>
                <w:b/>
                <w:bCs/>
                <w:color w:val="000000"/>
                <w:sz w:val="18"/>
                <w:szCs w:val="18"/>
                <w:lang w:val="es-MX" w:eastAsia="es-MX"/>
              </w:rPr>
            </w:pPr>
            <w:r w:rsidRPr="008D1378">
              <w:rPr>
                <w:rFonts w:ascii="Arial Narrow" w:eastAsia="Times New Roman" w:hAnsi="Arial Narrow" w:cs="Arial"/>
                <w:b/>
                <w:bCs/>
                <w:color w:val="000000"/>
                <w:sz w:val="18"/>
                <w:szCs w:val="18"/>
                <w:lang w:val="es-MX" w:eastAsia="es-MX"/>
              </w:rPr>
              <w:t>NO</w:t>
            </w:r>
          </w:p>
        </w:tc>
        <w:tc>
          <w:tcPr>
            <w:tcW w:w="451" w:type="pct"/>
            <w:shd w:val="clear" w:color="FFFF99" w:fill="FFFF99"/>
            <w:vAlign w:val="center"/>
            <w:hideMark/>
          </w:tcPr>
          <w:p w14:paraId="1602CE90" w14:textId="77777777" w:rsidR="008D1378" w:rsidRPr="008D1378" w:rsidRDefault="008D1378" w:rsidP="008D1378">
            <w:pPr>
              <w:jc w:val="center"/>
              <w:rPr>
                <w:rFonts w:ascii="Arial Narrow" w:eastAsia="Times New Roman" w:hAnsi="Arial Narrow" w:cs="Arial"/>
                <w:b/>
                <w:bCs/>
                <w:color w:val="000000"/>
                <w:sz w:val="18"/>
                <w:szCs w:val="18"/>
                <w:lang w:val="es-MX" w:eastAsia="es-MX"/>
              </w:rPr>
            </w:pPr>
            <w:r w:rsidRPr="008D1378">
              <w:rPr>
                <w:rFonts w:ascii="Arial Narrow" w:eastAsia="Times New Roman" w:hAnsi="Arial Narrow" w:cs="Arial"/>
                <w:b/>
                <w:bCs/>
                <w:color w:val="000000"/>
                <w:sz w:val="18"/>
                <w:szCs w:val="18"/>
                <w:lang w:val="es-MX" w:eastAsia="es-MX"/>
              </w:rPr>
              <w:t>PARCIAL</w:t>
            </w:r>
          </w:p>
        </w:tc>
        <w:tc>
          <w:tcPr>
            <w:tcW w:w="378" w:type="pct"/>
            <w:vMerge/>
            <w:vAlign w:val="center"/>
            <w:hideMark/>
          </w:tcPr>
          <w:p w14:paraId="04BB1E8B" w14:textId="77777777" w:rsidR="008D1378" w:rsidRPr="008D1378" w:rsidRDefault="008D1378" w:rsidP="008D1378">
            <w:pPr>
              <w:rPr>
                <w:rFonts w:ascii="Arial Narrow" w:eastAsia="Times New Roman" w:hAnsi="Arial Narrow" w:cs="Arial"/>
                <w:b/>
                <w:bCs/>
                <w:color w:val="000000"/>
                <w:sz w:val="18"/>
                <w:szCs w:val="18"/>
                <w:lang w:val="es-MX" w:eastAsia="es-MX"/>
              </w:rPr>
            </w:pPr>
          </w:p>
        </w:tc>
      </w:tr>
      <w:tr w:rsidR="007D567B" w:rsidRPr="008D1378" w14:paraId="0DB5EA98" w14:textId="77777777" w:rsidTr="00FA5D80">
        <w:trPr>
          <w:trHeight w:val="70"/>
        </w:trPr>
        <w:tc>
          <w:tcPr>
            <w:tcW w:w="763" w:type="pct"/>
            <w:vMerge w:val="restart"/>
            <w:shd w:val="clear" w:color="auto" w:fill="auto"/>
            <w:vAlign w:val="center"/>
            <w:hideMark/>
          </w:tcPr>
          <w:p w14:paraId="2C333562"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3 Condiciones para contratar la prestación de servicios profesionales y de apoyo a la gestión</w:t>
            </w:r>
          </w:p>
        </w:tc>
        <w:tc>
          <w:tcPr>
            <w:tcW w:w="2638" w:type="pct"/>
            <w:shd w:val="clear" w:color="auto" w:fill="auto"/>
            <w:vAlign w:val="center"/>
            <w:hideMark/>
          </w:tcPr>
          <w:p w14:paraId="4393C293"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Los contratos de prestación de servicios con personas naturales o jurídicas, que se fundamenten en el Estatuto General de Contratación de la Administración Pública sólo se podrán celebrar cuando no exista personal de planta con capacidad para realizar las actividades que se contratarán, para lo cual deberá adelantarse, de manera previa, una revisión minuciosa de las necesidades, actividades o tareas específicas que motiven o justifiquen dicha contratación para el cumplimiento de la misión o para el desarrollo de actividades relacionadas con la administración de la entidad. </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lastRenderedPageBreak/>
              <w:br/>
              <w:t>Se entiende que no existe personal de planta en el respectivo organismo, entidad, ente público o persona jurídica cuando es imposible atender la actividad con personal de planta, porque de acuerdo con los manuales específicos, no existe personal que pueda desarrollar la actividad para la cual se requiere contratar la prestación del servicio, o cuando el desarrollo de la actividad requiere un grado de especialización que implica la contratación del servicio, o cuando aun existiendo personal en la planta, éste no sea suficiente.</w:t>
            </w:r>
            <w:r w:rsidRPr="008D1378">
              <w:rPr>
                <w:rFonts w:ascii="Arial Narrow" w:eastAsia="Times New Roman" w:hAnsi="Arial Narrow" w:cs="Arial"/>
                <w:i/>
                <w:iCs/>
                <w:color w:val="000000"/>
                <w:sz w:val="18"/>
                <w:szCs w:val="18"/>
                <w:lang w:val="es-MX" w:eastAsia="es-MX"/>
              </w:rPr>
              <w:t xml:space="preserve"> La inexistencia de personal suficiente deberá acreditarse por el jefe de la respectiva entidad u organismos distrital, o por el funcionario que tenga asignada o delegada tal función</w:t>
            </w:r>
          </w:p>
        </w:tc>
        <w:tc>
          <w:tcPr>
            <w:tcW w:w="383" w:type="pct"/>
            <w:shd w:val="clear" w:color="auto" w:fill="CCFF99"/>
            <w:vAlign w:val="center"/>
            <w:hideMark/>
          </w:tcPr>
          <w:p w14:paraId="169C504E" w14:textId="2DD1A3E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lastRenderedPageBreak/>
              <w:t>X</w:t>
            </w:r>
          </w:p>
        </w:tc>
        <w:tc>
          <w:tcPr>
            <w:tcW w:w="386" w:type="pct"/>
            <w:shd w:val="clear" w:color="auto" w:fill="auto"/>
            <w:vAlign w:val="center"/>
            <w:hideMark/>
          </w:tcPr>
          <w:p w14:paraId="05C17E15" w14:textId="7A712C3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B0E9284" w14:textId="446D0C9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2917B635" w14:textId="42B0A85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E09F694" w14:textId="77777777" w:rsidTr="00FA5D80">
        <w:trPr>
          <w:trHeight w:val="1350"/>
        </w:trPr>
        <w:tc>
          <w:tcPr>
            <w:tcW w:w="763" w:type="pct"/>
            <w:vMerge/>
            <w:vAlign w:val="center"/>
            <w:hideMark/>
          </w:tcPr>
          <w:p w14:paraId="16F58CCF"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5278E87"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No se podrán celebrar estos contratos cuando existan relaciones contractuales vigentes con objeto igual al del contrato que se pretende suscribir, salvo autorización expresa del jefe de la respectiva entidad u organismo contratante. Esta autorización estará precedida de la sustentación sobre las especiales características y necesidades operacionales o técnicas de  las contrataciones a realizar.</w:t>
            </w:r>
          </w:p>
        </w:tc>
        <w:tc>
          <w:tcPr>
            <w:tcW w:w="383" w:type="pct"/>
            <w:shd w:val="clear" w:color="auto" w:fill="CCFF99"/>
            <w:vAlign w:val="center"/>
            <w:hideMark/>
          </w:tcPr>
          <w:p w14:paraId="3993CD20" w14:textId="77F41BD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763116AB" w14:textId="31D1CDB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43F9A5A" w14:textId="042CBC2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27114ED5" w14:textId="731CC17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239619A" w14:textId="77777777" w:rsidTr="00FA5D80">
        <w:trPr>
          <w:trHeight w:val="1890"/>
        </w:trPr>
        <w:tc>
          <w:tcPr>
            <w:tcW w:w="763" w:type="pct"/>
            <w:vMerge/>
            <w:vAlign w:val="center"/>
            <w:hideMark/>
          </w:tcPr>
          <w:p w14:paraId="3F456442"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423FF4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La contratación estará sujeta a la disponibilidad de recursos en el presupuesto de cada vigencia, tanto para funcionamiento como para inversión; así mismo, el monto de los  honorarios mensuales del contratista no podrá superar la escala prevista en la tabla de honorarios que para tal efecto expida la entidad u organismo distrital, cuando ello aplique, salvo que la especialidad del objeto a contratar, la idoneidad, la experiencia y las  condiciones del mercado así lo ameriten, caso en el cual se deberá justificar en los estudios previos y de mercado. </w:t>
            </w:r>
          </w:p>
        </w:tc>
        <w:tc>
          <w:tcPr>
            <w:tcW w:w="383" w:type="pct"/>
            <w:shd w:val="clear" w:color="auto" w:fill="CCFF99"/>
            <w:vAlign w:val="center"/>
            <w:hideMark/>
          </w:tcPr>
          <w:p w14:paraId="5406508A" w14:textId="4B8596D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114CABFB" w14:textId="06B8E36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56E7A99" w14:textId="426EB7C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3A62252F" w14:textId="6963A2D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6B4CF9B" w14:textId="77777777" w:rsidTr="00FA5D80">
        <w:trPr>
          <w:trHeight w:val="2162"/>
        </w:trPr>
        <w:tc>
          <w:tcPr>
            <w:tcW w:w="763" w:type="pct"/>
            <w:vMerge/>
            <w:vAlign w:val="center"/>
            <w:hideMark/>
          </w:tcPr>
          <w:p w14:paraId="4E622F81"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27C54A8C"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En todo caso, está prohibido la celebración de contratos de prestación de servicios personales calificados con personas naturales, o jurídicas, encaminados a la prestación de servicios en forma continua para atender asuntos propios de la respectiva entidad.  Asimismo, esta prohibido el pacto de remuneración por valor mensual superior a la remuneración total mensual establecida para el jefe de la entidad u organismo distrital.</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No obstante, de manera excepcional, para aquellos eventos en los que se requiera contratar servicios altamente calificados podrán pactarse honorarios superiores a la remuneración total mensual establecida para el jefe de la entidad, los cuales no podrán exceder del valor total mensual de remuneración del jefe de la entidad incluidos los factores prestacionales y las contribuciones inherentes a la nómina, relacionadas con seguridad social y para fiscales a cargo del empleador. De manera concomitante, el jefe de la respectiva entidad u organismo distrital deberá certificar el cumplimiento de los siguientes aspectos: 1. Justificar la necesidad del servicio personal altamente calificado; 2. Indicar las características y calidades específicas, altamente calificadas, que reúne el contratista para la ejecución del contrato, y 3. Determinar las características de los productos y/o servicios que se espera obtener.</w:t>
            </w:r>
          </w:p>
        </w:tc>
        <w:tc>
          <w:tcPr>
            <w:tcW w:w="383" w:type="pct"/>
            <w:shd w:val="clear" w:color="auto" w:fill="CCFF99"/>
            <w:vAlign w:val="center"/>
            <w:hideMark/>
          </w:tcPr>
          <w:p w14:paraId="56C998CD" w14:textId="74CE5C5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EF7D64E" w14:textId="6298E32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4E51C0B" w14:textId="71BC3EE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7471A431" w14:textId="6E262EE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04E9B682" w14:textId="77777777" w:rsidTr="00FA5D80">
        <w:trPr>
          <w:trHeight w:val="70"/>
        </w:trPr>
        <w:tc>
          <w:tcPr>
            <w:tcW w:w="763" w:type="pct"/>
            <w:vMerge w:val="restart"/>
            <w:shd w:val="clear" w:color="auto" w:fill="auto"/>
            <w:vAlign w:val="center"/>
            <w:hideMark/>
          </w:tcPr>
          <w:p w14:paraId="218D450D"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Artículo 4 Horas extras, </w:t>
            </w:r>
            <w:r w:rsidRPr="008D1378">
              <w:rPr>
                <w:rFonts w:ascii="Arial Narrow" w:eastAsia="Times New Roman" w:hAnsi="Arial Narrow" w:cs="Arial"/>
                <w:color w:val="000000"/>
                <w:sz w:val="18"/>
                <w:szCs w:val="18"/>
                <w:lang w:val="es-MX" w:eastAsia="es-MX"/>
              </w:rPr>
              <w:lastRenderedPageBreak/>
              <w:t>dominicales y festivos.</w:t>
            </w:r>
          </w:p>
        </w:tc>
        <w:tc>
          <w:tcPr>
            <w:tcW w:w="2638" w:type="pct"/>
            <w:shd w:val="clear" w:color="auto" w:fill="auto"/>
            <w:vAlign w:val="center"/>
            <w:hideMark/>
          </w:tcPr>
          <w:p w14:paraId="439ED219"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lastRenderedPageBreak/>
              <w:t>La autorización de horas extras sólo se hará efectiva cuando así lo impongan las necesidades del servicio, reales e imprescindibles,  de las entidades y organismos distritales.</w:t>
            </w:r>
          </w:p>
        </w:tc>
        <w:tc>
          <w:tcPr>
            <w:tcW w:w="383" w:type="pct"/>
            <w:shd w:val="clear" w:color="auto" w:fill="CCFF99"/>
            <w:vAlign w:val="center"/>
            <w:hideMark/>
          </w:tcPr>
          <w:p w14:paraId="3EEEE2C6" w14:textId="29F633B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6D7E89AA" w14:textId="0CD58F7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2A742064" w14:textId="0116957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40B69E1" w14:textId="114D2E7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04F6E0DF" w14:textId="77777777" w:rsidTr="00FA5D80">
        <w:trPr>
          <w:trHeight w:val="1080"/>
        </w:trPr>
        <w:tc>
          <w:tcPr>
            <w:tcW w:w="763" w:type="pct"/>
            <w:vMerge/>
            <w:vAlign w:val="center"/>
            <w:hideMark/>
          </w:tcPr>
          <w:p w14:paraId="150B3D92"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B45C12F"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Tendrán derecho al reconocimiento y pago de horas extras diurnas y nocturnas y de trabajo suplementario en dominicales y festivos, los servidores públicos que pertenezcan a los niveles técnico y asistencial autorizados normativamente para devengar horas extras...</w:t>
            </w:r>
          </w:p>
        </w:tc>
        <w:tc>
          <w:tcPr>
            <w:tcW w:w="383" w:type="pct"/>
            <w:shd w:val="clear" w:color="auto" w:fill="CCFF99"/>
            <w:vAlign w:val="center"/>
            <w:hideMark/>
          </w:tcPr>
          <w:p w14:paraId="6E111C49" w14:textId="37EB64F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2177123C" w14:textId="545CB97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003490F" w14:textId="374A297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916A64E" w14:textId="5FF162B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D80272D" w14:textId="77777777" w:rsidTr="00FA5D80">
        <w:trPr>
          <w:trHeight w:val="1350"/>
        </w:trPr>
        <w:tc>
          <w:tcPr>
            <w:tcW w:w="763" w:type="pct"/>
            <w:vMerge/>
            <w:vAlign w:val="center"/>
            <w:hideMark/>
          </w:tcPr>
          <w:p w14:paraId="0E1D7905"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1BB87C86"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 las cuales deberán estar previamente autorizadas de manera expresa por el jefe de la respectiva entidad u organismo distrital, o por el funcionario que tenga asignada o delegada tal función, a solicitud del jefe inmediato. En todo caso, aquellos deberán, en lo posible, limitar la aprobación para laborar en los días dominicales y festivos. </w:t>
            </w:r>
          </w:p>
        </w:tc>
        <w:tc>
          <w:tcPr>
            <w:tcW w:w="383" w:type="pct"/>
            <w:shd w:val="clear" w:color="auto" w:fill="CCFF99"/>
            <w:vAlign w:val="center"/>
            <w:hideMark/>
          </w:tcPr>
          <w:p w14:paraId="0F8DF401" w14:textId="01BDBE5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53D67D3D" w14:textId="5B8F152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68F73CF" w14:textId="144888A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285AC68F" w14:textId="683DE85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71EE975C" w14:textId="77777777" w:rsidTr="00FA5D80">
        <w:trPr>
          <w:trHeight w:val="540"/>
        </w:trPr>
        <w:tc>
          <w:tcPr>
            <w:tcW w:w="763" w:type="pct"/>
            <w:vMerge/>
            <w:vAlign w:val="center"/>
            <w:hideMark/>
          </w:tcPr>
          <w:p w14:paraId="786BD145"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5B4841CB"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Sólo se aprobarán horas extras por necesidades expresas del servicio y debidamente justificadas, y no tendrán carácter de permanentes.</w:t>
            </w:r>
          </w:p>
        </w:tc>
        <w:tc>
          <w:tcPr>
            <w:tcW w:w="383" w:type="pct"/>
            <w:shd w:val="clear" w:color="auto" w:fill="CCFF99"/>
            <w:vAlign w:val="center"/>
            <w:hideMark/>
          </w:tcPr>
          <w:p w14:paraId="7E110127" w14:textId="56416FC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6D663166" w14:textId="40FEF20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0481F631" w14:textId="7BD542E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8CE6B14" w14:textId="06F9F6D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2C01A05" w14:textId="77777777" w:rsidTr="00FA5D80">
        <w:trPr>
          <w:trHeight w:val="96"/>
        </w:trPr>
        <w:tc>
          <w:tcPr>
            <w:tcW w:w="763" w:type="pct"/>
            <w:vMerge/>
            <w:vAlign w:val="center"/>
            <w:hideMark/>
          </w:tcPr>
          <w:p w14:paraId="69318DFE"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2D2146E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El valor a pagar por horas extras no podrá exceder, en ningún caso, el 50% de la remuneración básica mensual del servidor público para el nivel central o el límite máximo establecido en el régimen salarial en cada una de las entidades descentralizadas. </w:t>
            </w:r>
          </w:p>
        </w:tc>
        <w:tc>
          <w:tcPr>
            <w:tcW w:w="383" w:type="pct"/>
            <w:shd w:val="clear" w:color="auto" w:fill="CCFF99"/>
            <w:vAlign w:val="center"/>
            <w:hideMark/>
          </w:tcPr>
          <w:p w14:paraId="70AAE363" w14:textId="469DF6D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66E23F61" w14:textId="3F8A8FD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10A6542B" w14:textId="1238DB9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7F7A6A0" w14:textId="7AF24E9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43095D1" w14:textId="77777777" w:rsidTr="00FA5D80">
        <w:trPr>
          <w:trHeight w:val="108"/>
        </w:trPr>
        <w:tc>
          <w:tcPr>
            <w:tcW w:w="763" w:type="pct"/>
            <w:vMerge/>
            <w:vAlign w:val="center"/>
            <w:hideMark/>
          </w:tcPr>
          <w:p w14:paraId="2EB3201D"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28E3BA66"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El reconocimiento de las horas extras trabajadas en exceso del límite establecido en el presente inciso se hará a través de compensatorios a razón de un (1) día hábil por cada ocho (8) horas extras de servicio autorizado, los cuales deberán hacerse efectivos en la misma anualidad en la que se generan.</w:t>
            </w:r>
          </w:p>
        </w:tc>
        <w:tc>
          <w:tcPr>
            <w:tcW w:w="383" w:type="pct"/>
            <w:shd w:val="clear" w:color="auto" w:fill="CCFF99"/>
            <w:vAlign w:val="center"/>
            <w:hideMark/>
          </w:tcPr>
          <w:p w14:paraId="4372A7EE" w14:textId="6056D9C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20A13D3D" w14:textId="787167A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4B71697" w14:textId="543EA03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EEA78FE" w14:textId="38C0E50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AAC738F" w14:textId="77777777" w:rsidTr="00FA5D80">
        <w:trPr>
          <w:trHeight w:val="70"/>
        </w:trPr>
        <w:tc>
          <w:tcPr>
            <w:tcW w:w="763" w:type="pct"/>
            <w:vMerge/>
            <w:vAlign w:val="center"/>
            <w:hideMark/>
          </w:tcPr>
          <w:p w14:paraId="36F06232"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3EF3E7E3"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Para lograr esta racionalización del gasto público, las entidades y organismos distritales  deberán diseñar estrategias que permitan que sus actividades se desarrollen en la jornada laboral ordinaria, pudiendo considerar para el efecto las disposiciones que en materia de flexibilización de horario laboral se puedan implementar</w:t>
            </w:r>
          </w:p>
        </w:tc>
        <w:tc>
          <w:tcPr>
            <w:tcW w:w="383" w:type="pct"/>
            <w:shd w:val="clear" w:color="auto" w:fill="auto"/>
            <w:vAlign w:val="center"/>
            <w:hideMark/>
          </w:tcPr>
          <w:p w14:paraId="2E13D37F" w14:textId="68FE085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49A5756B" w14:textId="1FA74A4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B96723E" w14:textId="57FB766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05A9B5B4" w14:textId="741000F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45A9C897" w14:textId="77777777" w:rsidTr="00FA5D80">
        <w:trPr>
          <w:trHeight w:val="435"/>
        </w:trPr>
        <w:tc>
          <w:tcPr>
            <w:tcW w:w="763" w:type="pct"/>
            <w:vMerge/>
            <w:vAlign w:val="center"/>
            <w:hideMark/>
          </w:tcPr>
          <w:p w14:paraId="24DA257E"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5FDD25D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En las entidades y organismos distritales en que se labore por el sistema de turnos se tomarán las medidas tendientes a garantizar la prestación continua y permanente del servicio a través del establecimiento de horarios de trabajo que se adecúen a la jornada legal establecida en el artículo 33° del Decreto Nacional 1042 de 1978 modificado por el Decreto-Ley 85 de 1986, propendiendo por reducir el número de horas extras pagadas</w:t>
            </w:r>
          </w:p>
        </w:tc>
        <w:tc>
          <w:tcPr>
            <w:tcW w:w="383" w:type="pct"/>
            <w:shd w:val="clear" w:color="auto" w:fill="auto"/>
            <w:vAlign w:val="center"/>
            <w:hideMark/>
          </w:tcPr>
          <w:p w14:paraId="4202A059" w14:textId="39B9660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79CE42FB" w14:textId="348295C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8EC906A" w14:textId="0783764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266D2ED1" w14:textId="79587FD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3EF83852" w14:textId="77777777" w:rsidTr="00FA5D80">
        <w:trPr>
          <w:trHeight w:val="1350"/>
        </w:trPr>
        <w:tc>
          <w:tcPr>
            <w:tcW w:w="763" w:type="pct"/>
            <w:shd w:val="clear" w:color="auto" w:fill="auto"/>
            <w:vAlign w:val="center"/>
            <w:hideMark/>
          </w:tcPr>
          <w:p w14:paraId="1D811955"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5 Compensación por vacaciones</w:t>
            </w:r>
          </w:p>
        </w:tc>
        <w:tc>
          <w:tcPr>
            <w:tcW w:w="2638" w:type="pct"/>
            <w:shd w:val="clear" w:color="auto" w:fill="auto"/>
            <w:vAlign w:val="center"/>
            <w:hideMark/>
          </w:tcPr>
          <w:p w14:paraId="7CB58880"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Sólo se reconocerán en dinero las vacaciones causadas y no disfrutadas, en caso de retiro definitivo del servidor público,  excepcionalmente y de manera motivada, cuando el jefe de la respectiva entidad y organismo distrital así lo estime necesario para evitar perjuicios en el servicio público,  evento en el cual sólo puede autorizar la compensación en dinero de las vacaciones correspondientes a un año. </w:t>
            </w:r>
          </w:p>
        </w:tc>
        <w:tc>
          <w:tcPr>
            <w:tcW w:w="383" w:type="pct"/>
            <w:shd w:val="clear" w:color="auto" w:fill="CCFF99"/>
            <w:vAlign w:val="center"/>
            <w:hideMark/>
          </w:tcPr>
          <w:p w14:paraId="5B42804C" w14:textId="26D13A9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2140CFBC" w14:textId="19C5BE9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E6E16E5" w14:textId="615CF2C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7071207C" w14:textId="6064A1C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023DFDA8" w14:textId="77777777" w:rsidTr="00FA5D80">
        <w:trPr>
          <w:trHeight w:val="1356"/>
        </w:trPr>
        <w:tc>
          <w:tcPr>
            <w:tcW w:w="763" w:type="pct"/>
            <w:shd w:val="clear" w:color="auto" w:fill="auto"/>
            <w:vAlign w:val="center"/>
            <w:hideMark/>
          </w:tcPr>
          <w:p w14:paraId="5395849E"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6 Bono navideño</w:t>
            </w:r>
          </w:p>
        </w:tc>
        <w:tc>
          <w:tcPr>
            <w:tcW w:w="2638" w:type="pct"/>
            <w:shd w:val="clear" w:color="auto" w:fill="auto"/>
            <w:vAlign w:val="center"/>
            <w:hideMark/>
          </w:tcPr>
          <w:p w14:paraId="2A0D91A5"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Los bonos navideños que en ejercicio de la autonomía administrativa y presupuestal de las entidades y  organismos distritales, se pretenda entregar a los hijos de los empleados públicos, que a 31 de diciembre del año en curso sean menores de 13 años, no podrán superar el valor de seis (6) salarios mínimos diarios legales vigentes. </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Este beneficio, según lo decidido por la entidad u organismo distrital, se podrá extender a los hijos mayores de 13 años y menores de 18 años que se encuentren en condición de  discapacidad y que adicionalmente, dependan económicamente de sus padres, siempre que se cuente con los recursos presupuestales para tal efecto</w:t>
            </w:r>
          </w:p>
        </w:tc>
        <w:tc>
          <w:tcPr>
            <w:tcW w:w="383" w:type="pct"/>
            <w:shd w:val="clear" w:color="auto" w:fill="CCFF99"/>
            <w:vAlign w:val="center"/>
            <w:hideMark/>
          </w:tcPr>
          <w:p w14:paraId="65991E29" w14:textId="7D52392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E270614" w14:textId="79212AD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A20F86A" w14:textId="48F1AA8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DE701D4" w14:textId="0FE5A48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03289B76" w14:textId="77777777" w:rsidTr="00FA5D80">
        <w:trPr>
          <w:trHeight w:val="70"/>
        </w:trPr>
        <w:tc>
          <w:tcPr>
            <w:tcW w:w="763" w:type="pct"/>
            <w:vMerge w:val="restart"/>
            <w:shd w:val="clear" w:color="auto" w:fill="auto"/>
            <w:vAlign w:val="center"/>
            <w:hideMark/>
          </w:tcPr>
          <w:p w14:paraId="1F38CF21"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7 Capacitación</w:t>
            </w:r>
          </w:p>
        </w:tc>
        <w:tc>
          <w:tcPr>
            <w:tcW w:w="2638" w:type="pct"/>
            <w:shd w:val="clear" w:color="auto" w:fill="auto"/>
            <w:vAlign w:val="center"/>
            <w:hideMark/>
          </w:tcPr>
          <w:p w14:paraId="616EE833"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El proceso de capacitación de servidores públicos se ceñirá a los lineamientos señalados en el Plan Institucional de Capacitación-PIC </w:t>
            </w:r>
            <w:r w:rsidRPr="008D1378">
              <w:rPr>
                <w:rFonts w:ascii="Arial Narrow" w:eastAsia="Times New Roman" w:hAnsi="Arial Narrow" w:cs="Arial"/>
                <w:color w:val="000000"/>
                <w:sz w:val="18"/>
                <w:szCs w:val="18"/>
                <w:lang w:val="es-MX" w:eastAsia="es-MX"/>
              </w:rPr>
              <w:lastRenderedPageBreak/>
              <w:t xml:space="preserve">adoptado por la respectiva entidad u organismo, y por las  disposiciones normativas vigentes. </w:t>
            </w:r>
          </w:p>
        </w:tc>
        <w:tc>
          <w:tcPr>
            <w:tcW w:w="383" w:type="pct"/>
            <w:shd w:val="clear" w:color="auto" w:fill="CCFF99"/>
            <w:vAlign w:val="center"/>
            <w:hideMark/>
          </w:tcPr>
          <w:p w14:paraId="76CEDABE" w14:textId="49D30CF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lastRenderedPageBreak/>
              <w:t>X</w:t>
            </w:r>
          </w:p>
        </w:tc>
        <w:tc>
          <w:tcPr>
            <w:tcW w:w="386" w:type="pct"/>
            <w:shd w:val="clear" w:color="auto" w:fill="auto"/>
            <w:vAlign w:val="center"/>
            <w:hideMark/>
          </w:tcPr>
          <w:p w14:paraId="78AAB2A4" w14:textId="081ADF8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7943517" w14:textId="4A8F26F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1BC58268" w14:textId="6278B86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5B42E27" w14:textId="77777777" w:rsidTr="00FA5D80">
        <w:trPr>
          <w:trHeight w:val="909"/>
        </w:trPr>
        <w:tc>
          <w:tcPr>
            <w:tcW w:w="763" w:type="pct"/>
            <w:vMerge/>
            <w:vAlign w:val="center"/>
            <w:hideMark/>
          </w:tcPr>
          <w:p w14:paraId="47E0C2E0"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14A0F062"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Para la definición del PIC, las entidades y organismos distritales deberán considerar e integrar la oferta transversal de otros entes públicos del orden distrital o nacional, en especial la del Departamento Administrativo del Servicio Civil Distrital -DASCD,  buscando ahorrar costos y optimizar los recursos destinados al fortalecimiento de las competencias laborales y comportamentales de los servidores públicos.</w:t>
            </w:r>
          </w:p>
        </w:tc>
        <w:tc>
          <w:tcPr>
            <w:tcW w:w="383" w:type="pct"/>
            <w:shd w:val="clear" w:color="auto" w:fill="CCFF99"/>
            <w:vAlign w:val="center"/>
            <w:hideMark/>
          </w:tcPr>
          <w:p w14:paraId="7D32A462" w14:textId="05F57B7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1AD93A11" w14:textId="274A627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1A955866" w14:textId="010DC56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6E6CF9B3" w14:textId="7E00F46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9964E5D" w14:textId="77777777" w:rsidTr="00FA5D80">
        <w:trPr>
          <w:trHeight w:val="422"/>
        </w:trPr>
        <w:tc>
          <w:tcPr>
            <w:tcW w:w="763" w:type="pct"/>
            <w:vMerge/>
            <w:vAlign w:val="center"/>
            <w:hideMark/>
          </w:tcPr>
          <w:p w14:paraId="4C5B7E2F"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D04C01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Igualmente, las entidades y organismos distritales evitarán programar actividades de capacitación para sus servidores públicos en las mismas temáticas ofertadas por el DASCD, salvo que se trate de una capacitación especializada según el diagnóstico de necesidades de capacitación realizado por la entidad y organismo distrital.</w:t>
            </w:r>
          </w:p>
        </w:tc>
        <w:tc>
          <w:tcPr>
            <w:tcW w:w="383" w:type="pct"/>
            <w:shd w:val="clear" w:color="auto" w:fill="CCFF99"/>
            <w:vAlign w:val="center"/>
            <w:hideMark/>
          </w:tcPr>
          <w:p w14:paraId="6A4B2014" w14:textId="72051D0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5F1A8FBB" w14:textId="22BE5D1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1908EB6D" w14:textId="292473E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63C7D0F" w14:textId="34C9C42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765AE7F7" w14:textId="77777777" w:rsidTr="00FA5D80">
        <w:trPr>
          <w:trHeight w:val="1080"/>
        </w:trPr>
        <w:tc>
          <w:tcPr>
            <w:tcW w:w="763" w:type="pct"/>
            <w:vMerge/>
            <w:vAlign w:val="center"/>
            <w:hideMark/>
          </w:tcPr>
          <w:p w14:paraId="76491C2D"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DCAD4B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En lo posible, para la realización de eventos de capacitación dirigidos a servidores públicos, la misma podrá coordinarse de manera conjunta con otras entidades y organismos distritales  que tengan necesidades de capacitación, análogas o similares, esto con el objetivo de lograr economías de escala y disminuir costos. </w:t>
            </w:r>
          </w:p>
        </w:tc>
        <w:tc>
          <w:tcPr>
            <w:tcW w:w="383" w:type="pct"/>
            <w:shd w:val="clear" w:color="auto" w:fill="CCFF99"/>
            <w:vAlign w:val="center"/>
            <w:hideMark/>
          </w:tcPr>
          <w:p w14:paraId="19507A88" w14:textId="4BD85F6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F797079" w14:textId="3A45B10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30DCAD39" w14:textId="29DAA65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1CEE2054" w14:textId="71ECCBF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2859C73A" w14:textId="77777777" w:rsidTr="00FA5D80">
        <w:trPr>
          <w:trHeight w:val="1080"/>
        </w:trPr>
        <w:tc>
          <w:tcPr>
            <w:tcW w:w="763" w:type="pct"/>
            <w:vMerge/>
            <w:vAlign w:val="center"/>
            <w:hideMark/>
          </w:tcPr>
          <w:p w14:paraId="1881EA71"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4B0BA055"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Teniendo en cuenta la disponibilidad de recursos en el presupuesto de cada vigencia, se propenderá para que los cursos de capacitación se dirijan a un número mayoritario de servidores públicos, usando en lo posible apoyos tecnológicos para su transmisión y  archivo de consulta. </w:t>
            </w:r>
          </w:p>
        </w:tc>
        <w:tc>
          <w:tcPr>
            <w:tcW w:w="383" w:type="pct"/>
            <w:shd w:val="clear" w:color="auto" w:fill="CCFF99"/>
            <w:vAlign w:val="center"/>
            <w:hideMark/>
          </w:tcPr>
          <w:p w14:paraId="1812A7F6" w14:textId="490A61C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1EC23BFF" w14:textId="162CE26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1C845EE2" w14:textId="7B6EA74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1D38D540" w14:textId="33B2850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17C29072" w14:textId="77777777" w:rsidTr="00FA5D80">
        <w:trPr>
          <w:trHeight w:val="70"/>
        </w:trPr>
        <w:tc>
          <w:tcPr>
            <w:tcW w:w="763" w:type="pct"/>
            <w:vMerge/>
            <w:vAlign w:val="center"/>
            <w:hideMark/>
          </w:tcPr>
          <w:p w14:paraId="173CC0C8"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10BC81CA"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Deberá privilegiarse el uso de las Tecnologías de Información y las Telecomunicaciones TICs, con el objeto de restringir al máximo el consumo de papelería y otros elementos que  impliquen erogaciones, tales como carpetas, libretas, bolígrafos, etc.</w:t>
            </w:r>
          </w:p>
        </w:tc>
        <w:tc>
          <w:tcPr>
            <w:tcW w:w="383" w:type="pct"/>
            <w:shd w:val="clear" w:color="auto" w:fill="CCFF99"/>
            <w:vAlign w:val="center"/>
            <w:hideMark/>
          </w:tcPr>
          <w:p w14:paraId="2ACBE0A6" w14:textId="14EE00C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6A7617F8" w14:textId="59D772F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F8272DD" w14:textId="0A24206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A7D6618" w14:textId="4D161D3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2A0C0DD6" w14:textId="77777777" w:rsidTr="00FA5D80">
        <w:trPr>
          <w:trHeight w:val="70"/>
        </w:trPr>
        <w:tc>
          <w:tcPr>
            <w:tcW w:w="763" w:type="pct"/>
            <w:vMerge/>
            <w:vAlign w:val="center"/>
            <w:hideMark/>
          </w:tcPr>
          <w:p w14:paraId="1E2C2435"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1E75C0F9"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Se realizarán los eventos de capacitación  estrictamente necesarios para la entidad y organismo, se privilegiará en su organización y desarrollo el uso de auditorios o espacios  institucionales.</w:t>
            </w:r>
          </w:p>
        </w:tc>
        <w:tc>
          <w:tcPr>
            <w:tcW w:w="383" w:type="pct"/>
            <w:shd w:val="clear" w:color="auto" w:fill="CCFF99"/>
            <w:vAlign w:val="center"/>
            <w:hideMark/>
          </w:tcPr>
          <w:p w14:paraId="2678E162" w14:textId="70BFF22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66B26AD" w14:textId="65CCEAF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7B7658E" w14:textId="5F5830F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31BFE6F5" w14:textId="42DD014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7F8FE772" w14:textId="77777777" w:rsidTr="00FA5D80">
        <w:trPr>
          <w:trHeight w:val="285"/>
        </w:trPr>
        <w:tc>
          <w:tcPr>
            <w:tcW w:w="763" w:type="pct"/>
            <w:vMerge/>
            <w:vAlign w:val="center"/>
            <w:hideMark/>
          </w:tcPr>
          <w:p w14:paraId="2B7B9380"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3ED6574A"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 Así mismo, se limitarán los gastos en alimentación o provisión de refrigerios.</w:t>
            </w:r>
          </w:p>
        </w:tc>
        <w:tc>
          <w:tcPr>
            <w:tcW w:w="383" w:type="pct"/>
            <w:shd w:val="clear" w:color="auto" w:fill="CCFF99"/>
            <w:vAlign w:val="center"/>
            <w:hideMark/>
          </w:tcPr>
          <w:p w14:paraId="3FDF77CB" w14:textId="34985C7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7B036C47" w14:textId="73A65A9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D5DCF36" w14:textId="5C5B0BD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22E3285B" w14:textId="186F1F9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18995A67" w14:textId="77777777" w:rsidTr="00FA5D80">
        <w:trPr>
          <w:trHeight w:val="70"/>
        </w:trPr>
        <w:tc>
          <w:tcPr>
            <w:tcW w:w="763" w:type="pct"/>
            <w:vMerge/>
            <w:vAlign w:val="center"/>
            <w:hideMark/>
          </w:tcPr>
          <w:p w14:paraId="4EAF100D"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2D07A481"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De igual forma, los servidores públicos que asistan a cursos de capacitación deberán trasmitir el conocimiento adquirido al personal del área donde desempeñan sus labores, en aras de difundir el conocimiento en beneficio de los objetivos institucionales</w:t>
            </w:r>
          </w:p>
        </w:tc>
        <w:tc>
          <w:tcPr>
            <w:tcW w:w="383" w:type="pct"/>
            <w:shd w:val="clear" w:color="auto" w:fill="CCFF99"/>
            <w:vAlign w:val="center"/>
            <w:hideMark/>
          </w:tcPr>
          <w:p w14:paraId="193EC447" w14:textId="075FA79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17FCA259" w14:textId="204BB4B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1ECFFE8" w14:textId="05B989A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C223D61" w14:textId="4EE1A29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1929FF08" w14:textId="77777777" w:rsidTr="00FA5D80">
        <w:trPr>
          <w:trHeight w:val="810"/>
        </w:trPr>
        <w:tc>
          <w:tcPr>
            <w:tcW w:w="763" w:type="pct"/>
            <w:vMerge w:val="restart"/>
            <w:shd w:val="clear" w:color="auto" w:fill="auto"/>
            <w:vAlign w:val="center"/>
            <w:hideMark/>
          </w:tcPr>
          <w:p w14:paraId="4E2DE2AE"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8 Bienestar</w:t>
            </w:r>
          </w:p>
        </w:tc>
        <w:tc>
          <w:tcPr>
            <w:tcW w:w="2638" w:type="pct"/>
            <w:shd w:val="clear" w:color="auto" w:fill="auto"/>
            <w:vAlign w:val="center"/>
            <w:hideMark/>
          </w:tcPr>
          <w:p w14:paraId="515E0F11"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Para la realización de las actividades de bienestar en las entidades y organismos distritales deberá considerarse la oferta realizada por el DASCD, para  promover la participación de los servidores públicos en estos espacios.</w:t>
            </w:r>
          </w:p>
        </w:tc>
        <w:tc>
          <w:tcPr>
            <w:tcW w:w="383" w:type="pct"/>
            <w:shd w:val="clear" w:color="auto" w:fill="CCFF99"/>
            <w:vAlign w:val="center"/>
            <w:hideMark/>
          </w:tcPr>
          <w:p w14:paraId="2074E18F" w14:textId="2383364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EFDF162" w14:textId="101B2A4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2F220C8D" w14:textId="1ED5C2C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8484FCB" w14:textId="1853FC8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CFCCA77" w14:textId="77777777" w:rsidTr="00FA5D80">
        <w:trPr>
          <w:trHeight w:val="1080"/>
        </w:trPr>
        <w:tc>
          <w:tcPr>
            <w:tcW w:w="763" w:type="pct"/>
            <w:vMerge/>
            <w:vAlign w:val="center"/>
            <w:hideMark/>
          </w:tcPr>
          <w:p w14:paraId="7B29990A"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05E10B40"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Igualmente, en lo posible, para la realización de eventos de bienestar de las entidades y organismos distritales, la misma podrá coordinarse de manera conjunta con otros entes públicos del orden distrital que tengan necesidades análogas o similares, esto con el objetivo de lograr economías de escala y disminuir costos.</w:t>
            </w:r>
          </w:p>
        </w:tc>
        <w:tc>
          <w:tcPr>
            <w:tcW w:w="383" w:type="pct"/>
            <w:shd w:val="clear" w:color="auto" w:fill="CCFF99"/>
            <w:vAlign w:val="center"/>
            <w:hideMark/>
          </w:tcPr>
          <w:p w14:paraId="2579380B" w14:textId="0734A78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667D4C4" w14:textId="0DA2737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85A23B7" w14:textId="54D884D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5190C61" w14:textId="04E48DF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056D894" w14:textId="77777777" w:rsidTr="00FA5D80">
        <w:trPr>
          <w:trHeight w:val="1080"/>
        </w:trPr>
        <w:tc>
          <w:tcPr>
            <w:tcW w:w="763" w:type="pct"/>
            <w:vMerge/>
            <w:vAlign w:val="center"/>
            <w:hideMark/>
          </w:tcPr>
          <w:p w14:paraId="38F02048"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F13371B"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En todo caso, las entidades y organismos distritales no podrán destinar recursos para la conmemoración del día de los secretarios y conductores como quiera que estas actividades se encuentran coordinadas por el DASCD y, por consiguiente, debe evitarse la duplicidad  de recursos orientados a cubrir idénticas  necesidades.</w:t>
            </w:r>
          </w:p>
        </w:tc>
        <w:tc>
          <w:tcPr>
            <w:tcW w:w="383" w:type="pct"/>
            <w:shd w:val="clear" w:color="auto" w:fill="CCFF99"/>
            <w:vAlign w:val="center"/>
            <w:hideMark/>
          </w:tcPr>
          <w:p w14:paraId="4F35F58D" w14:textId="2B8DDA3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641A0E0B" w14:textId="1BC73FB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699A472" w14:textId="77E24BA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F468B32" w14:textId="1E5C3E7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F324EDF" w14:textId="77777777" w:rsidTr="00FA5D80">
        <w:trPr>
          <w:trHeight w:val="70"/>
        </w:trPr>
        <w:tc>
          <w:tcPr>
            <w:tcW w:w="763" w:type="pct"/>
            <w:shd w:val="clear" w:color="auto" w:fill="auto"/>
            <w:vAlign w:val="center"/>
            <w:hideMark/>
          </w:tcPr>
          <w:p w14:paraId="0EBF7053"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9 Fondos educativos</w:t>
            </w:r>
          </w:p>
        </w:tc>
        <w:tc>
          <w:tcPr>
            <w:tcW w:w="2638" w:type="pct"/>
            <w:shd w:val="clear" w:color="auto" w:fill="auto"/>
            <w:vAlign w:val="center"/>
            <w:hideMark/>
          </w:tcPr>
          <w:p w14:paraId="6144C95C"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Las entidades y organismos distritales que tengan asignados recursos para promover la capacitación formal de sus empleados públicos e hijos,  en el marco de sus Programas de Bienestar e Incentivos, deberán canalizar la oferta distrital en el Fondo Educativo </w:t>
            </w:r>
            <w:r w:rsidRPr="008D1378">
              <w:rPr>
                <w:rFonts w:ascii="Arial Narrow" w:eastAsia="Times New Roman" w:hAnsi="Arial Narrow" w:cs="Arial"/>
                <w:color w:val="000000"/>
                <w:sz w:val="18"/>
                <w:szCs w:val="18"/>
                <w:lang w:val="es-MX" w:eastAsia="es-MX"/>
              </w:rPr>
              <w:lastRenderedPageBreak/>
              <w:t>en Administración de Recursos para Capacitación Educativa de los Empleados Públicos del Distrito Capital - FRADEC y el Fondo Educativo del Distrito para hijos de empleados - FEDHE, buscando optimizar los recursos y evitar duplicar esfuerzos institucionales destinados a este fin</w:t>
            </w:r>
          </w:p>
        </w:tc>
        <w:tc>
          <w:tcPr>
            <w:tcW w:w="383" w:type="pct"/>
            <w:shd w:val="clear" w:color="auto" w:fill="auto"/>
            <w:vAlign w:val="center"/>
            <w:hideMark/>
          </w:tcPr>
          <w:p w14:paraId="26EDCAE1" w14:textId="4FD8F46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lastRenderedPageBreak/>
              <w:t> </w:t>
            </w:r>
          </w:p>
        </w:tc>
        <w:tc>
          <w:tcPr>
            <w:tcW w:w="386" w:type="pct"/>
            <w:shd w:val="clear" w:color="auto" w:fill="auto"/>
            <w:vAlign w:val="center"/>
            <w:hideMark/>
          </w:tcPr>
          <w:p w14:paraId="0B8CE844" w14:textId="7E41C2D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37B739F7" w14:textId="4679512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0B379A97" w14:textId="082131A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7A7C21DC" w14:textId="77777777" w:rsidTr="00FA5D80">
        <w:trPr>
          <w:trHeight w:val="4050"/>
        </w:trPr>
        <w:tc>
          <w:tcPr>
            <w:tcW w:w="763" w:type="pct"/>
            <w:shd w:val="clear" w:color="auto" w:fill="auto"/>
            <w:vAlign w:val="center"/>
            <w:hideMark/>
          </w:tcPr>
          <w:p w14:paraId="7808ADCE"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10 Estudios técnicos de rediseño institucional.</w:t>
            </w:r>
          </w:p>
        </w:tc>
        <w:tc>
          <w:tcPr>
            <w:tcW w:w="2638" w:type="pct"/>
            <w:shd w:val="clear" w:color="auto" w:fill="auto"/>
            <w:vAlign w:val="center"/>
            <w:hideMark/>
          </w:tcPr>
          <w:p w14:paraId="0000AE27"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Cuando las entidades y organismos planeen adelantar procesos de modificación de estructuras organizacionales y/o  plantas de personal que puedan incrementar su presupuesto de gastos de funcionamiento o inversión, previo a la contratación de consultorías para la realización de los estudios técnicos de que trata el artículo 46 de la Ley 909 de 2004, modificado por el artículo 228 del Decreto Ley 019 de 2012, deberán realizar reuniones técnicas con la Dirección Distrital de Presupuesto de la Secretaría Distrital de Hacienda y con el DASCD, para establecer de manera preliminar la viabilidad técnica y financiera de la propuesta de modificación de las plantas de personal. Esto con el fin de evitar la contratación de estudios de rediseño institucional que no se materialicen en actos administrativos de modificación de planta o estructura organizacional. </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En todo caso, las entidades y organismos podrán adelantar estudios técnicos de rediseño a través de la conformación de equipos técnicos multidisciplinarios, conformados con personal de su propia planta y, con la asesoría del DASCD</w:t>
            </w:r>
          </w:p>
        </w:tc>
        <w:tc>
          <w:tcPr>
            <w:tcW w:w="383" w:type="pct"/>
            <w:shd w:val="clear" w:color="auto" w:fill="auto"/>
            <w:vAlign w:val="center"/>
            <w:hideMark/>
          </w:tcPr>
          <w:p w14:paraId="3525BA74" w14:textId="72B38B0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036EB509" w14:textId="336C85B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923C0B5" w14:textId="15C9FC3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7BA4C08F" w14:textId="543E25C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2694A52B" w14:textId="77777777" w:rsidTr="00FA5D80">
        <w:trPr>
          <w:trHeight w:val="336"/>
        </w:trPr>
        <w:tc>
          <w:tcPr>
            <w:tcW w:w="763" w:type="pct"/>
            <w:shd w:val="clear" w:color="auto" w:fill="auto"/>
            <w:vAlign w:val="center"/>
            <w:hideMark/>
          </w:tcPr>
          <w:p w14:paraId="072BF521"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11 Concursos públicos abiertos de méritos</w:t>
            </w:r>
          </w:p>
        </w:tc>
        <w:tc>
          <w:tcPr>
            <w:tcW w:w="2638" w:type="pct"/>
            <w:shd w:val="clear" w:color="auto" w:fill="auto"/>
            <w:vAlign w:val="center"/>
            <w:hideMark/>
          </w:tcPr>
          <w:p w14:paraId="3C679E5F"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Las entidades y organismos distritales concertarán la realización de concursos públicos abiertos de méritos con la Comisión Nacional del Servicio Civil -CNSC, a través del DASCD conforme con las atribuciones conferidas en el artículo 1 del Decreto Distrital 580 de 2017, buscando la optimización de los costos y la generación de economías de escala frente a los gastos en los que se incurre para la realización de dichos concursos. </w:t>
            </w:r>
          </w:p>
        </w:tc>
        <w:tc>
          <w:tcPr>
            <w:tcW w:w="383" w:type="pct"/>
            <w:shd w:val="clear" w:color="auto" w:fill="CCFF99"/>
            <w:vAlign w:val="center"/>
            <w:hideMark/>
          </w:tcPr>
          <w:p w14:paraId="6E3382DE" w14:textId="152D54C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49306F1E" w14:textId="6591E1E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2239E19" w14:textId="68F54D2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B751ADF" w14:textId="1F3CD89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0D1D0971" w14:textId="77777777" w:rsidTr="00FA5D80">
        <w:trPr>
          <w:trHeight w:val="2160"/>
        </w:trPr>
        <w:tc>
          <w:tcPr>
            <w:tcW w:w="763" w:type="pct"/>
            <w:vMerge w:val="restart"/>
            <w:shd w:val="clear" w:color="auto" w:fill="auto"/>
            <w:vAlign w:val="center"/>
            <w:hideMark/>
          </w:tcPr>
          <w:p w14:paraId="2F913964"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12 Viáticos y gastos de viaje</w:t>
            </w:r>
          </w:p>
        </w:tc>
        <w:tc>
          <w:tcPr>
            <w:tcW w:w="2638" w:type="pct"/>
            <w:shd w:val="clear" w:color="auto" w:fill="auto"/>
            <w:vAlign w:val="center"/>
            <w:hideMark/>
          </w:tcPr>
          <w:p w14:paraId="715371D7"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Para las comisiones de servicios al exterior de los secretarios de despacho, directores de departamentos administrativos, gerentes, presidentes, directores de establecimientos públicos, unidades administrativas especiales, empresas industriales y comerciales del distrito, sociedades de economía mixta, sociedades públicas, empresas de servicios públicos, empresas sociales del estado, Veeduría Distrital y servidores públicos de cualquier nivel jerárquico, exceptuando al personal docente vinculado a la Secretaría de Educación del Distrito, se requerirá de la autorización del señor Alcalde Mayor de Bogotá, D.C. </w:t>
            </w:r>
          </w:p>
        </w:tc>
        <w:tc>
          <w:tcPr>
            <w:tcW w:w="383" w:type="pct"/>
            <w:shd w:val="clear" w:color="auto" w:fill="auto"/>
            <w:vAlign w:val="center"/>
            <w:hideMark/>
          </w:tcPr>
          <w:p w14:paraId="29432E02" w14:textId="54C92F5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1148C198" w14:textId="57EB1E2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2F37A6E8" w14:textId="112A3ED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050ADF16" w14:textId="1FEB8A2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19C63B1A" w14:textId="77777777" w:rsidTr="00FA5D80">
        <w:trPr>
          <w:trHeight w:val="1080"/>
        </w:trPr>
        <w:tc>
          <w:tcPr>
            <w:tcW w:w="763" w:type="pct"/>
            <w:vMerge/>
            <w:vAlign w:val="center"/>
            <w:hideMark/>
          </w:tcPr>
          <w:p w14:paraId="2DFFDB3D"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4B8A8CED"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Adicional, previo a la expedición del acto administrativo que autorice la comisión al exterior, se deberá contar con la disponibilidad presupuestal requerida para el reconocimiento de los viáticos y gastos de viaje, con lo cual se podrá continuar con el trámite, de conformidad con el Manual Operativo Presupuestal del Distrito Capital. </w:t>
            </w:r>
          </w:p>
        </w:tc>
        <w:tc>
          <w:tcPr>
            <w:tcW w:w="383" w:type="pct"/>
            <w:shd w:val="clear" w:color="auto" w:fill="auto"/>
            <w:vAlign w:val="center"/>
            <w:hideMark/>
          </w:tcPr>
          <w:p w14:paraId="1D4D2ACE" w14:textId="2D1063E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346FD7FC" w14:textId="759E55F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1BDAC66" w14:textId="6E8C4D6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248B9455" w14:textId="2422384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03D13555" w14:textId="77777777" w:rsidTr="00FA5D80">
        <w:trPr>
          <w:trHeight w:val="70"/>
        </w:trPr>
        <w:tc>
          <w:tcPr>
            <w:tcW w:w="763" w:type="pct"/>
            <w:vMerge/>
            <w:vAlign w:val="center"/>
            <w:hideMark/>
          </w:tcPr>
          <w:p w14:paraId="64D60D17"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02C1117D"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comisiones de servicio que impliquen la asignación de viáticos y gastos de viaje al interior del país de los servidores públicos de cualquier nivel jerárquico serán conferidas por el jefe del órgano público respectivo o por quien éste delegue. En el caso del jefe del respectivo organismo, ente o entidad, se requerirá la aprobación del despacho del señor  Alcalde Mayor de Bogotá, D.C</w:t>
            </w:r>
          </w:p>
        </w:tc>
        <w:tc>
          <w:tcPr>
            <w:tcW w:w="383" w:type="pct"/>
            <w:shd w:val="clear" w:color="auto" w:fill="auto"/>
            <w:vAlign w:val="center"/>
            <w:hideMark/>
          </w:tcPr>
          <w:p w14:paraId="43C88BA0" w14:textId="397409F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7FA16133" w14:textId="6C7E661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D1ADDD5" w14:textId="6B431BA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3ABD1B68" w14:textId="298113B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27559F10" w14:textId="77777777" w:rsidTr="00FA5D80">
        <w:trPr>
          <w:trHeight w:val="70"/>
        </w:trPr>
        <w:tc>
          <w:tcPr>
            <w:tcW w:w="763" w:type="pct"/>
            <w:vMerge/>
            <w:vAlign w:val="center"/>
            <w:hideMark/>
          </w:tcPr>
          <w:p w14:paraId="0BF7BB79"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39DFD046"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En la modificación presupuestal para sufragar los viáticos y gastos de viaje autorizados, no se podrán contracreditar los rubros asociados a Nómina de las entidades y organismos. Excepcionalmente en el último trimestre de cada vigencia se podrán </w:t>
            </w:r>
            <w:r w:rsidRPr="008D1378">
              <w:rPr>
                <w:rFonts w:ascii="Arial Narrow" w:eastAsia="Times New Roman" w:hAnsi="Arial Narrow" w:cs="Arial"/>
                <w:color w:val="000000"/>
                <w:sz w:val="18"/>
                <w:szCs w:val="18"/>
                <w:lang w:val="es-MX" w:eastAsia="es-MX"/>
              </w:rPr>
              <w:lastRenderedPageBreak/>
              <w:t>autorizar dichas modificaciones justificando la disponibilidad de los rubros a contracreditar</w:t>
            </w:r>
          </w:p>
        </w:tc>
        <w:tc>
          <w:tcPr>
            <w:tcW w:w="383" w:type="pct"/>
            <w:shd w:val="clear" w:color="auto" w:fill="auto"/>
            <w:vAlign w:val="center"/>
            <w:hideMark/>
          </w:tcPr>
          <w:p w14:paraId="5A45D390" w14:textId="7285C0D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lastRenderedPageBreak/>
              <w:t> </w:t>
            </w:r>
          </w:p>
        </w:tc>
        <w:tc>
          <w:tcPr>
            <w:tcW w:w="386" w:type="pct"/>
            <w:shd w:val="clear" w:color="auto" w:fill="auto"/>
            <w:vAlign w:val="center"/>
            <w:hideMark/>
          </w:tcPr>
          <w:p w14:paraId="43D215C0" w14:textId="27248FE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D9949CE" w14:textId="0295BFA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2CB1429F" w14:textId="1186C8A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0CB471E2" w14:textId="77777777" w:rsidTr="00FA5D80">
        <w:trPr>
          <w:trHeight w:val="1890"/>
        </w:trPr>
        <w:tc>
          <w:tcPr>
            <w:tcW w:w="763" w:type="pct"/>
            <w:vMerge/>
            <w:vAlign w:val="center"/>
            <w:hideMark/>
          </w:tcPr>
          <w:p w14:paraId="1AC3DF5D"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75CAF40"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Cuando la totalidad de los gastos para manutención, alojamiento y transporte que genere la comisión de servicios sean asumidos por otro organismo o entidad pública o privada, no habrá lugar al pago de viáticos y gastos de viaje. Así mismo, si los gastos que genera la comisión son asumidos de forma parcial por otro organismo o entidad pública o privada, únicamente se reconocerá la diferencia. De igual manera, las entidades y organismos deberán racionalizar el gasto cuando la comisión de servicios no requiera que el servidor público se aloje en el lugar de la comisión. </w:t>
            </w:r>
          </w:p>
        </w:tc>
        <w:tc>
          <w:tcPr>
            <w:tcW w:w="383" w:type="pct"/>
            <w:shd w:val="clear" w:color="auto" w:fill="auto"/>
            <w:vAlign w:val="center"/>
            <w:hideMark/>
          </w:tcPr>
          <w:p w14:paraId="69BC1A7E" w14:textId="7E7BE84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7051315B" w14:textId="62F1D89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5DF6B3D" w14:textId="39D3393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1721F4AE" w14:textId="568D241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382605A3" w14:textId="77777777" w:rsidTr="00FA5D80">
        <w:trPr>
          <w:trHeight w:val="118"/>
        </w:trPr>
        <w:tc>
          <w:tcPr>
            <w:tcW w:w="763" w:type="pct"/>
            <w:vMerge/>
            <w:vAlign w:val="center"/>
            <w:hideMark/>
          </w:tcPr>
          <w:p w14:paraId="0181A733"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5F7F690"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El jefe del respectivo ente o entidad distrital, o en quien éste delegue deberá determinar el número racional de servidores públicos que debe desplazarse para cumplir el objeto de la comisión, de acuerdo con los objetivos, proyectos y metas previstos para la vigencia, la disponibilidad de la apropiación presupuestal y en el marco de la eficiencia de los recursos  y austeridad en el gasto público.</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La Secretaría Distrital de Hacienda a través de la Dirección Distrital de Presupuesto, en observancia de lo previsto en el artículo 92 del Decreto Distrital 714 de 1996, podrá limitar el valor solicitado por una entidad para el rubro "viáticos y gastos de viaje", cuando la justificación del gasto no se ajuste a lo programado</w:t>
            </w:r>
          </w:p>
        </w:tc>
        <w:tc>
          <w:tcPr>
            <w:tcW w:w="383" w:type="pct"/>
            <w:shd w:val="clear" w:color="auto" w:fill="auto"/>
            <w:vAlign w:val="center"/>
            <w:hideMark/>
          </w:tcPr>
          <w:p w14:paraId="74BAE480" w14:textId="725C58A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40DD0746" w14:textId="21013DC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A6CDD2C" w14:textId="41FDA9E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3D6DCB88" w14:textId="3B3EDCB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751B91A0" w14:textId="77777777" w:rsidTr="00FA5D80">
        <w:trPr>
          <w:trHeight w:val="810"/>
        </w:trPr>
        <w:tc>
          <w:tcPr>
            <w:tcW w:w="763" w:type="pct"/>
            <w:vMerge/>
            <w:vAlign w:val="center"/>
            <w:hideMark/>
          </w:tcPr>
          <w:p w14:paraId="25B300E7"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5F366AB8"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b/>
                <w:bCs/>
                <w:color w:val="000000"/>
                <w:sz w:val="18"/>
                <w:szCs w:val="18"/>
                <w:lang w:val="es-MX" w:eastAsia="es-MX"/>
              </w:rPr>
              <w:t xml:space="preserve">Parágrafo. </w:t>
            </w:r>
            <w:r w:rsidRPr="008D1378">
              <w:rPr>
                <w:rFonts w:ascii="Arial Narrow" w:eastAsia="Times New Roman" w:hAnsi="Arial Narrow" w:cs="Arial"/>
                <w:color w:val="000000"/>
                <w:sz w:val="18"/>
                <w:szCs w:val="18"/>
                <w:lang w:val="es-MX" w:eastAsia="es-MX"/>
              </w:rPr>
              <w:t>Para todos los efectos de lo previsto en este artículo el visto bueno y la aprobación del Alcalde Mayor para las comisiones al exterior y al interior del país se entenderán surtidos con la firma del respectivo acto administrativo</w:t>
            </w:r>
          </w:p>
        </w:tc>
        <w:tc>
          <w:tcPr>
            <w:tcW w:w="383" w:type="pct"/>
            <w:shd w:val="clear" w:color="auto" w:fill="auto"/>
            <w:vAlign w:val="center"/>
            <w:hideMark/>
          </w:tcPr>
          <w:p w14:paraId="45A8F5A7" w14:textId="1EEC2E2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7DE4D537" w14:textId="4DDB3F2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ED49F1B" w14:textId="17B426E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BFBFBF"/>
            <w:vAlign w:val="center"/>
            <w:hideMark/>
          </w:tcPr>
          <w:p w14:paraId="4DE8C006" w14:textId="1DE880B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70FD38A6" w14:textId="77777777" w:rsidTr="00FA5D80">
        <w:trPr>
          <w:trHeight w:val="70"/>
        </w:trPr>
        <w:tc>
          <w:tcPr>
            <w:tcW w:w="763" w:type="pct"/>
            <w:shd w:val="clear" w:color="auto" w:fill="auto"/>
            <w:vAlign w:val="center"/>
            <w:hideMark/>
          </w:tcPr>
          <w:p w14:paraId="3DAE9319"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13 Parámetros para contratar servicios administrativos.</w:t>
            </w:r>
          </w:p>
        </w:tc>
        <w:tc>
          <w:tcPr>
            <w:tcW w:w="2638" w:type="pct"/>
            <w:shd w:val="clear" w:color="auto" w:fill="auto"/>
            <w:vAlign w:val="center"/>
            <w:hideMark/>
          </w:tcPr>
          <w:p w14:paraId="6D4DF62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Una vez identificada la necesidad de adquirir equipos de cómputo, impresión y fotocopiado o similares, las entidades y organismos deberán realizar un estudio que incluya ventajas y desventajas en la compra o arrendamiento de estos bienes, a través de la implementación de mejores prácticas, valoración de todos los costos tanto fijos como variables, entre estos: los seguros, actualizaciones, mantenimiento, licenciamiento, etc., análisis que deberá reflejarse en el respectivo estudio del sector. </w:t>
            </w:r>
          </w:p>
        </w:tc>
        <w:tc>
          <w:tcPr>
            <w:tcW w:w="383" w:type="pct"/>
            <w:shd w:val="clear" w:color="auto" w:fill="auto"/>
            <w:vAlign w:val="center"/>
            <w:hideMark/>
          </w:tcPr>
          <w:p w14:paraId="62EA2337" w14:textId="7079301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FF66CC"/>
            <w:vAlign w:val="center"/>
            <w:hideMark/>
          </w:tcPr>
          <w:p w14:paraId="4B55F362" w14:textId="7EA3146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451" w:type="pct"/>
            <w:shd w:val="clear" w:color="auto" w:fill="auto"/>
            <w:vAlign w:val="center"/>
            <w:hideMark/>
          </w:tcPr>
          <w:p w14:paraId="3B66E0DA" w14:textId="422D96E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74CCD466" w14:textId="1D0E5EB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231E62F3" w14:textId="77777777" w:rsidTr="00FA5D80">
        <w:trPr>
          <w:trHeight w:val="810"/>
        </w:trPr>
        <w:tc>
          <w:tcPr>
            <w:tcW w:w="763" w:type="pct"/>
            <w:vMerge w:val="restart"/>
            <w:shd w:val="clear" w:color="auto" w:fill="auto"/>
            <w:vAlign w:val="center"/>
            <w:hideMark/>
          </w:tcPr>
          <w:p w14:paraId="3D733237"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14 Telefonía celular.</w:t>
            </w:r>
          </w:p>
        </w:tc>
        <w:tc>
          <w:tcPr>
            <w:tcW w:w="2638" w:type="pct"/>
            <w:shd w:val="clear" w:color="auto" w:fill="auto"/>
            <w:vAlign w:val="center"/>
            <w:hideMark/>
          </w:tcPr>
          <w:p w14:paraId="075A2FD7"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Se podrá asignar el servicio de teléfono celular con cargo al presupuesto asignado para el nivel directivo que, en razón de las funciones  desempeñadas requieren disponibilidad inmediata y comunicación ágil y permanente.</w:t>
            </w:r>
          </w:p>
        </w:tc>
        <w:tc>
          <w:tcPr>
            <w:tcW w:w="383" w:type="pct"/>
            <w:shd w:val="clear" w:color="auto" w:fill="CCFF99"/>
            <w:vAlign w:val="center"/>
            <w:hideMark/>
          </w:tcPr>
          <w:p w14:paraId="29EA0600" w14:textId="73C8CD5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11F4FF00" w14:textId="748A4E5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EE76409" w14:textId="2163401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DF5A096" w14:textId="0B29C4F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2A13D37" w14:textId="77777777" w:rsidTr="00FA5D80">
        <w:trPr>
          <w:trHeight w:val="194"/>
        </w:trPr>
        <w:tc>
          <w:tcPr>
            <w:tcW w:w="763" w:type="pct"/>
            <w:vMerge/>
            <w:vAlign w:val="center"/>
            <w:hideMark/>
          </w:tcPr>
          <w:p w14:paraId="5FC6D08D"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93BADFA"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En este sentido, las entidades y organismos propenderán por elegir la mejor opción de acuerdo con los planes disponibles en el mercado, por ello, pagarán y reconocerán por los consumos mensuales de telefonía celular, hasta un máximo del cincuenta por ciento (50%) de un salario mínimo legal mensual vigente SMLMV por un plan de celular; excepcionalmente se autorizarán consumos mayores por parte del jefe de la respectiva entidad y organismo distrital, quién tendrá derecho al equivalente a un cien por ciento  (100%) del salario mínimo legal mensual. </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Superado el monto autorizado, los costos adicionales serán sufragados directamente por los servidores públicos usuarios del servicio de telefonía móvil.</w:t>
            </w:r>
          </w:p>
        </w:tc>
        <w:tc>
          <w:tcPr>
            <w:tcW w:w="383" w:type="pct"/>
            <w:shd w:val="clear" w:color="auto" w:fill="CCFF99"/>
            <w:vAlign w:val="center"/>
            <w:hideMark/>
          </w:tcPr>
          <w:p w14:paraId="318E3A38" w14:textId="2E15D83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85C4D7C" w14:textId="33B7A67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8157167" w14:textId="1A81DC5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79AC50B6" w14:textId="44FA200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C4C46E4" w14:textId="77777777" w:rsidTr="00FA5D80">
        <w:trPr>
          <w:trHeight w:val="1080"/>
        </w:trPr>
        <w:tc>
          <w:tcPr>
            <w:tcW w:w="763" w:type="pct"/>
            <w:vMerge/>
            <w:vAlign w:val="center"/>
            <w:hideMark/>
          </w:tcPr>
          <w:p w14:paraId="5EB664C9"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16454BE3"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Se propenderá por buscar las mejores condiciones del mercado llegando hasta unificar el operador del servicio de telefonía móvil para todos los servidores públicos autorizados por los reglamentos internos expedidos para tal efecto; de otra parte, se deberá privilegiar sistemas basados en protocolos de internet. </w:t>
            </w:r>
          </w:p>
        </w:tc>
        <w:tc>
          <w:tcPr>
            <w:tcW w:w="383" w:type="pct"/>
            <w:shd w:val="clear" w:color="auto" w:fill="CCFF99"/>
            <w:vAlign w:val="center"/>
            <w:hideMark/>
          </w:tcPr>
          <w:p w14:paraId="7B7D0746" w14:textId="52C544E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68CF109" w14:textId="4A10043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8078942" w14:textId="66BB511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429A284" w14:textId="2B221FE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1DAF165A" w14:textId="77777777" w:rsidTr="00FA5D80">
        <w:trPr>
          <w:trHeight w:val="1890"/>
        </w:trPr>
        <w:tc>
          <w:tcPr>
            <w:tcW w:w="763" w:type="pct"/>
            <w:vMerge/>
            <w:vAlign w:val="center"/>
            <w:hideMark/>
          </w:tcPr>
          <w:p w14:paraId="254887B9"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A8B9773"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De acuerdo con las necesidades estrictamente justificadas por el jefe de la respectiva entidad y organismo, se podrá otorgar uso de telefonía celular, a los servidores públicos del nivel asesor que se desempeñen directamente en el Despacho, o a los jefes de oficina asesora jurídica, o de planeación, o de prensa, o de comunicaciones, así como a aquellos servidores públicos de otros niveles que en razón de sus funciones deban atender situaciones de emergencia o hacer seguimiento de forma permanente a la operación del servicio</w:t>
            </w:r>
          </w:p>
        </w:tc>
        <w:tc>
          <w:tcPr>
            <w:tcW w:w="383" w:type="pct"/>
            <w:shd w:val="clear" w:color="auto" w:fill="CCFF99"/>
            <w:vAlign w:val="center"/>
            <w:hideMark/>
          </w:tcPr>
          <w:p w14:paraId="083E0F6A" w14:textId="47C5321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4FE219EB" w14:textId="19CF64C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30091FFE" w14:textId="543588C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691D2205" w14:textId="603B64B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3D4C196" w14:textId="77777777" w:rsidTr="00FA5D80">
        <w:trPr>
          <w:trHeight w:val="1890"/>
        </w:trPr>
        <w:tc>
          <w:tcPr>
            <w:tcW w:w="763" w:type="pct"/>
            <w:shd w:val="clear" w:color="auto" w:fill="auto"/>
            <w:vAlign w:val="center"/>
            <w:hideMark/>
          </w:tcPr>
          <w:p w14:paraId="60F929D3"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Artículo 15 Telefonía fija. </w:t>
            </w:r>
          </w:p>
        </w:tc>
        <w:tc>
          <w:tcPr>
            <w:tcW w:w="2638" w:type="pct"/>
            <w:shd w:val="clear" w:color="auto" w:fill="auto"/>
            <w:vAlign w:val="center"/>
            <w:hideMark/>
          </w:tcPr>
          <w:p w14:paraId="51C66728"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adoptarán modalidades de control para llamadas internacionales, nacionales y a teléfonos celulares, incluyendo la adopción de tecnología IP, teléfonos digitales o tecnologías similares o superiores, las cuales sólo serán autorizados en líneas específicas, para el cumplimiento de los fines institucionales y previa justificación del jefe del área que requiera la habilitación de la línea. El control del consumo corresponde estrictamente  al jefe del área a la cual se asigna este tipo de servicio.</w:t>
            </w:r>
          </w:p>
        </w:tc>
        <w:tc>
          <w:tcPr>
            <w:tcW w:w="383" w:type="pct"/>
            <w:shd w:val="clear" w:color="auto" w:fill="CCFF99"/>
            <w:vAlign w:val="center"/>
            <w:hideMark/>
          </w:tcPr>
          <w:p w14:paraId="43704BC3" w14:textId="2247962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461756B3" w14:textId="3C68A45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0865E939" w14:textId="00C33AC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8B0DB2A" w14:textId="5CFC1CD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27C409D" w14:textId="77777777" w:rsidTr="00FA5D80">
        <w:trPr>
          <w:trHeight w:val="671"/>
        </w:trPr>
        <w:tc>
          <w:tcPr>
            <w:tcW w:w="763" w:type="pct"/>
            <w:vMerge w:val="restart"/>
            <w:shd w:val="clear" w:color="auto" w:fill="auto"/>
            <w:vAlign w:val="center"/>
            <w:hideMark/>
          </w:tcPr>
          <w:p w14:paraId="54135D79"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Artículo 16 Vehículos oficiales. </w:t>
            </w:r>
          </w:p>
        </w:tc>
        <w:tc>
          <w:tcPr>
            <w:tcW w:w="2638" w:type="pct"/>
            <w:shd w:val="clear" w:color="auto" w:fill="auto"/>
            <w:vAlign w:val="center"/>
            <w:hideMark/>
          </w:tcPr>
          <w:p w14:paraId="05F5DDD3"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Se podrán autorizar y asignar vehículos de uso oficial con cargo a recursos de la entidad, exclusivamente a servidores públicos del nivel directivo. </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 xml:space="preserve">Así, en aplicación del principio de economía y de los postulados del Estatuto General de Contratación de la Administración Pública, para atender las necesidades de transporte de la entidad y para el desempeño de sus funciones, se deberá realizar la respectiva contratación a través de los procesos de selección objetiva previstos en la ley. </w:t>
            </w:r>
          </w:p>
        </w:tc>
        <w:tc>
          <w:tcPr>
            <w:tcW w:w="383" w:type="pct"/>
            <w:shd w:val="clear" w:color="auto" w:fill="CCFF99"/>
            <w:vAlign w:val="center"/>
            <w:hideMark/>
          </w:tcPr>
          <w:p w14:paraId="444BAC96" w14:textId="432FD53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2628D487" w14:textId="1EC44D0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076E1750" w14:textId="1112F36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25810A7E" w14:textId="2CB3896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9D4E50B" w14:textId="77777777" w:rsidTr="00FA5D80">
        <w:trPr>
          <w:trHeight w:val="70"/>
        </w:trPr>
        <w:tc>
          <w:tcPr>
            <w:tcW w:w="763" w:type="pct"/>
            <w:vMerge/>
            <w:vAlign w:val="center"/>
            <w:hideMark/>
          </w:tcPr>
          <w:p w14:paraId="53C7B3C1"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2F47E275"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b/>
                <w:bCs/>
                <w:color w:val="000000"/>
                <w:sz w:val="18"/>
                <w:szCs w:val="18"/>
                <w:lang w:val="es-MX" w:eastAsia="es-MX"/>
              </w:rPr>
              <w:t>Parágrafo 1.</w:t>
            </w:r>
            <w:r w:rsidRPr="008D1378">
              <w:rPr>
                <w:rFonts w:ascii="Arial Narrow" w:eastAsia="Times New Roman" w:hAnsi="Arial Narrow" w:cs="Arial"/>
                <w:color w:val="000000"/>
                <w:sz w:val="18"/>
                <w:szCs w:val="18"/>
                <w:lang w:val="es-MX" w:eastAsia="es-MX"/>
              </w:rPr>
              <w:t xml:space="preserve"> Para movilizar un vehículo oficial fuera del perímetro del Distrito Capital se requerirá la autorización previa del jefe de la respectiva entidad y organismo, o en quien delegue esta facultad que deberá ser del nivel directivo del ente distrital.</w:t>
            </w:r>
          </w:p>
        </w:tc>
        <w:tc>
          <w:tcPr>
            <w:tcW w:w="383" w:type="pct"/>
            <w:shd w:val="clear" w:color="auto" w:fill="auto"/>
            <w:vAlign w:val="center"/>
            <w:hideMark/>
          </w:tcPr>
          <w:p w14:paraId="73C77931" w14:textId="7FC8344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46815312" w14:textId="3F73B34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A5CC68F" w14:textId="53E4F96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BFBFBF"/>
            <w:vAlign w:val="center"/>
            <w:hideMark/>
          </w:tcPr>
          <w:p w14:paraId="043A40CF" w14:textId="2FC5745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5A9AFCD1" w14:textId="77777777" w:rsidTr="00FA5D80">
        <w:trPr>
          <w:trHeight w:val="1080"/>
        </w:trPr>
        <w:tc>
          <w:tcPr>
            <w:tcW w:w="763" w:type="pct"/>
            <w:vMerge/>
            <w:vAlign w:val="center"/>
            <w:hideMark/>
          </w:tcPr>
          <w:p w14:paraId="0763B868"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17A6265B"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b/>
                <w:bCs/>
                <w:color w:val="000000"/>
                <w:sz w:val="18"/>
                <w:szCs w:val="18"/>
                <w:lang w:val="es-MX" w:eastAsia="es-MX"/>
              </w:rPr>
              <w:t>Parágrafo 2.</w:t>
            </w:r>
            <w:r w:rsidRPr="008D1378">
              <w:rPr>
                <w:rFonts w:ascii="Arial Narrow" w:eastAsia="Times New Roman" w:hAnsi="Arial Narrow" w:cs="Arial"/>
                <w:color w:val="000000"/>
                <w:sz w:val="18"/>
                <w:szCs w:val="18"/>
                <w:lang w:val="es-MX" w:eastAsia="es-MX"/>
              </w:rPr>
              <w:t xml:space="preserve"> Las entidades y organismos deberán implementar mecanismos de control a través de un chip o tecnología similar en los vehículos oficiales que registre el consumo diario de combustible en las estaciones de suministro de combustible contratadas para tal efecto.</w:t>
            </w:r>
          </w:p>
        </w:tc>
        <w:tc>
          <w:tcPr>
            <w:tcW w:w="383" w:type="pct"/>
            <w:shd w:val="clear" w:color="auto" w:fill="CCFF99"/>
            <w:vAlign w:val="center"/>
            <w:hideMark/>
          </w:tcPr>
          <w:p w14:paraId="5C1A29DA" w14:textId="17ED6DC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72C48442" w14:textId="35DB511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812BFAD" w14:textId="5A2844E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25038AD" w14:textId="21E40D4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7A16ECE0" w14:textId="77777777" w:rsidTr="00FA5D80">
        <w:trPr>
          <w:trHeight w:val="70"/>
        </w:trPr>
        <w:tc>
          <w:tcPr>
            <w:tcW w:w="763" w:type="pct"/>
            <w:vMerge/>
            <w:vAlign w:val="center"/>
            <w:hideMark/>
          </w:tcPr>
          <w:p w14:paraId="06E1D212"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2044B57D"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Se deberá establecer obligatoriamente un tope mensual de consumo de combustible teniendo en cuenta la clase, modelo y cilindraje de cada vehículo, así como el promedio de kilómetros recorridos.</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Cada mes se evaluarán dichos consumos con el fin de realizar los ajustes necesarios que impliquen ahorros de este suministro.</w:t>
            </w:r>
          </w:p>
        </w:tc>
        <w:tc>
          <w:tcPr>
            <w:tcW w:w="383" w:type="pct"/>
            <w:shd w:val="clear" w:color="auto" w:fill="CCFF99"/>
            <w:vAlign w:val="center"/>
            <w:hideMark/>
          </w:tcPr>
          <w:p w14:paraId="06F331B0" w14:textId="1B8F5A4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AC5E609" w14:textId="0913C6E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516AA7B" w14:textId="5FB9ECB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619707E6" w14:textId="55400FE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D988D96" w14:textId="77777777" w:rsidTr="00FA5D80">
        <w:trPr>
          <w:trHeight w:val="810"/>
        </w:trPr>
        <w:tc>
          <w:tcPr>
            <w:tcW w:w="763" w:type="pct"/>
            <w:vMerge/>
            <w:vAlign w:val="center"/>
            <w:hideMark/>
          </w:tcPr>
          <w:p w14:paraId="5C8A43E9"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3F5C2945"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b/>
                <w:bCs/>
                <w:color w:val="000000"/>
                <w:sz w:val="18"/>
                <w:szCs w:val="18"/>
                <w:lang w:val="es-MX" w:eastAsia="es-MX"/>
              </w:rPr>
              <w:t>Parágrafo 3</w:t>
            </w:r>
            <w:r w:rsidRPr="008D1378">
              <w:rPr>
                <w:rFonts w:ascii="Arial Narrow" w:eastAsia="Times New Roman" w:hAnsi="Arial Narrow" w:cs="Arial"/>
                <w:color w:val="000000"/>
                <w:sz w:val="18"/>
                <w:szCs w:val="18"/>
                <w:lang w:val="es-MX" w:eastAsia="es-MX"/>
              </w:rPr>
              <w:t>. El mantenimiento del parque automotor se adelantará de acuerdo con el plan programado para el año, revisando su comportamiento y teniendo en cuenta los históricos de esta actividad, en busca de la mayor economía en su ejecución.</w:t>
            </w:r>
          </w:p>
        </w:tc>
        <w:tc>
          <w:tcPr>
            <w:tcW w:w="383" w:type="pct"/>
            <w:shd w:val="clear" w:color="auto" w:fill="CCFF99"/>
            <w:vAlign w:val="center"/>
            <w:hideMark/>
          </w:tcPr>
          <w:p w14:paraId="4DA81DEC" w14:textId="13A1E7D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4590C91D" w14:textId="151378C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E804A54" w14:textId="335A520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7AB06ED3" w14:textId="47BC060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231D0A38" w14:textId="77777777" w:rsidTr="00FA5D80">
        <w:trPr>
          <w:trHeight w:val="70"/>
        </w:trPr>
        <w:tc>
          <w:tcPr>
            <w:tcW w:w="763" w:type="pct"/>
            <w:vMerge/>
            <w:vAlign w:val="center"/>
            <w:hideMark/>
          </w:tcPr>
          <w:p w14:paraId="407C93ED"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0643BC2D"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b/>
                <w:bCs/>
                <w:color w:val="000000"/>
                <w:sz w:val="18"/>
                <w:szCs w:val="18"/>
                <w:lang w:val="es-MX" w:eastAsia="es-MX"/>
              </w:rPr>
              <w:t>Parágrafo 4</w:t>
            </w:r>
            <w:r w:rsidRPr="008D1378">
              <w:rPr>
                <w:rFonts w:ascii="Arial Narrow" w:eastAsia="Times New Roman" w:hAnsi="Arial Narrow" w:cs="Arial"/>
                <w:color w:val="000000"/>
                <w:sz w:val="18"/>
                <w:szCs w:val="18"/>
                <w:lang w:val="es-MX" w:eastAsia="es-MX"/>
              </w:rPr>
              <w:t>. Las entidades y organismos procurarán adoptar sistemas de monitoreo satelital tipo GPS en los vehículos oficiales, con el fin de establecer mecanismos de control de ubicación, kilómetros recorridos y perímetros geográficos establecidos</w:t>
            </w:r>
          </w:p>
        </w:tc>
        <w:tc>
          <w:tcPr>
            <w:tcW w:w="383" w:type="pct"/>
            <w:shd w:val="clear" w:color="auto" w:fill="CCFF99"/>
            <w:vAlign w:val="center"/>
            <w:hideMark/>
          </w:tcPr>
          <w:p w14:paraId="6F96ABFD" w14:textId="07BD32B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250F81C" w14:textId="03D0FD3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74AEC90" w14:textId="3DDB01E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10623878" w14:textId="63321FC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C12AEBA" w14:textId="77777777" w:rsidTr="00FA5D80">
        <w:trPr>
          <w:trHeight w:val="70"/>
        </w:trPr>
        <w:tc>
          <w:tcPr>
            <w:tcW w:w="763" w:type="pct"/>
            <w:vMerge w:val="restart"/>
            <w:shd w:val="clear" w:color="auto" w:fill="auto"/>
            <w:vAlign w:val="center"/>
            <w:hideMark/>
          </w:tcPr>
          <w:p w14:paraId="2C1DC9C8"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Artículo 17 Adquisición de vehículos y maquinaria. </w:t>
            </w:r>
          </w:p>
        </w:tc>
        <w:tc>
          <w:tcPr>
            <w:tcW w:w="2638" w:type="pct"/>
            <w:shd w:val="clear" w:color="auto" w:fill="auto"/>
            <w:vAlign w:val="center"/>
            <w:hideMark/>
          </w:tcPr>
          <w:p w14:paraId="0DD2C36B"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Acorde con las disposiciones generales del Presupuesto Anual del Distrito Capital en cada vigencia, la adquisición de vehículos, maquinaria u otros medios de transporte, requieren concepto de viabilidad presupuestal de la Secretaría Distrital de Hacienda - Dirección Distrital de Presupuesto, previo el envío y cumplimiento de </w:t>
            </w:r>
            <w:r w:rsidRPr="008D1378">
              <w:rPr>
                <w:rFonts w:ascii="Arial Narrow" w:eastAsia="Times New Roman" w:hAnsi="Arial Narrow" w:cs="Arial"/>
                <w:color w:val="000000"/>
                <w:sz w:val="18"/>
                <w:szCs w:val="18"/>
                <w:lang w:val="es-MX" w:eastAsia="es-MX"/>
              </w:rPr>
              <w:lastRenderedPageBreak/>
              <w:t xml:space="preserve">los requisitos que para el efecto se establezcan, teniendo en cuenta las políticas en materia de austeridad. </w:t>
            </w:r>
          </w:p>
        </w:tc>
        <w:tc>
          <w:tcPr>
            <w:tcW w:w="383" w:type="pct"/>
            <w:shd w:val="clear" w:color="auto" w:fill="auto"/>
            <w:vAlign w:val="center"/>
            <w:hideMark/>
          </w:tcPr>
          <w:p w14:paraId="699F9777" w14:textId="34C75D0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lastRenderedPageBreak/>
              <w:t> </w:t>
            </w:r>
          </w:p>
        </w:tc>
        <w:tc>
          <w:tcPr>
            <w:tcW w:w="386" w:type="pct"/>
            <w:shd w:val="clear" w:color="auto" w:fill="auto"/>
            <w:vAlign w:val="center"/>
            <w:hideMark/>
          </w:tcPr>
          <w:p w14:paraId="2A82A7E5" w14:textId="217AAF5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16FB2BD" w14:textId="3023E82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6528DF7D" w14:textId="198FA08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623635CE" w14:textId="77777777" w:rsidTr="00FA5D80">
        <w:trPr>
          <w:trHeight w:val="200"/>
        </w:trPr>
        <w:tc>
          <w:tcPr>
            <w:tcW w:w="763" w:type="pct"/>
            <w:vMerge/>
            <w:vAlign w:val="center"/>
            <w:hideMark/>
          </w:tcPr>
          <w:p w14:paraId="23C5FA20"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7D196E78"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b/>
                <w:bCs/>
                <w:color w:val="000000"/>
                <w:sz w:val="18"/>
                <w:szCs w:val="18"/>
                <w:lang w:val="es-MX" w:eastAsia="es-MX"/>
              </w:rPr>
              <w:t>Parágrafo.</w:t>
            </w:r>
            <w:r w:rsidRPr="008D1378">
              <w:rPr>
                <w:rFonts w:ascii="Arial Narrow" w:eastAsia="Times New Roman" w:hAnsi="Arial Narrow" w:cs="Arial"/>
                <w:color w:val="000000"/>
                <w:sz w:val="18"/>
                <w:szCs w:val="18"/>
                <w:lang w:val="es-MX" w:eastAsia="es-MX"/>
              </w:rPr>
              <w:t xml:space="preserve"> Para la adquisición de vehículos que presten el servicio de transporte a servidores públicos del nivel directivo, se expedirá viabilidad presupuestal solamente para efectos de la reposición de los vehículos, cuyo valor de adquisición no sobrepase los doscientos (200) Salarios Mínimos Mensuales Legales Vigentes SMMLV. Así mismo, no</w:t>
            </w:r>
            <w:r w:rsidRPr="008D1378">
              <w:rPr>
                <w:rFonts w:ascii="Arial Narrow" w:eastAsia="Times New Roman" w:hAnsi="Arial Narrow" w:cs="Arial"/>
                <w:color w:val="000000"/>
                <w:sz w:val="18"/>
                <w:szCs w:val="18"/>
                <w:lang w:val="es-MX" w:eastAsia="es-MX"/>
              </w:rPr>
              <w:br/>
              <w:t xml:space="preserve">se autorizará el incremento del parque automotor en este nivel, salvo en los casos de modificaciones de estructura de planta. </w:t>
            </w:r>
          </w:p>
        </w:tc>
        <w:tc>
          <w:tcPr>
            <w:tcW w:w="383" w:type="pct"/>
            <w:shd w:val="clear" w:color="auto" w:fill="auto"/>
            <w:vAlign w:val="center"/>
            <w:hideMark/>
          </w:tcPr>
          <w:p w14:paraId="53AFF16C" w14:textId="3D0BE1F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1FCD9194" w14:textId="61C1481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2C56B056" w14:textId="62C18BF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14B7975B" w14:textId="2832D0A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0DA90544" w14:textId="77777777" w:rsidTr="00FA5D80">
        <w:trPr>
          <w:trHeight w:val="70"/>
        </w:trPr>
        <w:tc>
          <w:tcPr>
            <w:tcW w:w="763" w:type="pct"/>
            <w:vMerge w:val="restart"/>
            <w:shd w:val="clear" w:color="auto" w:fill="auto"/>
            <w:vAlign w:val="center"/>
            <w:hideMark/>
          </w:tcPr>
          <w:p w14:paraId="54BAFF12"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18 Fotocopiado, multicopiado e impresión.</w:t>
            </w:r>
          </w:p>
        </w:tc>
        <w:tc>
          <w:tcPr>
            <w:tcW w:w="2638" w:type="pct"/>
            <w:shd w:val="clear" w:color="auto" w:fill="auto"/>
            <w:vAlign w:val="center"/>
            <w:hideMark/>
          </w:tcPr>
          <w:p w14:paraId="24D82A36"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distritales establecerán los mecanismos tecnológicos que garanticen el uso racional de los servicios de fotocopiado, multicopiado e impresión, mediante los cuales se pueda realizar el seguimiento a nivel de áreas y por persona de la cantidad de fotocopias o impresiones que utilice.</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Se deben implementar mecanismos de control como claves o tarjetas de control para acceso a estos equipos, definir topes de fotocopias o impresiones por dependencias y personas, niveles de aprobación o autorización para obtener fotocopias o configurar huellas de agua en los equipos de impresión</w:t>
            </w:r>
          </w:p>
        </w:tc>
        <w:tc>
          <w:tcPr>
            <w:tcW w:w="383" w:type="pct"/>
            <w:shd w:val="clear" w:color="auto" w:fill="CCFF99"/>
            <w:vAlign w:val="center"/>
            <w:hideMark/>
          </w:tcPr>
          <w:p w14:paraId="13D816D6" w14:textId="51126A9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63F0D294" w14:textId="6ED8523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28CB5281" w14:textId="5DE0F4C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1B28F76E" w14:textId="1925010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90FCB11" w14:textId="77777777" w:rsidTr="00FA5D80">
        <w:trPr>
          <w:trHeight w:val="1080"/>
        </w:trPr>
        <w:tc>
          <w:tcPr>
            <w:tcW w:w="763" w:type="pct"/>
            <w:vMerge/>
            <w:vAlign w:val="center"/>
            <w:hideMark/>
          </w:tcPr>
          <w:p w14:paraId="283BAE10"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149163AC"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Está totalmente restringido realizar gastos suntuarios con cargo al presupuesto de la respectiva entidad y organismo distrital, para la impresión de tarjetas de presentación, conmemoraciones y aniversarios o similares y, el uso con fines personales de los servicios de correspondencia y comunicación.</w:t>
            </w:r>
          </w:p>
        </w:tc>
        <w:tc>
          <w:tcPr>
            <w:tcW w:w="383" w:type="pct"/>
            <w:shd w:val="clear" w:color="auto" w:fill="CCFF99"/>
            <w:vAlign w:val="center"/>
            <w:hideMark/>
          </w:tcPr>
          <w:p w14:paraId="28A97861" w14:textId="601F489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87BF23D" w14:textId="6F91422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1608CF33" w14:textId="52FB0A8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6B01A47A" w14:textId="73E72ED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B329B7F" w14:textId="77777777" w:rsidTr="00FA5D80">
        <w:trPr>
          <w:trHeight w:val="70"/>
        </w:trPr>
        <w:tc>
          <w:tcPr>
            <w:tcW w:w="763" w:type="pct"/>
            <w:vMerge/>
            <w:vAlign w:val="center"/>
            <w:hideMark/>
          </w:tcPr>
          <w:p w14:paraId="2DEE10A3"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2100FF4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En ningún caso las entidades y organismos podrán patrocinar, contratar o realizar directamente la edición, impresión o publicación de documentos que no estén relacionados en forma directa con las funciones que legal y reglamentariamente deben cumplir, ni contratar, o patrocinar la impresión de ediciones de lujo o con policromías. Igualmente se prohíbe la impresión de informes o reportes a color, independientemente de su destinatario.</w:t>
            </w:r>
          </w:p>
        </w:tc>
        <w:tc>
          <w:tcPr>
            <w:tcW w:w="383" w:type="pct"/>
            <w:shd w:val="clear" w:color="auto" w:fill="CCFF99"/>
            <w:vAlign w:val="center"/>
            <w:hideMark/>
          </w:tcPr>
          <w:p w14:paraId="3E4F0EC1" w14:textId="2A0E068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79F5DD86" w14:textId="61EAEDF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8404E98" w14:textId="23FD93D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614133C" w14:textId="7114AD3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16B650D8" w14:textId="77777777" w:rsidTr="00FA5D80">
        <w:trPr>
          <w:trHeight w:val="70"/>
        </w:trPr>
        <w:tc>
          <w:tcPr>
            <w:tcW w:w="763" w:type="pct"/>
            <w:vMerge/>
            <w:vAlign w:val="center"/>
            <w:hideMark/>
          </w:tcPr>
          <w:p w14:paraId="6F84218A"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3B079322"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b/>
                <w:bCs/>
                <w:color w:val="000000"/>
                <w:sz w:val="18"/>
                <w:szCs w:val="18"/>
                <w:lang w:val="es-MX" w:eastAsia="es-MX"/>
              </w:rPr>
              <w:t>Parágrafo</w:t>
            </w:r>
            <w:r w:rsidRPr="008D1378">
              <w:rPr>
                <w:rFonts w:ascii="Arial Narrow" w:eastAsia="Times New Roman" w:hAnsi="Arial Narrow" w:cs="Arial"/>
                <w:color w:val="000000"/>
                <w:sz w:val="18"/>
                <w:szCs w:val="18"/>
                <w:lang w:val="es-MX" w:eastAsia="es-MX"/>
              </w:rPr>
              <w:t xml:space="preserve">: </w:t>
            </w:r>
            <w:r w:rsidRPr="008D1378">
              <w:rPr>
                <w:rFonts w:ascii="Arial Narrow" w:eastAsia="Times New Roman" w:hAnsi="Arial Narrow" w:cs="Arial"/>
                <w:b/>
                <w:bCs/>
                <w:color w:val="000000"/>
                <w:sz w:val="18"/>
                <w:szCs w:val="18"/>
                <w:lang w:val="es-MX" w:eastAsia="es-MX"/>
              </w:rPr>
              <w:t xml:space="preserve">Fotocopias a particulares. </w:t>
            </w:r>
            <w:r w:rsidRPr="008D1378">
              <w:rPr>
                <w:rFonts w:ascii="Arial Narrow" w:eastAsia="Times New Roman" w:hAnsi="Arial Narrow" w:cs="Arial"/>
                <w:color w:val="000000"/>
                <w:sz w:val="18"/>
                <w:szCs w:val="18"/>
                <w:lang w:val="es-MX" w:eastAsia="es-MX"/>
              </w:rPr>
              <w:t>Cuando se requiera el servicio de fotocopiado para disposición de particulares o por servidores públicos para asuntos de interés particular, se prestará previa la cancelación en una cuenta bancaria o mecanismo de recaudo dispuesto por la entidad y organismo distrital, del valor del servicio, el cual se fijará de acuerdo con la norma vigente y los procedimientos reglamentos internos para el efecto</w:t>
            </w:r>
          </w:p>
        </w:tc>
        <w:tc>
          <w:tcPr>
            <w:tcW w:w="383" w:type="pct"/>
            <w:shd w:val="clear" w:color="auto" w:fill="CCFF99"/>
            <w:vAlign w:val="center"/>
            <w:hideMark/>
          </w:tcPr>
          <w:p w14:paraId="2CA45DB0" w14:textId="48A6C30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8AAF6B7" w14:textId="1F69CCE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11C792CA" w14:textId="5A4A261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30570DB9" w14:textId="5706A7E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4E830D7" w14:textId="77777777" w:rsidTr="00FA5D80">
        <w:trPr>
          <w:trHeight w:val="1620"/>
        </w:trPr>
        <w:tc>
          <w:tcPr>
            <w:tcW w:w="763" w:type="pct"/>
            <w:vMerge w:val="restart"/>
            <w:shd w:val="clear" w:color="auto" w:fill="auto"/>
            <w:vAlign w:val="center"/>
            <w:hideMark/>
          </w:tcPr>
          <w:p w14:paraId="6B4831C1"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19 Condiciones para contratar elementos de consumo</w:t>
            </w:r>
          </w:p>
        </w:tc>
        <w:tc>
          <w:tcPr>
            <w:tcW w:w="2638" w:type="pct"/>
            <w:shd w:val="clear" w:color="auto" w:fill="auto"/>
            <w:vAlign w:val="center"/>
            <w:hideMark/>
          </w:tcPr>
          <w:p w14:paraId="4BA9974C"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Toda solicitud de elementos de consumo y devolutivos deberá estar registrada en el Plan Anual de Adquisiciones- PAA de cada entidad y organismo distrital.</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En el suministro de papelería y elementos de oficina debe priorizarse la contratación de proveeduría integral que incluya entregas según pedido y niveles de consumo, con el fin de reducir costos por almacenaje, obsolescencia y desperdicio.</w:t>
            </w:r>
          </w:p>
        </w:tc>
        <w:tc>
          <w:tcPr>
            <w:tcW w:w="383" w:type="pct"/>
            <w:shd w:val="clear" w:color="auto" w:fill="CCFF99"/>
            <w:vAlign w:val="center"/>
            <w:hideMark/>
          </w:tcPr>
          <w:p w14:paraId="441E24E3" w14:textId="6F0C150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5379EFFB" w14:textId="62BAA4B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07F85005" w14:textId="7B9B021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C228F81" w14:textId="051844C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258900B" w14:textId="77777777" w:rsidTr="00FA5D80">
        <w:trPr>
          <w:trHeight w:val="70"/>
        </w:trPr>
        <w:tc>
          <w:tcPr>
            <w:tcW w:w="763" w:type="pct"/>
            <w:vMerge/>
            <w:vAlign w:val="center"/>
            <w:hideMark/>
          </w:tcPr>
          <w:p w14:paraId="4AA66DF0"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DD4751D"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Respecto al consumo de papelería, se deberá reducir el uso de papel mediante la impresión de solo aquellos documentos estrictamente necesarios para el desarrollo de las labores diarias, la utilización de las dos (2) caras de las hojas y el empleo de papel reciclable.</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 xml:space="preserve">De igual forma, la revisión de documentos o proyectos de respuestas deberá realizarse por medios electrónicos, evitando la impresión y gasto en papel que luego sufrirá modificaciones en su </w:t>
            </w:r>
            <w:r w:rsidRPr="008D1378">
              <w:rPr>
                <w:rFonts w:ascii="Arial Narrow" w:eastAsia="Times New Roman" w:hAnsi="Arial Narrow" w:cs="Arial"/>
                <w:color w:val="000000"/>
                <w:sz w:val="18"/>
                <w:szCs w:val="18"/>
                <w:lang w:val="es-MX" w:eastAsia="es-MX"/>
              </w:rPr>
              <w:lastRenderedPageBreak/>
              <w:t>texto.</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Todo lo anterior, para garantizar progresivamente la aplicación de procedimientos tendientes a reducir el consumo de papel en las entidades y organismos distritales.</w:t>
            </w:r>
          </w:p>
        </w:tc>
        <w:tc>
          <w:tcPr>
            <w:tcW w:w="383" w:type="pct"/>
            <w:shd w:val="clear" w:color="auto" w:fill="CCFF99"/>
            <w:vAlign w:val="center"/>
            <w:hideMark/>
          </w:tcPr>
          <w:p w14:paraId="0A9DCD14" w14:textId="469784A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lastRenderedPageBreak/>
              <w:t>X</w:t>
            </w:r>
          </w:p>
        </w:tc>
        <w:tc>
          <w:tcPr>
            <w:tcW w:w="386" w:type="pct"/>
            <w:shd w:val="clear" w:color="auto" w:fill="auto"/>
            <w:vAlign w:val="center"/>
            <w:hideMark/>
          </w:tcPr>
          <w:p w14:paraId="62D12F56" w14:textId="7019CFB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0E11E37E" w14:textId="1E42634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F5105CE" w14:textId="3AB6014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BBFF939" w14:textId="77777777" w:rsidTr="00FA5D80">
        <w:trPr>
          <w:trHeight w:val="70"/>
        </w:trPr>
        <w:tc>
          <w:tcPr>
            <w:tcW w:w="763" w:type="pct"/>
            <w:vMerge w:val="restart"/>
            <w:shd w:val="clear" w:color="auto" w:fill="auto"/>
            <w:vAlign w:val="center"/>
            <w:hideMark/>
          </w:tcPr>
          <w:p w14:paraId="5A9AD887"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20 Cajas menores</w:t>
            </w:r>
          </w:p>
        </w:tc>
        <w:tc>
          <w:tcPr>
            <w:tcW w:w="2638" w:type="pct"/>
            <w:shd w:val="clear" w:color="auto" w:fill="auto"/>
            <w:vAlign w:val="center"/>
            <w:hideMark/>
          </w:tcPr>
          <w:p w14:paraId="0171876B"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El responsable y ordenador del manejo de la caja menor en cada entidad y organismo distrital deberá ceñirse estrictamente a los gastos que tengan carácter de imprevistos, urgentes, imprescindibles e inaplazables y enmarcados dentro de las políticas de racionalización del gasto.</w:t>
            </w:r>
          </w:p>
        </w:tc>
        <w:tc>
          <w:tcPr>
            <w:tcW w:w="383" w:type="pct"/>
            <w:shd w:val="clear" w:color="auto" w:fill="CCFF99"/>
            <w:vAlign w:val="center"/>
            <w:hideMark/>
          </w:tcPr>
          <w:p w14:paraId="7B64B536" w14:textId="7EDD4BC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6188D24D" w14:textId="63B4B06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8F8B8C0" w14:textId="4C9ECDE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8D4835A" w14:textId="57D9533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ED5D689" w14:textId="77777777" w:rsidTr="00FA5D80">
        <w:trPr>
          <w:trHeight w:val="1080"/>
        </w:trPr>
        <w:tc>
          <w:tcPr>
            <w:tcW w:w="763" w:type="pct"/>
            <w:vMerge/>
            <w:vAlign w:val="center"/>
            <w:hideMark/>
          </w:tcPr>
          <w:p w14:paraId="3EC8DE44"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3B03B989"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Con los recursos de las cajas menores no se podrá realizar el fraccionamiento de compras de un mismo elemento y/o servicio, ni adquirir elementos cuya existencia esté comprobada en almacén o se encuentre contratada, así como tampoco realizar ninguna de las operaciones descritas en el artículo 8 del Decreto Distrital 61 de 2007.</w:t>
            </w:r>
          </w:p>
        </w:tc>
        <w:tc>
          <w:tcPr>
            <w:tcW w:w="383" w:type="pct"/>
            <w:shd w:val="clear" w:color="auto" w:fill="CCFF99"/>
            <w:vAlign w:val="center"/>
            <w:hideMark/>
          </w:tcPr>
          <w:p w14:paraId="18F186A7" w14:textId="5A96515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4C76BE5" w14:textId="700534C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182DEA5" w14:textId="1081973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4A45175" w14:textId="420EDB4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DBC5689" w14:textId="77777777" w:rsidTr="00FA5D80">
        <w:trPr>
          <w:trHeight w:val="1080"/>
        </w:trPr>
        <w:tc>
          <w:tcPr>
            <w:tcW w:w="763" w:type="pct"/>
            <w:vMerge/>
            <w:vAlign w:val="center"/>
            <w:hideMark/>
          </w:tcPr>
          <w:p w14:paraId="1C94283A"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7AD8069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Los representantes legales de las entidades y organismos distritales deberán reglamentar internamente las cajas menores, de tal manera que se reduzcan sus cuantías y su número no sea superior a dos (2) por entidad, salvo excepciones debidamente justificadas ante la Secretaría Distrital de Hacienda.</w:t>
            </w:r>
          </w:p>
        </w:tc>
        <w:tc>
          <w:tcPr>
            <w:tcW w:w="383" w:type="pct"/>
            <w:shd w:val="clear" w:color="auto" w:fill="CCFF99"/>
            <w:vAlign w:val="center"/>
            <w:hideMark/>
          </w:tcPr>
          <w:p w14:paraId="4C82DB86" w14:textId="3459188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532C94E5" w14:textId="7F6D7D3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05900A3" w14:textId="3BF2426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217A5930" w14:textId="5907D1B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747E38A" w14:textId="77777777" w:rsidTr="00FA5D80">
        <w:trPr>
          <w:trHeight w:val="810"/>
        </w:trPr>
        <w:tc>
          <w:tcPr>
            <w:tcW w:w="763" w:type="pct"/>
            <w:vMerge/>
            <w:vAlign w:val="center"/>
            <w:hideMark/>
          </w:tcPr>
          <w:p w14:paraId="6D50A646"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4A07C9D5"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distritales deberán abstenerse de efectuar contrataciones o realizar gastos con los recursos de caja menor, para atender servicios de alimentación con destino a reuniones de trabajo</w:t>
            </w:r>
          </w:p>
        </w:tc>
        <w:tc>
          <w:tcPr>
            <w:tcW w:w="383" w:type="pct"/>
            <w:shd w:val="clear" w:color="auto" w:fill="CCFF99"/>
            <w:vAlign w:val="center"/>
            <w:hideMark/>
          </w:tcPr>
          <w:p w14:paraId="27D6DAB4" w14:textId="28425A7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7890FB90" w14:textId="144E6C5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D0FAAC9" w14:textId="2DF4ECC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D17DB62" w14:textId="335CDE1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942CA5E" w14:textId="77777777" w:rsidTr="00FA5D80">
        <w:trPr>
          <w:trHeight w:val="70"/>
        </w:trPr>
        <w:tc>
          <w:tcPr>
            <w:tcW w:w="763" w:type="pct"/>
            <w:shd w:val="clear" w:color="auto" w:fill="auto"/>
            <w:vAlign w:val="center"/>
            <w:hideMark/>
          </w:tcPr>
          <w:p w14:paraId="4BF11407"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21 Suministro del servicio de Internet</w:t>
            </w:r>
          </w:p>
        </w:tc>
        <w:tc>
          <w:tcPr>
            <w:tcW w:w="2638" w:type="pct"/>
            <w:shd w:val="clear" w:color="auto" w:fill="auto"/>
            <w:vAlign w:val="center"/>
            <w:hideMark/>
          </w:tcPr>
          <w:p w14:paraId="7A9A23C9"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Este servicio estará disponible exclusivamente para asuntos que correspondan a las necesidades de la entidad y organismo distrital, para lo cual las áreas de Sistemas o Tecnología de la Información propenderán por disponer de medidas de control y bloqueo o niveles de acceso. Las entidades y organismos distritales propenderán por elegir la mejor opción de acuerdo con los planes disponibles en el mercado.</w:t>
            </w:r>
          </w:p>
        </w:tc>
        <w:tc>
          <w:tcPr>
            <w:tcW w:w="383" w:type="pct"/>
            <w:shd w:val="clear" w:color="auto" w:fill="CCFF99"/>
            <w:vAlign w:val="center"/>
            <w:hideMark/>
          </w:tcPr>
          <w:p w14:paraId="065BCEA8" w14:textId="07765FE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B13C798" w14:textId="4FF98B6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10DCCD6A" w14:textId="0AC7F09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1C12205" w14:textId="6FBC97C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258424D7" w14:textId="77777777" w:rsidTr="00FA5D80">
        <w:trPr>
          <w:trHeight w:val="70"/>
        </w:trPr>
        <w:tc>
          <w:tcPr>
            <w:tcW w:w="763" w:type="pct"/>
            <w:shd w:val="clear" w:color="auto" w:fill="auto"/>
            <w:vAlign w:val="center"/>
            <w:hideMark/>
          </w:tcPr>
          <w:p w14:paraId="425A6CF7"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22 Inventarios y stock de elementos:</w:t>
            </w:r>
          </w:p>
        </w:tc>
        <w:tc>
          <w:tcPr>
            <w:tcW w:w="2638" w:type="pct"/>
            <w:shd w:val="clear" w:color="auto" w:fill="auto"/>
            <w:vAlign w:val="center"/>
            <w:hideMark/>
          </w:tcPr>
          <w:p w14:paraId="22131108"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Los responsables de la administración de los inventarios y stock de elementos propenderán por controlar los límites adecuados, teniendo en cuenta los factores asociados como son: seguros, obsolescencia y almacenamiento. Se debe tener especial seguimiento a los elementos que presentan obsolescencia.</w:t>
            </w:r>
          </w:p>
        </w:tc>
        <w:tc>
          <w:tcPr>
            <w:tcW w:w="383" w:type="pct"/>
            <w:shd w:val="clear" w:color="auto" w:fill="CCFF99"/>
            <w:vAlign w:val="center"/>
            <w:hideMark/>
          </w:tcPr>
          <w:p w14:paraId="50811674" w14:textId="48948B9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34742FA" w14:textId="76610FA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FE11456" w14:textId="0FECC7B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8D604D4" w14:textId="61EE32F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0ECF2BA9" w14:textId="77777777" w:rsidTr="00FA5D80">
        <w:trPr>
          <w:trHeight w:val="70"/>
        </w:trPr>
        <w:tc>
          <w:tcPr>
            <w:tcW w:w="763" w:type="pct"/>
            <w:vMerge w:val="restart"/>
            <w:shd w:val="clear" w:color="auto" w:fill="auto"/>
            <w:vAlign w:val="center"/>
            <w:hideMark/>
          </w:tcPr>
          <w:p w14:paraId="59860E31"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23 Adquisición, mantenimiento o reparación de bienes inmuebles o muebles.</w:t>
            </w:r>
          </w:p>
        </w:tc>
        <w:tc>
          <w:tcPr>
            <w:tcW w:w="2638" w:type="pct"/>
            <w:shd w:val="clear" w:color="auto" w:fill="auto"/>
            <w:vAlign w:val="center"/>
            <w:hideMark/>
          </w:tcPr>
          <w:p w14:paraId="06DB4F96"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se abstendrán de realizar en sus inmuebles, cualquier tipo de contratación que implique mejoras suntuarias, tales como el embellecimiento, la ornamentación o la instalación o adecuación de acabados estéticos, salvo que se trate de bienes inmuebles clasificados como Bienes de Interés Cultural.</w:t>
            </w:r>
          </w:p>
        </w:tc>
        <w:tc>
          <w:tcPr>
            <w:tcW w:w="383" w:type="pct"/>
            <w:shd w:val="clear" w:color="auto" w:fill="auto"/>
            <w:vAlign w:val="center"/>
            <w:hideMark/>
          </w:tcPr>
          <w:p w14:paraId="2688E28B" w14:textId="5C54002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6C67B90C" w14:textId="4532DE6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232F74B" w14:textId="33E88DF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5845F4DA" w14:textId="2E2D160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373FD653" w14:textId="77777777" w:rsidTr="00FA5D80">
        <w:trPr>
          <w:trHeight w:val="70"/>
        </w:trPr>
        <w:tc>
          <w:tcPr>
            <w:tcW w:w="763" w:type="pct"/>
            <w:vMerge/>
            <w:vAlign w:val="center"/>
            <w:hideMark/>
          </w:tcPr>
          <w:p w14:paraId="3CCAAB6A"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461EE41D"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adecuaciones y mantenimientos a bienes inmuebles solo procederán cuando de no hacerse, se ponga en riesgo la seguridad de los servidores públicos, cuando sea indispensable para el normal funcionamiento de la entidad o para garantizar la correcta prestación de los servicios a cargo de la respectiva entidad u organismo distrital.</w:t>
            </w:r>
          </w:p>
        </w:tc>
        <w:tc>
          <w:tcPr>
            <w:tcW w:w="383" w:type="pct"/>
            <w:shd w:val="clear" w:color="auto" w:fill="CCFF99"/>
            <w:vAlign w:val="center"/>
            <w:hideMark/>
          </w:tcPr>
          <w:p w14:paraId="2A2207E0" w14:textId="7594026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7694DFF5" w14:textId="2C63FF3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860B410" w14:textId="61E5EDF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0E89F9B" w14:textId="4FA89D9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04E51F5F" w14:textId="77777777" w:rsidTr="00FA5D80">
        <w:trPr>
          <w:trHeight w:val="224"/>
        </w:trPr>
        <w:tc>
          <w:tcPr>
            <w:tcW w:w="763" w:type="pct"/>
            <w:vMerge/>
            <w:vAlign w:val="center"/>
            <w:hideMark/>
          </w:tcPr>
          <w:p w14:paraId="270DFFE7"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5F1EFAE9"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No procederá la adquisición de bienes muebles no necesarios para el normal funcionamiento de las entidades y organismos. En tal sentido, las adquisiciones en este campo deberán ser justificadas por el área solicitante y aprobadas por las áreas competentes</w:t>
            </w:r>
          </w:p>
        </w:tc>
        <w:tc>
          <w:tcPr>
            <w:tcW w:w="383" w:type="pct"/>
            <w:shd w:val="clear" w:color="auto" w:fill="CCFF99"/>
            <w:vAlign w:val="center"/>
            <w:hideMark/>
          </w:tcPr>
          <w:p w14:paraId="428CAD1D" w14:textId="6137661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29D9FDAA" w14:textId="32E0C1A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2AE52B37" w14:textId="5BBA111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34B7A942" w14:textId="4A2620D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B297516" w14:textId="77777777" w:rsidTr="00FA5D80">
        <w:trPr>
          <w:trHeight w:val="194"/>
        </w:trPr>
        <w:tc>
          <w:tcPr>
            <w:tcW w:w="763" w:type="pct"/>
            <w:vMerge w:val="restart"/>
            <w:shd w:val="clear" w:color="auto" w:fill="auto"/>
            <w:vAlign w:val="center"/>
            <w:hideMark/>
          </w:tcPr>
          <w:p w14:paraId="64F1438B"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Artículo 24 Edición, impresión, reproducción, </w:t>
            </w:r>
            <w:r w:rsidRPr="008D1378">
              <w:rPr>
                <w:rFonts w:ascii="Arial Narrow" w:eastAsia="Times New Roman" w:hAnsi="Arial Narrow" w:cs="Arial"/>
                <w:color w:val="000000"/>
                <w:sz w:val="18"/>
                <w:szCs w:val="18"/>
                <w:lang w:val="es-MX" w:eastAsia="es-MX"/>
              </w:rPr>
              <w:lastRenderedPageBreak/>
              <w:t>publicación de avisos</w:t>
            </w:r>
          </w:p>
        </w:tc>
        <w:tc>
          <w:tcPr>
            <w:tcW w:w="2638" w:type="pct"/>
            <w:shd w:val="clear" w:color="auto" w:fill="auto"/>
            <w:vAlign w:val="center"/>
            <w:hideMark/>
          </w:tcPr>
          <w:p w14:paraId="16B92901"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lastRenderedPageBreak/>
              <w:t>Las entidades y organismos distritales no podrán patrocinar, contratar o realizar directamente la edición, impresión, reproducción o publicación de avisos, informes, folletos o textos institucionales, que no estén relacionados en forma directa con las funciones que legalmente cumplen.</w:t>
            </w:r>
          </w:p>
        </w:tc>
        <w:tc>
          <w:tcPr>
            <w:tcW w:w="383" w:type="pct"/>
            <w:shd w:val="clear" w:color="auto" w:fill="CCFF99"/>
            <w:vAlign w:val="center"/>
            <w:hideMark/>
          </w:tcPr>
          <w:p w14:paraId="5866C85B" w14:textId="123C839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7A211F5A" w14:textId="4EB2345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3BCA6CB" w14:textId="2310778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757B78D" w14:textId="2FF46F6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7FA04B7" w14:textId="77777777" w:rsidTr="00FA5D80">
        <w:trPr>
          <w:trHeight w:val="3780"/>
        </w:trPr>
        <w:tc>
          <w:tcPr>
            <w:tcW w:w="763" w:type="pct"/>
            <w:vMerge/>
            <w:vAlign w:val="center"/>
            <w:hideMark/>
          </w:tcPr>
          <w:p w14:paraId="607DB72A"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51E8AEDB"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Cuando fuere necesario, las entidades y organismos deberán hacer la divulgación de la información relativa al cumplimiento de sus funciones mediante la edición, impresión y reproducción de piezas de comunicación, tales como avisos, folletos, cuadernillos, entre otros, a través de la Imprenta Distrital; sin embargo, en lo posible, no deberán ser a color y en papeles especiales, observando siempre el costo mínimo de su realización.</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br/>
              <w:t>En el evento de que la Imprenta Distrital no ofrezca el servicio requerido o no tenga la capacidad para la reproducción de la pieza comunicativa, podrá contratarse el servicio, atendiendo a la normatividad vigente en materia contratación pública. En todo caso, las piezas comunicativas requeridas se producirán en cantidades razonables para evitar el deterioro por almacenamiento y obsolescencia. Se evitará el uso de ediciones de lujo y se mantendrá siempre la imagen institucional y una presentación acorde con la función pública. </w:t>
            </w:r>
          </w:p>
        </w:tc>
        <w:tc>
          <w:tcPr>
            <w:tcW w:w="383" w:type="pct"/>
            <w:shd w:val="clear" w:color="auto" w:fill="CCFF99"/>
            <w:vAlign w:val="center"/>
            <w:hideMark/>
          </w:tcPr>
          <w:p w14:paraId="6688F746" w14:textId="40E768C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2F8331F7" w14:textId="1B5AF07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7209C08" w14:textId="54BF68D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190ECDCE" w14:textId="2D4C709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C2E311B" w14:textId="77777777" w:rsidTr="00FA5D80">
        <w:trPr>
          <w:trHeight w:val="1080"/>
        </w:trPr>
        <w:tc>
          <w:tcPr>
            <w:tcW w:w="763" w:type="pct"/>
            <w:vMerge/>
            <w:vAlign w:val="center"/>
            <w:hideMark/>
          </w:tcPr>
          <w:p w14:paraId="7D93D91D"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2BFD184F"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se abstendrán de celebrar contratos de publicidad y/o propaganda personalizada (agendas, almanaques, libretas, pocillos, vasos, esferos, regalos corporativos, souvenir o recuerdos, etc.)., que no se encuentren debidamente justificadas en las necesidades del servicio.</w:t>
            </w:r>
          </w:p>
        </w:tc>
        <w:tc>
          <w:tcPr>
            <w:tcW w:w="383" w:type="pct"/>
            <w:shd w:val="clear" w:color="auto" w:fill="CCFF99"/>
            <w:vAlign w:val="center"/>
            <w:hideMark/>
          </w:tcPr>
          <w:p w14:paraId="279A6265" w14:textId="705010E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68BD9268" w14:textId="455C459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BA69831" w14:textId="3CA07D9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12965AB" w14:textId="7831BAB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75010147" w14:textId="77777777" w:rsidTr="00FA5D80">
        <w:trPr>
          <w:trHeight w:val="810"/>
        </w:trPr>
        <w:tc>
          <w:tcPr>
            <w:tcW w:w="763" w:type="pct"/>
            <w:shd w:val="clear" w:color="auto" w:fill="auto"/>
            <w:vAlign w:val="center"/>
            <w:hideMark/>
          </w:tcPr>
          <w:p w14:paraId="531EA66F"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25 Suscripciones</w:t>
            </w:r>
          </w:p>
        </w:tc>
        <w:tc>
          <w:tcPr>
            <w:tcW w:w="2638" w:type="pct"/>
            <w:shd w:val="clear" w:color="auto" w:fill="auto"/>
            <w:vAlign w:val="center"/>
            <w:hideMark/>
          </w:tcPr>
          <w:p w14:paraId="59E3D10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Se preferirán las suscripciones electrónicas a revistas y periódicos. En todo caso, las entidades y organismos solo contarán con las suscripciones a periódicos y revistas que estrictamente sean necesarias para el cumplimiento de sus funciones</w:t>
            </w:r>
          </w:p>
        </w:tc>
        <w:tc>
          <w:tcPr>
            <w:tcW w:w="383" w:type="pct"/>
            <w:shd w:val="clear" w:color="auto" w:fill="CCFF99"/>
            <w:vAlign w:val="center"/>
            <w:hideMark/>
          </w:tcPr>
          <w:p w14:paraId="13D7F309" w14:textId="55C23FB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5E9357CA" w14:textId="4C5CF27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59BD113" w14:textId="427AA3A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5B0A6EF" w14:textId="7DE9B07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F31FA6A" w14:textId="77777777" w:rsidTr="00FA5D80">
        <w:trPr>
          <w:trHeight w:val="70"/>
        </w:trPr>
        <w:tc>
          <w:tcPr>
            <w:tcW w:w="763" w:type="pct"/>
            <w:shd w:val="clear" w:color="auto" w:fill="auto"/>
            <w:vAlign w:val="center"/>
            <w:hideMark/>
          </w:tcPr>
          <w:p w14:paraId="429AF48F"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26 Eventos y conmemoraciones</w:t>
            </w:r>
          </w:p>
        </w:tc>
        <w:tc>
          <w:tcPr>
            <w:tcW w:w="2638" w:type="pct"/>
            <w:shd w:val="clear" w:color="auto" w:fill="auto"/>
            <w:vAlign w:val="center"/>
            <w:hideMark/>
          </w:tcPr>
          <w:p w14:paraId="4DA4DDDA"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Se restringe la realización o programación de recepciones, fiestas, agasajos o conmemoraciones, y que además incluyan el servicio o suministro de alimentos, que impliquen en todo caso erogaciones con cargo al presupuesto asignado a cada entidad y organismo distrital, exceptuando aquellas actividades que estén definidas en los planes y programas de bienestar e incentivos para los servidores públicos, o aquellos relacionados con actos protocolarios que deban atenderse misionalmente por las entidades y organismos</w:t>
            </w:r>
          </w:p>
        </w:tc>
        <w:tc>
          <w:tcPr>
            <w:tcW w:w="383" w:type="pct"/>
            <w:shd w:val="clear" w:color="auto" w:fill="CCFF99"/>
            <w:vAlign w:val="center"/>
            <w:hideMark/>
          </w:tcPr>
          <w:p w14:paraId="48DFCE1C" w14:textId="2C3FFE8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4CF2E0D0" w14:textId="5968F5E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1CA760D5" w14:textId="72B7504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5C3A99FA" w14:textId="2792BCF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C5D46F8" w14:textId="77777777" w:rsidTr="00FA5D80">
        <w:trPr>
          <w:trHeight w:val="1350"/>
        </w:trPr>
        <w:tc>
          <w:tcPr>
            <w:tcW w:w="763" w:type="pct"/>
            <w:vMerge w:val="restart"/>
            <w:shd w:val="clear" w:color="auto" w:fill="auto"/>
            <w:vAlign w:val="center"/>
            <w:hideMark/>
          </w:tcPr>
          <w:p w14:paraId="4B60923E"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27 Servicios públicos</w:t>
            </w:r>
          </w:p>
        </w:tc>
        <w:tc>
          <w:tcPr>
            <w:tcW w:w="2638" w:type="pct"/>
            <w:shd w:val="clear" w:color="auto" w:fill="auto"/>
            <w:vAlign w:val="center"/>
            <w:hideMark/>
          </w:tcPr>
          <w:p w14:paraId="52D73747"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distritales deberán realizar anualmente campañas de sensibilización que promuevan el uso eficiente y el ahorro en el consumo de los servicios públicos tales como: agua, energía eléctrica, gas natural y la gestión integral de los residuos sólidos y realizar el uso racional de los recursos naturales y económicos que tienen a disposición para el desarrollo de sus actividades diarias.</w:t>
            </w:r>
          </w:p>
        </w:tc>
        <w:tc>
          <w:tcPr>
            <w:tcW w:w="383" w:type="pct"/>
            <w:shd w:val="clear" w:color="auto" w:fill="CCFF99"/>
            <w:vAlign w:val="center"/>
            <w:hideMark/>
          </w:tcPr>
          <w:p w14:paraId="25708812" w14:textId="62FD07C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6920D5E1" w14:textId="378451A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2BBA138C" w14:textId="3A3B1C1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1C8CB089" w14:textId="726C7F5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5986B53" w14:textId="77777777" w:rsidTr="00FA5D80">
        <w:trPr>
          <w:trHeight w:val="70"/>
        </w:trPr>
        <w:tc>
          <w:tcPr>
            <w:tcW w:w="763" w:type="pct"/>
            <w:vMerge/>
            <w:vAlign w:val="center"/>
            <w:hideMark/>
          </w:tcPr>
          <w:p w14:paraId="017871B6"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04AF0FE3"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deberán priorizar las siguientes acciones para regular los consumos de los servicios públicos:</w:t>
            </w:r>
            <w:r w:rsidRPr="008D1378">
              <w:rPr>
                <w:rFonts w:ascii="Arial Narrow" w:eastAsia="Times New Roman" w:hAnsi="Arial Narrow" w:cs="Arial"/>
                <w:color w:val="000000"/>
                <w:sz w:val="18"/>
                <w:szCs w:val="18"/>
                <w:lang w:val="es-MX" w:eastAsia="es-MX"/>
              </w:rPr>
              <w:br/>
              <w:t>a)  Establecer metas cuantificables y verificables de ahorro de energía eléctrica (KWH) y agua (Metros Cúbicos). Deberán realizase evaluaciones mensuales de su cumplimiento.</w:t>
            </w:r>
          </w:p>
        </w:tc>
        <w:tc>
          <w:tcPr>
            <w:tcW w:w="383" w:type="pct"/>
            <w:shd w:val="clear" w:color="auto" w:fill="CCFF99"/>
            <w:vAlign w:val="center"/>
            <w:hideMark/>
          </w:tcPr>
          <w:p w14:paraId="4B0136DB" w14:textId="17E3615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8A24829" w14:textId="6FC2784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4B703E4" w14:textId="6CF6813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C1D281C" w14:textId="0474480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B61758F" w14:textId="77777777" w:rsidTr="00FA5D80">
        <w:trPr>
          <w:trHeight w:val="285"/>
        </w:trPr>
        <w:tc>
          <w:tcPr>
            <w:tcW w:w="763" w:type="pct"/>
            <w:vMerge/>
            <w:vAlign w:val="center"/>
            <w:hideMark/>
          </w:tcPr>
          <w:p w14:paraId="535A2EFC"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45C95F99"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b) Desarrollar campañas internas de concientización de ahorro de agua y energía.</w:t>
            </w:r>
          </w:p>
        </w:tc>
        <w:tc>
          <w:tcPr>
            <w:tcW w:w="383" w:type="pct"/>
            <w:shd w:val="clear" w:color="auto" w:fill="CCFF99"/>
            <w:vAlign w:val="center"/>
            <w:hideMark/>
          </w:tcPr>
          <w:p w14:paraId="5965598E" w14:textId="2D9BDF6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202988C9" w14:textId="61C3FE8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4714595" w14:textId="6A567E2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388758AB" w14:textId="1D44F6E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F09DCE5" w14:textId="77777777" w:rsidTr="00FA5D80">
        <w:trPr>
          <w:trHeight w:val="285"/>
        </w:trPr>
        <w:tc>
          <w:tcPr>
            <w:tcW w:w="763" w:type="pct"/>
            <w:vMerge/>
            <w:vAlign w:val="center"/>
            <w:hideMark/>
          </w:tcPr>
          <w:p w14:paraId="24E7B5D5"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8377FC6"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c) Incluir mensajes de ahorro de agua y energía en las comunicaciones internas.</w:t>
            </w:r>
          </w:p>
        </w:tc>
        <w:tc>
          <w:tcPr>
            <w:tcW w:w="383" w:type="pct"/>
            <w:shd w:val="clear" w:color="auto" w:fill="CCFF99"/>
            <w:vAlign w:val="center"/>
            <w:hideMark/>
          </w:tcPr>
          <w:p w14:paraId="342DAF23" w14:textId="597E0B9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57A4B43F" w14:textId="2075F85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4A3A941" w14:textId="74154A2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75A110AE" w14:textId="4DF8304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CDB7587" w14:textId="77777777" w:rsidTr="00FA5D80">
        <w:trPr>
          <w:trHeight w:val="70"/>
        </w:trPr>
        <w:tc>
          <w:tcPr>
            <w:tcW w:w="763" w:type="pct"/>
            <w:vMerge/>
            <w:vAlign w:val="center"/>
            <w:hideMark/>
          </w:tcPr>
          <w:p w14:paraId="786C166E"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65A5609C"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d) Reforzar o implementar medidas tales como:</w:t>
            </w:r>
            <w:r w:rsidRPr="008D1378">
              <w:rPr>
                <w:rFonts w:ascii="Arial Narrow" w:eastAsia="Times New Roman" w:hAnsi="Arial Narrow" w:cs="Arial"/>
                <w:color w:val="000000"/>
                <w:sz w:val="18"/>
                <w:szCs w:val="18"/>
                <w:lang w:val="es-MX" w:eastAsia="es-MX"/>
              </w:rPr>
              <w:br/>
              <w:t>i. Aprovechar al máximo la iluminación natural en las oficinas y apagar las luces cuando no sea necesario mantenerlas encendidas;</w:t>
            </w:r>
            <w:r w:rsidRPr="008D1378">
              <w:rPr>
                <w:rFonts w:ascii="Arial Narrow" w:eastAsia="Times New Roman" w:hAnsi="Arial Narrow" w:cs="Arial"/>
                <w:color w:val="000000"/>
                <w:sz w:val="18"/>
                <w:szCs w:val="18"/>
                <w:lang w:val="es-MX" w:eastAsia="es-MX"/>
              </w:rPr>
              <w:br/>
              <w:t>ii. Instalar sensores de movimiento o temporizadores en especial áreas como baños, parqueaderos, pasillos y otros lugares que no tienen personal de manera permanente;</w:t>
            </w:r>
            <w:r w:rsidRPr="008D1378">
              <w:rPr>
                <w:rFonts w:ascii="Arial Narrow" w:eastAsia="Times New Roman" w:hAnsi="Arial Narrow" w:cs="Arial"/>
                <w:color w:val="000000"/>
                <w:sz w:val="18"/>
                <w:szCs w:val="18"/>
                <w:lang w:val="es-MX" w:eastAsia="es-MX"/>
              </w:rPr>
              <w:br/>
            </w:r>
            <w:r w:rsidRPr="008D1378">
              <w:rPr>
                <w:rFonts w:ascii="Arial Narrow" w:eastAsia="Times New Roman" w:hAnsi="Arial Narrow" w:cs="Arial"/>
                <w:color w:val="000000"/>
                <w:sz w:val="18"/>
                <w:szCs w:val="18"/>
                <w:lang w:val="es-MX" w:eastAsia="es-MX"/>
              </w:rPr>
              <w:lastRenderedPageBreak/>
              <w:t>iii. Instalar bombillas o luminarias de bajo consumo y mantenerlos limpios;</w:t>
            </w:r>
            <w:r w:rsidRPr="008D1378">
              <w:rPr>
                <w:rFonts w:ascii="Arial Narrow" w:eastAsia="Times New Roman" w:hAnsi="Arial Narrow" w:cs="Arial"/>
                <w:color w:val="000000"/>
                <w:sz w:val="18"/>
                <w:szCs w:val="18"/>
                <w:lang w:val="es-MX" w:eastAsia="es-MX"/>
              </w:rPr>
              <w:br/>
              <w:t>iv. Sectorizar el sistema de energía eléctrica de acuerdo con la organización de las oficinas e instalaciones, para la reducción del consumo.</w:t>
            </w:r>
          </w:p>
        </w:tc>
        <w:tc>
          <w:tcPr>
            <w:tcW w:w="383" w:type="pct"/>
            <w:shd w:val="clear" w:color="auto" w:fill="CCFF99"/>
            <w:vAlign w:val="center"/>
            <w:hideMark/>
          </w:tcPr>
          <w:p w14:paraId="14783B2F" w14:textId="4C5C881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lastRenderedPageBreak/>
              <w:t>X</w:t>
            </w:r>
          </w:p>
        </w:tc>
        <w:tc>
          <w:tcPr>
            <w:tcW w:w="386" w:type="pct"/>
            <w:shd w:val="clear" w:color="auto" w:fill="auto"/>
            <w:vAlign w:val="center"/>
            <w:hideMark/>
          </w:tcPr>
          <w:p w14:paraId="63832CE0" w14:textId="00DF022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3A5D6D0F" w14:textId="637808C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2D2DB091" w14:textId="19C7530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2797AF9D" w14:textId="77777777" w:rsidTr="00FA5D80">
        <w:trPr>
          <w:trHeight w:val="810"/>
        </w:trPr>
        <w:tc>
          <w:tcPr>
            <w:tcW w:w="763" w:type="pct"/>
            <w:vMerge/>
            <w:vAlign w:val="center"/>
            <w:hideMark/>
          </w:tcPr>
          <w:p w14:paraId="1A38A77E"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0A7E5263"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 Apagar equipos de cómputo, impresoras, y demás equipos cuando no se estén utilizando. Por la noche y los fines de semana deben hacerse controles adicionales para garantizar que estén apagados.</w:t>
            </w:r>
          </w:p>
        </w:tc>
        <w:tc>
          <w:tcPr>
            <w:tcW w:w="383" w:type="pct"/>
            <w:shd w:val="clear" w:color="auto" w:fill="CCFF99"/>
            <w:vAlign w:val="center"/>
            <w:hideMark/>
          </w:tcPr>
          <w:p w14:paraId="2B2B49A0" w14:textId="3C44F56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6B458AA" w14:textId="4D6CA4B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3FBA4DEC" w14:textId="762DC46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694C1A3E" w14:textId="15A5BBD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FB883E0" w14:textId="77777777" w:rsidTr="00FA5D80">
        <w:trPr>
          <w:trHeight w:val="70"/>
        </w:trPr>
        <w:tc>
          <w:tcPr>
            <w:tcW w:w="763" w:type="pct"/>
            <w:vMerge/>
            <w:vAlign w:val="center"/>
            <w:hideMark/>
          </w:tcPr>
          <w:p w14:paraId="0138F3E1"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00F0AA0D"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f) Realizar las compras de equipos teniendo en cuenta criterios de eficiencia energética.</w:t>
            </w:r>
          </w:p>
        </w:tc>
        <w:tc>
          <w:tcPr>
            <w:tcW w:w="383" w:type="pct"/>
            <w:shd w:val="clear" w:color="auto" w:fill="CCFF99"/>
            <w:vAlign w:val="center"/>
            <w:hideMark/>
          </w:tcPr>
          <w:p w14:paraId="2BB867C0" w14:textId="1DD7542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5C710A79" w14:textId="65AA61B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7ABADB7" w14:textId="202016F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10344144" w14:textId="3DE94C3A"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0724496A" w14:textId="77777777" w:rsidTr="00FA5D80">
        <w:trPr>
          <w:trHeight w:val="70"/>
        </w:trPr>
        <w:tc>
          <w:tcPr>
            <w:tcW w:w="763" w:type="pct"/>
            <w:vMerge/>
            <w:vAlign w:val="center"/>
            <w:hideMark/>
          </w:tcPr>
          <w:p w14:paraId="24A80EBB"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5E49D40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g) Preferir el uso de persianas, cortinas o películas para regular la iluminación natural.</w:t>
            </w:r>
          </w:p>
        </w:tc>
        <w:tc>
          <w:tcPr>
            <w:tcW w:w="383" w:type="pct"/>
            <w:shd w:val="clear" w:color="auto" w:fill="CCFF99"/>
            <w:vAlign w:val="center"/>
            <w:hideMark/>
          </w:tcPr>
          <w:p w14:paraId="5158F8CC" w14:textId="31ADAB7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5D4D9089" w14:textId="6786345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03AEBD3A" w14:textId="5FA19C6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619E0B4C" w14:textId="11AA816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7CA87B88" w14:textId="77777777" w:rsidTr="00FA5D80">
        <w:trPr>
          <w:trHeight w:val="70"/>
        </w:trPr>
        <w:tc>
          <w:tcPr>
            <w:tcW w:w="763" w:type="pct"/>
            <w:vMerge/>
            <w:vAlign w:val="center"/>
            <w:hideMark/>
          </w:tcPr>
          <w:p w14:paraId="16212314"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104B7941"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h) Preferir el uso de dispositivos ahorradores de agua como inodoros, llaves de lavamanos, pocetas de aseo, etc.</w:t>
            </w:r>
          </w:p>
        </w:tc>
        <w:tc>
          <w:tcPr>
            <w:tcW w:w="383" w:type="pct"/>
            <w:shd w:val="clear" w:color="auto" w:fill="CCFF99"/>
            <w:vAlign w:val="center"/>
            <w:hideMark/>
          </w:tcPr>
          <w:p w14:paraId="3A7774ED" w14:textId="3760BF1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13CD786C" w14:textId="2B92BF1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C919649" w14:textId="6FD819E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083F3A33" w14:textId="00036A0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8E3DEF9" w14:textId="77777777" w:rsidTr="00FA5D80">
        <w:trPr>
          <w:trHeight w:val="285"/>
        </w:trPr>
        <w:tc>
          <w:tcPr>
            <w:tcW w:w="763" w:type="pct"/>
            <w:vMerge/>
            <w:vAlign w:val="center"/>
            <w:hideMark/>
          </w:tcPr>
          <w:p w14:paraId="66981BC5"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746E4F12"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i) Optimizar las redes de suministro y desagüe.</w:t>
            </w:r>
          </w:p>
        </w:tc>
        <w:tc>
          <w:tcPr>
            <w:tcW w:w="383" w:type="pct"/>
            <w:shd w:val="clear" w:color="auto" w:fill="CCFF99"/>
            <w:vAlign w:val="center"/>
            <w:hideMark/>
          </w:tcPr>
          <w:p w14:paraId="46DC6511" w14:textId="0679AF6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101E1D03" w14:textId="3B7822A6"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E4BBBC7" w14:textId="77777777" w:rsidR="007D567B" w:rsidRPr="008D1378" w:rsidRDefault="007D567B" w:rsidP="007D567B">
            <w:pPr>
              <w:jc w:val="center"/>
              <w:rPr>
                <w:rFonts w:ascii="Arial Narrow" w:eastAsia="Times New Roman" w:hAnsi="Arial Narrow" w:cs="Arial"/>
                <w:color w:val="000000"/>
                <w:sz w:val="18"/>
                <w:szCs w:val="18"/>
                <w:lang w:val="es-MX" w:eastAsia="es-MX"/>
              </w:rPr>
            </w:pPr>
          </w:p>
        </w:tc>
        <w:tc>
          <w:tcPr>
            <w:tcW w:w="378" w:type="pct"/>
            <w:shd w:val="clear" w:color="auto" w:fill="auto"/>
            <w:vAlign w:val="center"/>
            <w:hideMark/>
          </w:tcPr>
          <w:p w14:paraId="6A6FAA44" w14:textId="4E4799D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1A4F04E5" w14:textId="77777777" w:rsidTr="00FA5D80">
        <w:trPr>
          <w:trHeight w:val="70"/>
        </w:trPr>
        <w:tc>
          <w:tcPr>
            <w:tcW w:w="763" w:type="pct"/>
            <w:vMerge/>
            <w:vAlign w:val="center"/>
            <w:hideMark/>
          </w:tcPr>
          <w:p w14:paraId="38EDE25B"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1911861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j) Implementar un programa de mantenimiento periódico que incluya:</w:t>
            </w:r>
            <w:r w:rsidRPr="008D1378">
              <w:rPr>
                <w:rFonts w:ascii="Arial Narrow" w:eastAsia="Times New Roman" w:hAnsi="Arial Narrow" w:cs="Arial"/>
                <w:color w:val="000000"/>
                <w:sz w:val="18"/>
                <w:szCs w:val="18"/>
                <w:lang w:val="es-MX" w:eastAsia="es-MX"/>
              </w:rPr>
              <w:br/>
              <w:t>i. Revisión frecuente del estado físico de medidores, tuberías y dispositivos, orientado a minimizar los niveles de pérdidas;</w:t>
            </w:r>
            <w:r w:rsidRPr="008D1378">
              <w:rPr>
                <w:rFonts w:ascii="Arial Narrow" w:eastAsia="Times New Roman" w:hAnsi="Arial Narrow" w:cs="Arial"/>
                <w:color w:val="000000"/>
                <w:sz w:val="18"/>
                <w:szCs w:val="18"/>
                <w:lang w:val="es-MX" w:eastAsia="es-MX"/>
              </w:rPr>
              <w:br/>
              <w:t>ii. Mantenimientos correctivos y preventivos a los sistemas de iluminación e hidráulico;</w:t>
            </w:r>
            <w:r w:rsidRPr="008D1378">
              <w:rPr>
                <w:rFonts w:ascii="Arial Narrow" w:eastAsia="Times New Roman" w:hAnsi="Arial Narrow" w:cs="Arial"/>
                <w:color w:val="000000"/>
                <w:sz w:val="18"/>
                <w:szCs w:val="18"/>
                <w:lang w:val="es-MX" w:eastAsia="es-MX"/>
              </w:rPr>
              <w:br/>
              <w:t>iii. Hacer uso de mecanismos para promover la utilización de aguas lluvia y el re-uso de las aguas residuales.</w:t>
            </w:r>
          </w:p>
        </w:tc>
        <w:tc>
          <w:tcPr>
            <w:tcW w:w="383" w:type="pct"/>
            <w:shd w:val="clear" w:color="auto" w:fill="CCFF99"/>
            <w:vAlign w:val="center"/>
            <w:hideMark/>
          </w:tcPr>
          <w:p w14:paraId="5052E432" w14:textId="0C7A358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17092DF4" w14:textId="442D00D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5634B0AC" w14:textId="13FFAF3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3E6A97D1" w14:textId="099AE22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A46A49C" w14:textId="77777777" w:rsidTr="00FA5D80">
        <w:trPr>
          <w:trHeight w:val="810"/>
        </w:trPr>
        <w:tc>
          <w:tcPr>
            <w:tcW w:w="763" w:type="pct"/>
            <w:vMerge/>
            <w:vAlign w:val="center"/>
            <w:hideMark/>
          </w:tcPr>
          <w:p w14:paraId="647B821B" w14:textId="77777777" w:rsidR="007D567B" w:rsidRPr="008D1378" w:rsidRDefault="007D567B" w:rsidP="007D567B">
            <w:pPr>
              <w:rPr>
                <w:rFonts w:ascii="Arial Narrow" w:eastAsia="Times New Roman" w:hAnsi="Arial Narrow" w:cs="Arial"/>
                <w:color w:val="000000"/>
                <w:sz w:val="18"/>
                <w:szCs w:val="18"/>
                <w:lang w:val="es-MX" w:eastAsia="es-MX"/>
              </w:rPr>
            </w:pPr>
          </w:p>
        </w:tc>
        <w:tc>
          <w:tcPr>
            <w:tcW w:w="2638" w:type="pct"/>
            <w:shd w:val="clear" w:color="auto" w:fill="auto"/>
            <w:vAlign w:val="center"/>
            <w:hideMark/>
          </w:tcPr>
          <w:p w14:paraId="713B397F"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 xml:space="preserve">k) Fomentar el uso de vehículos y medios de transporte ambientalmente sostenibles, tales como bicicletas, transporte público, entre otros; y disponer los espacios adecuados para comodidad de los servidores públicos. </w:t>
            </w:r>
          </w:p>
        </w:tc>
        <w:tc>
          <w:tcPr>
            <w:tcW w:w="383" w:type="pct"/>
            <w:shd w:val="clear" w:color="auto" w:fill="CCFF99"/>
            <w:vAlign w:val="center"/>
            <w:hideMark/>
          </w:tcPr>
          <w:p w14:paraId="0819A85D" w14:textId="0FC8D1E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5B5CA890" w14:textId="37C4845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0CBB7FAC" w14:textId="391365F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101D976B" w14:textId="6C3EB9E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5DC59E18" w14:textId="77777777" w:rsidTr="00FA5D80">
        <w:trPr>
          <w:trHeight w:val="70"/>
        </w:trPr>
        <w:tc>
          <w:tcPr>
            <w:tcW w:w="763" w:type="pct"/>
            <w:shd w:val="clear" w:color="auto" w:fill="auto"/>
            <w:vAlign w:val="center"/>
            <w:hideMark/>
          </w:tcPr>
          <w:p w14:paraId="6325CC1D"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28 Planes de austeridad</w:t>
            </w:r>
          </w:p>
        </w:tc>
        <w:tc>
          <w:tcPr>
            <w:tcW w:w="2638" w:type="pct"/>
            <w:shd w:val="clear" w:color="auto" w:fill="auto"/>
            <w:vAlign w:val="center"/>
            <w:hideMark/>
          </w:tcPr>
          <w:p w14:paraId="3C144D67"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Cada entidad y organismo distrital, atendiendo su naturaleza jurídica y actividad misional deberá definir, al inicio de cada vigencia fiscal, un plan de austeridad por vigencia, en virtud del cual hará una selección de gastos detallados en el rubro de adquisición de bienes y servicios a ahorrar (gastos elegibles) que sirva de línea base para implementar el indicador de austeridad de que trata el artículo siguiente y, con el cual, la entidad y organismo hará seguimiento y análisis de manera semestral a los ahorros generados por la estrategia de austeridad implementada. El plan deberá informar como antecedente los gastos elegidos en vigencias pasadas que fueron objeto de austeridad.</w:t>
            </w:r>
          </w:p>
        </w:tc>
        <w:tc>
          <w:tcPr>
            <w:tcW w:w="383" w:type="pct"/>
            <w:shd w:val="clear" w:color="auto" w:fill="CCFF99"/>
            <w:vAlign w:val="center"/>
            <w:hideMark/>
          </w:tcPr>
          <w:p w14:paraId="71EA2C3A" w14:textId="0A28F46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FAF95AC" w14:textId="49B51CC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4E0DB0D7" w14:textId="3D0C7FD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7E45FB46" w14:textId="2E962EF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603CF8DD" w14:textId="77777777" w:rsidTr="00FA5D80">
        <w:trPr>
          <w:trHeight w:val="540"/>
        </w:trPr>
        <w:tc>
          <w:tcPr>
            <w:tcW w:w="763" w:type="pct"/>
            <w:shd w:val="clear" w:color="auto" w:fill="auto"/>
            <w:vAlign w:val="center"/>
            <w:hideMark/>
          </w:tcPr>
          <w:p w14:paraId="014EEDB1"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29 Indicadores</w:t>
            </w:r>
          </w:p>
        </w:tc>
        <w:tc>
          <w:tcPr>
            <w:tcW w:w="2638" w:type="pct"/>
            <w:shd w:val="clear" w:color="auto" w:fill="auto"/>
            <w:vAlign w:val="center"/>
            <w:hideMark/>
          </w:tcPr>
          <w:p w14:paraId="4C015327"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Una vez elaborado el Plan de Austeridad por Entidad, se manejarán dos tipos de indicadores, a saber: i) indicador de Austeridad y ii) indicador de Cumplimiento.</w:t>
            </w:r>
          </w:p>
        </w:tc>
        <w:tc>
          <w:tcPr>
            <w:tcW w:w="383" w:type="pct"/>
            <w:shd w:val="clear" w:color="auto" w:fill="CCFF99"/>
            <w:vAlign w:val="center"/>
            <w:hideMark/>
          </w:tcPr>
          <w:p w14:paraId="69DFCD51" w14:textId="3425B88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49D49309" w14:textId="5E81280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B19AEB6" w14:textId="5392E2B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23507248" w14:textId="0ED6249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418286A" w14:textId="77777777" w:rsidTr="00FA5D80">
        <w:trPr>
          <w:trHeight w:val="1890"/>
        </w:trPr>
        <w:tc>
          <w:tcPr>
            <w:tcW w:w="763" w:type="pct"/>
            <w:shd w:val="clear" w:color="auto" w:fill="auto"/>
            <w:vAlign w:val="center"/>
            <w:hideMark/>
          </w:tcPr>
          <w:p w14:paraId="1E2425C8"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30 Informes</w:t>
            </w:r>
          </w:p>
        </w:tc>
        <w:tc>
          <w:tcPr>
            <w:tcW w:w="2638" w:type="pct"/>
            <w:shd w:val="clear" w:color="auto" w:fill="auto"/>
            <w:vAlign w:val="center"/>
            <w:hideMark/>
          </w:tcPr>
          <w:p w14:paraId="6BCA27EB"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Durante el año 2020 se definirá la línea base a través de los informes semestrales. Para tal fin, en el primer informe correspondiente al periodo de enero a junio de 2020, se definirá el plan de austeridad que deberá contener como mínimo la información de los gastos elegibles contemplados en el presente decreto y su correspondiente ejecución. Para el segundo informe correspondiente al periodo de julio a diciembre de 2020, se presentará el informe de los gastos elegibles para el acumulado semestral, y para el total anual, esto es, enero a diciembre de 2020.</w:t>
            </w:r>
          </w:p>
        </w:tc>
        <w:tc>
          <w:tcPr>
            <w:tcW w:w="383" w:type="pct"/>
            <w:shd w:val="clear" w:color="auto" w:fill="auto"/>
            <w:vAlign w:val="center"/>
            <w:hideMark/>
          </w:tcPr>
          <w:p w14:paraId="456A6067" w14:textId="2DCA01E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FF66CC"/>
            <w:vAlign w:val="center"/>
            <w:hideMark/>
          </w:tcPr>
          <w:p w14:paraId="1D0116FA" w14:textId="58D4F16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451" w:type="pct"/>
            <w:shd w:val="clear" w:color="auto" w:fill="auto"/>
            <w:vAlign w:val="center"/>
            <w:hideMark/>
          </w:tcPr>
          <w:p w14:paraId="4DDB3A34" w14:textId="6CCA02B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6E54BE5F" w14:textId="733BE56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9C7B626" w14:textId="77777777" w:rsidTr="00FA5D80">
        <w:trPr>
          <w:trHeight w:val="1080"/>
        </w:trPr>
        <w:tc>
          <w:tcPr>
            <w:tcW w:w="763" w:type="pct"/>
            <w:shd w:val="clear" w:color="auto" w:fill="auto"/>
            <w:vAlign w:val="center"/>
            <w:hideMark/>
          </w:tcPr>
          <w:p w14:paraId="6DD3458B"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31 Acuerdos marco de precios</w:t>
            </w:r>
          </w:p>
        </w:tc>
        <w:tc>
          <w:tcPr>
            <w:tcW w:w="2638" w:type="pct"/>
            <w:shd w:val="clear" w:color="auto" w:fill="auto"/>
            <w:vAlign w:val="center"/>
            <w:hideMark/>
          </w:tcPr>
          <w:p w14:paraId="5D1FD9EF"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definidos en el artículo 1 del presente decreto, analizarán la conveniencia de hacer uso de los Acuerdos Marco de Precios diseñados por Colombia Compra Eficiente para la adquisición de los bienes y servicios definidos en el Plan Anual de Adquisiciones.</w:t>
            </w:r>
          </w:p>
        </w:tc>
        <w:tc>
          <w:tcPr>
            <w:tcW w:w="383" w:type="pct"/>
            <w:shd w:val="clear" w:color="auto" w:fill="CCFF99"/>
            <w:vAlign w:val="center"/>
            <w:hideMark/>
          </w:tcPr>
          <w:p w14:paraId="29F88A28" w14:textId="2CB6BEF2"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3ED8DC53" w14:textId="0B2DB60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2089340C" w14:textId="477E1221"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A9E664F" w14:textId="38B7EFE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4343BD57" w14:textId="77777777" w:rsidTr="00FA5D80">
        <w:trPr>
          <w:trHeight w:val="70"/>
        </w:trPr>
        <w:tc>
          <w:tcPr>
            <w:tcW w:w="763" w:type="pct"/>
            <w:shd w:val="clear" w:color="auto" w:fill="auto"/>
            <w:vAlign w:val="center"/>
            <w:hideMark/>
          </w:tcPr>
          <w:p w14:paraId="3DA3944A"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lastRenderedPageBreak/>
              <w:t>Artículo 32 Contratación de bienes y servicios.</w:t>
            </w:r>
          </w:p>
        </w:tc>
        <w:tc>
          <w:tcPr>
            <w:tcW w:w="2638" w:type="pct"/>
            <w:shd w:val="clear" w:color="auto" w:fill="auto"/>
            <w:vAlign w:val="center"/>
            <w:hideMark/>
          </w:tcPr>
          <w:p w14:paraId="477CB579"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deberán realizar la contratación de servicios tales como vigilancia, aseo, cafetería, transporte, archivo, mensajería, etc., a través de procesos de selección objetiva previstos en la ley. De igual forma, deberán considerar la realización de multicompras para varias entidades y organismos de un mismo sector, lo cual facilita las adquisiciones por volumen, obtener precios favorables y mayores descuentos.</w:t>
            </w:r>
          </w:p>
        </w:tc>
        <w:tc>
          <w:tcPr>
            <w:tcW w:w="383" w:type="pct"/>
            <w:shd w:val="clear" w:color="auto" w:fill="CCFF99"/>
            <w:vAlign w:val="center"/>
            <w:hideMark/>
          </w:tcPr>
          <w:p w14:paraId="164AAD97" w14:textId="518D54E8"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49F22A09" w14:textId="1884C8A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6A436D3D" w14:textId="1D722B2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37C2B26C" w14:textId="614009B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02A4456F" w14:textId="77777777" w:rsidTr="00FA5D80">
        <w:trPr>
          <w:trHeight w:val="70"/>
        </w:trPr>
        <w:tc>
          <w:tcPr>
            <w:tcW w:w="763" w:type="pct"/>
            <w:shd w:val="clear" w:color="auto" w:fill="auto"/>
            <w:vAlign w:val="center"/>
            <w:hideMark/>
          </w:tcPr>
          <w:p w14:paraId="18C37FDC"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33 Plantas de personal</w:t>
            </w:r>
          </w:p>
        </w:tc>
        <w:tc>
          <w:tcPr>
            <w:tcW w:w="2638" w:type="pct"/>
            <w:shd w:val="clear" w:color="auto" w:fill="auto"/>
            <w:vAlign w:val="center"/>
            <w:hideMark/>
          </w:tcPr>
          <w:p w14:paraId="1F0CD8D1"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En atención a la regulación del sistema de empleo público previsto en la Ley 909 de 2004 y demás disposiciones que regulan la materia, en concordancia con los conceptos de viabilidad presupuestal sobre las plantas de personal y sus modificaciones emitidos por la Secretaría Distrital de Hacienda - Dirección Distrital de Presupuesto, en desarrollo de las normas presupuestales y en lo establecido en la Ley 617 de 2000, las plantas de personal de las entidades y organismos distritales no serán objeto de los planes de austeridad establecidos en el artículo 28 del presente decreto.</w:t>
            </w:r>
          </w:p>
        </w:tc>
        <w:tc>
          <w:tcPr>
            <w:tcW w:w="383" w:type="pct"/>
            <w:shd w:val="clear" w:color="auto" w:fill="CCFF99"/>
            <w:vAlign w:val="center"/>
            <w:hideMark/>
          </w:tcPr>
          <w:p w14:paraId="4AE67EC0" w14:textId="4DD0C60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79967C4" w14:textId="747C843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232E7FC7" w14:textId="15B37337"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9E8CA43" w14:textId="60C20CD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3C57A63B" w14:textId="77777777" w:rsidTr="00FA5D80">
        <w:trPr>
          <w:trHeight w:val="70"/>
        </w:trPr>
        <w:tc>
          <w:tcPr>
            <w:tcW w:w="763" w:type="pct"/>
            <w:shd w:val="clear" w:color="auto" w:fill="auto"/>
            <w:vAlign w:val="center"/>
            <w:hideMark/>
          </w:tcPr>
          <w:p w14:paraId="730865AC"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34 Funciones y responsabilidades</w:t>
            </w:r>
          </w:p>
        </w:tc>
        <w:tc>
          <w:tcPr>
            <w:tcW w:w="2638" w:type="pct"/>
            <w:shd w:val="clear" w:color="auto" w:fill="auto"/>
            <w:vAlign w:val="center"/>
            <w:hideMark/>
          </w:tcPr>
          <w:p w14:paraId="24317A17"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Para la elaboración del balance de resultados de la implementación de las medidas de austeridad y trasparencia del gasto público en cada una de las entidades y organismos distritales, se deberán establecer funciones y responsabilidades para la consolidación de la información, el análisis respectivo y la presentación, en cada una de sus fases, tanto el de la entidad como en el consolidado del sector, para el balance que deberá remitirse al Concejo de Bogotá, D.C., según lo dispuesto en el artículo 5 del Acuerdo 719 de 2018.</w:t>
            </w:r>
          </w:p>
        </w:tc>
        <w:tc>
          <w:tcPr>
            <w:tcW w:w="383" w:type="pct"/>
            <w:shd w:val="clear" w:color="auto" w:fill="auto"/>
            <w:vAlign w:val="center"/>
            <w:hideMark/>
          </w:tcPr>
          <w:p w14:paraId="19257F7A" w14:textId="0BA71634"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4E982ADC" w14:textId="66EE5C7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3EB114F6" w14:textId="10111BD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2A7DEF72" w14:textId="1E739D4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42AE8A93" w14:textId="77777777" w:rsidTr="00FA5D80">
        <w:trPr>
          <w:trHeight w:val="810"/>
        </w:trPr>
        <w:tc>
          <w:tcPr>
            <w:tcW w:w="763" w:type="pct"/>
            <w:shd w:val="clear" w:color="auto" w:fill="auto"/>
            <w:vAlign w:val="center"/>
            <w:hideMark/>
          </w:tcPr>
          <w:p w14:paraId="0990F9A8"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35 Procesos y procedimientos</w:t>
            </w:r>
          </w:p>
        </w:tc>
        <w:tc>
          <w:tcPr>
            <w:tcW w:w="2638" w:type="pct"/>
            <w:shd w:val="clear" w:color="auto" w:fill="auto"/>
            <w:vAlign w:val="center"/>
            <w:hideMark/>
          </w:tcPr>
          <w:p w14:paraId="19C65BCE"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entidades y organismos deberán revisar los trámites internos que signifiquen reprocesos, en aras de optimizar el talento humano y los recursos físicos y financieros.</w:t>
            </w:r>
          </w:p>
        </w:tc>
        <w:tc>
          <w:tcPr>
            <w:tcW w:w="383" w:type="pct"/>
            <w:shd w:val="clear" w:color="auto" w:fill="CCFF99"/>
            <w:vAlign w:val="center"/>
            <w:hideMark/>
          </w:tcPr>
          <w:p w14:paraId="69BCA308" w14:textId="722B012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386" w:type="pct"/>
            <w:shd w:val="clear" w:color="auto" w:fill="auto"/>
            <w:vAlign w:val="center"/>
            <w:hideMark/>
          </w:tcPr>
          <w:p w14:paraId="04C768C4" w14:textId="46E1AB00"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710AC82B" w14:textId="2DA76B5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5AE16D4" w14:textId="1DCCE0C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18803907" w14:textId="77777777" w:rsidTr="00FA5D80">
        <w:trPr>
          <w:trHeight w:val="1890"/>
        </w:trPr>
        <w:tc>
          <w:tcPr>
            <w:tcW w:w="763" w:type="pct"/>
            <w:shd w:val="clear" w:color="auto" w:fill="auto"/>
            <w:vAlign w:val="center"/>
            <w:hideMark/>
          </w:tcPr>
          <w:p w14:paraId="3D06EEC9"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36 Transparencia en la información</w:t>
            </w:r>
          </w:p>
        </w:tc>
        <w:tc>
          <w:tcPr>
            <w:tcW w:w="2638" w:type="pct"/>
            <w:shd w:val="clear" w:color="auto" w:fill="auto"/>
            <w:vAlign w:val="center"/>
            <w:hideMark/>
          </w:tcPr>
          <w:p w14:paraId="4E037680"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En observancia a lo dispuesto en el artículo 2 del Acuerdo Distrital 719 de 2018, las entidades y organismos descritas en el artículo primero del presente decreto deberán publicar en sus respectivas páginas web los informes relacionados con el gasto público y la gestión realizada sobre las medidas de austeridad implementadas. Así mismo, la publicación que la entidad y organismo realice correspondiente a gasto público deberá ser en formato de dato abierto, con el fin de brindar acceso y disponibilidad de toda la información a la ciudadanía.</w:t>
            </w:r>
          </w:p>
        </w:tc>
        <w:tc>
          <w:tcPr>
            <w:tcW w:w="383" w:type="pct"/>
            <w:shd w:val="clear" w:color="auto" w:fill="auto"/>
            <w:vAlign w:val="center"/>
            <w:hideMark/>
          </w:tcPr>
          <w:p w14:paraId="75E5F266" w14:textId="2FC7E0F9"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FF66CC"/>
            <w:vAlign w:val="center"/>
            <w:hideMark/>
          </w:tcPr>
          <w:p w14:paraId="11913476" w14:textId="2063F3BC"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c>
          <w:tcPr>
            <w:tcW w:w="451" w:type="pct"/>
            <w:shd w:val="clear" w:color="auto" w:fill="auto"/>
            <w:vAlign w:val="center"/>
            <w:hideMark/>
          </w:tcPr>
          <w:p w14:paraId="0A963AA8" w14:textId="1390627B"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auto" w:fill="auto"/>
            <w:vAlign w:val="center"/>
            <w:hideMark/>
          </w:tcPr>
          <w:p w14:paraId="405503D1" w14:textId="26284DF3"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r>
      <w:tr w:rsidR="007D567B" w:rsidRPr="008D1378" w14:paraId="191A537C" w14:textId="77777777" w:rsidTr="00FA5D80">
        <w:trPr>
          <w:trHeight w:val="1890"/>
        </w:trPr>
        <w:tc>
          <w:tcPr>
            <w:tcW w:w="763" w:type="pct"/>
            <w:shd w:val="clear" w:color="auto" w:fill="auto"/>
            <w:vAlign w:val="center"/>
            <w:hideMark/>
          </w:tcPr>
          <w:p w14:paraId="0A187BB1" w14:textId="77777777" w:rsidR="007D567B" w:rsidRPr="008D1378" w:rsidRDefault="007D567B" w:rsidP="007D567B">
            <w:pPr>
              <w:jc w:val="cente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Artículo 37 Transición por relaciones contractuales vigentes</w:t>
            </w:r>
          </w:p>
        </w:tc>
        <w:tc>
          <w:tcPr>
            <w:tcW w:w="2638" w:type="pct"/>
            <w:shd w:val="clear" w:color="auto" w:fill="auto"/>
            <w:vAlign w:val="center"/>
            <w:hideMark/>
          </w:tcPr>
          <w:p w14:paraId="684DE6FA" w14:textId="77777777" w:rsidR="007D567B" w:rsidRPr="008D1378" w:rsidRDefault="007D567B" w:rsidP="007D567B">
            <w:pPr>
              <w:rPr>
                <w:rFonts w:ascii="Arial Narrow" w:eastAsia="Times New Roman" w:hAnsi="Arial Narrow" w:cs="Arial"/>
                <w:color w:val="000000"/>
                <w:sz w:val="18"/>
                <w:szCs w:val="18"/>
                <w:lang w:val="es-MX" w:eastAsia="es-MX"/>
              </w:rPr>
            </w:pPr>
            <w:r w:rsidRPr="008D1378">
              <w:rPr>
                <w:rFonts w:ascii="Arial Narrow" w:eastAsia="Times New Roman" w:hAnsi="Arial Narrow" w:cs="Arial"/>
                <w:color w:val="000000"/>
                <w:sz w:val="18"/>
                <w:szCs w:val="18"/>
                <w:lang w:val="es-MX" w:eastAsia="es-MX"/>
              </w:rPr>
              <w:t>Las medidas dispuestas en el presente decreto que por su naturaleza no sean de aplicación inmediata por existir relaciones contractuales vigentes, deberán ser implementadas por las entidades y organismos indicados en el artículo primero del presente decreto, dentro de la planeación para los nuevos contratos o actos jurídicos que se suscriban. Esta situación, en caso de presentarse, deberá incluirse en el informe de análisis de la aplicación de las medidas de austeridad al que hace referencia el artículo 5 del Acuerdo Distrital 719 de 2018.</w:t>
            </w:r>
          </w:p>
        </w:tc>
        <w:tc>
          <w:tcPr>
            <w:tcW w:w="383" w:type="pct"/>
            <w:shd w:val="clear" w:color="auto" w:fill="auto"/>
            <w:vAlign w:val="center"/>
            <w:hideMark/>
          </w:tcPr>
          <w:p w14:paraId="0FA2EF12" w14:textId="72565E8E"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86" w:type="pct"/>
            <w:shd w:val="clear" w:color="auto" w:fill="auto"/>
            <w:vAlign w:val="center"/>
            <w:hideMark/>
          </w:tcPr>
          <w:p w14:paraId="78BA4EBE" w14:textId="36B54345"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451" w:type="pct"/>
            <w:shd w:val="clear" w:color="auto" w:fill="auto"/>
            <w:vAlign w:val="center"/>
            <w:hideMark/>
          </w:tcPr>
          <w:p w14:paraId="1E6BBA9F" w14:textId="27EC1C4D"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 </w:t>
            </w:r>
          </w:p>
        </w:tc>
        <w:tc>
          <w:tcPr>
            <w:tcW w:w="378" w:type="pct"/>
            <w:shd w:val="clear" w:color="BFBFBF" w:fill="BFBFBF"/>
            <w:vAlign w:val="center"/>
            <w:hideMark/>
          </w:tcPr>
          <w:p w14:paraId="25E3394F" w14:textId="19BA6A6F" w:rsidR="007D567B" w:rsidRPr="008D1378" w:rsidRDefault="007D567B" w:rsidP="007D567B">
            <w:pPr>
              <w:jc w:val="center"/>
              <w:rPr>
                <w:rFonts w:ascii="Arial Narrow" w:eastAsia="Times New Roman" w:hAnsi="Arial Narrow" w:cs="Arial"/>
                <w:color w:val="000000"/>
                <w:sz w:val="18"/>
                <w:szCs w:val="18"/>
                <w:lang w:val="es-MX" w:eastAsia="es-MX"/>
              </w:rPr>
            </w:pPr>
            <w:r>
              <w:rPr>
                <w:rFonts w:ascii="Arial Narrow" w:hAnsi="Arial Narrow" w:cs="Arial"/>
                <w:color w:val="000000"/>
                <w:sz w:val="18"/>
                <w:szCs w:val="18"/>
              </w:rPr>
              <w:t>X</w:t>
            </w:r>
          </w:p>
        </w:tc>
      </w:tr>
      <w:tr w:rsidR="007D567B" w:rsidRPr="008D1378" w14:paraId="45661979" w14:textId="77777777" w:rsidTr="00FA5D80">
        <w:trPr>
          <w:trHeight w:val="285"/>
        </w:trPr>
        <w:tc>
          <w:tcPr>
            <w:tcW w:w="763" w:type="pct"/>
            <w:shd w:val="clear" w:color="auto" w:fill="auto"/>
            <w:vAlign w:val="center"/>
            <w:hideMark/>
          </w:tcPr>
          <w:p w14:paraId="22016FF9" w14:textId="77777777" w:rsidR="007D567B" w:rsidRPr="008D1378" w:rsidRDefault="007D567B" w:rsidP="007D567B">
            <w:pPr>
              <w:rPr>
                <w:rFonts w:ascii="Arial Narrow" w:eastAsia="Times New Roman" w:hAnsi="Arial Narrow" w:cs="Arial"/>
                <w:b/>
                <w:bCs/>
                <w:color w:val="000000"/>
                <w:sz w:val="18"/>
                <w:szCs w:val="18"/>
                <w:lang w:val="es-MX" w:eastAsia="es-MX"/>
              </w:rPr>
            </w:pPr>
            <w:r w:rsidRPr="008D1378">
              <w:rPr>
                <w:rFonts w:ascii="Arial Narrow" w:eastAsia="Times New Roman" w:hAnsi="Arial Narrow" w:cs="Arial"/>
                <w:b/>
                <w:bCs/>
                <w:color w:val="000000"/>
                <w:sz w:val="18"/>
                <w:szCs w:val="18"/>
                <w:lang w:val="es-MX" w:eastAsia="es-MX"/>
              </w:rPr>
              <w:t>TOTAL</w:t>
            </w:r>
          </w:p>
        </w:tc>
        <w:tc>
          <w:tcPr>
            <w:tcW w:w="2638" w:type="pct"/>
            <w:shd w:val="clear" w:color="auto" w:fill="auto"/>
            <w:noWrap/>
            <w:vAlign w:val="bottom"/>
            <w:hideMark/>
          </w:tcPr>
          <w:p w14:paraId="2C317894" w14:textId="77777777" w:rsidR="007D567B" w:rsidRPr="008D1378" w:rsidRDefault="007D567B" w:rsidP="007D567B">
            <w:pPr>
              <w:rPr>
                <w:rFonts w:eastAsia="Times New Roman" w:cs="Arial"/>
                <w:szCs w:val="22"/>
                <w:lang w:val="es-MX" w:eastAsia="es-MX"/>
              </w:rPr>
            </w:pPr>
            <w:r w:rsidRPr="008D1378">
              <w:rPr>
                <w:rFonts w:eastAsia="Times New Roman" w:cs="Arial"/>
                <w:szCs w:val="22"/>
                <w:lang w:val="es-MX" w:eastAsia="es-MX"/>
              </w:rPr>
              <w:t> </w:t>
            </w:r>
          </w:p>
        </w:tc>
        <w:tc>
          <w:tcPr>
            <w:tcW w:w="383" w:type="pct"/>
            <w:shd w:val="clear" w:color="CCFF99" w:fill="CCFF99"/>
            <w:vAlign w:val="center"/>
            <w:hideMark/>
          </w:tcPr>
          <w:p w14:paraId="00EB866F" w14:textId="3AF38F6B" w:rsidR="007D567B" w:rsidRPr="008D1378" w:rsidRDefault="007D567B" w:rsidP="007D567B">
            <w:pPr>
              <w:jc w:val="center"/>
              <w:rPr>
                <w:rFonts w:ascii="Arial Narrow" w:eastAsia="Times New Roman" w:hAnsi="Arial Narrow" w:cs="Arial"/>
                <w:b/>
                <w:bCs/>
                <w:color w:val="000000"/>
                <w:sz w:val="18"/>
                <w:szCs w:val="18"/>
                <w:lang w:val="es-MX" w:eastAsia="es-MX"/>
              </w:rPr>
            </w:pPr>
            <w:r>
              <w:rPr>
                <w:rFonts w:ascii="Arial Narrow" w:hAnsi="Arial Narrow" w:cs="Arial"/>
                <w:b/>
                <w:bCs/>
                <w:color w:val="000000"/>
                <w:sz w:val="18"/>
                <w:szCs w:val="18"/>
              </w:rPr>
              <w:t>72</w:t>
            </w:r>
          </w:p>
        </w:tc>
        <w:tc>
          <w:tcPr>
            <w:tcW w:w="386" w:type="pct"/>
            <w:shd w:val="clear" w:color="auto" w:fill="FF66CC"/>
            <w:vAlign w:val="center"/>
            <w:hideMark/>
          </w:tcPr>
          <w:p w14:paraId="6690FA6F" w14:textId="08AA3CAC" w:rsidR="007D567B" w:rsidRPr="008D1378" w:rsidRDefault="007D567B" w:rsidP="007D567B">
            <w:pPr>
              <w:jc w:val="center"/>
              <w:rPr>
                <w:rFonts w:ascii="Arial Narrow" w:eastAsia="Times New Roman" w:hAnsi="Arial Narrow" w:cs="Arial"/>
                <w:b/>
                <w:bCs/>
                <w:color w:val="000000"/>
                <w:sz w:val="18"/>
                <w:szCs w:val="18"/>
                <w:lang w:val="es-MX" w:eastAsia="es-MX"/>
              </w:rPr>
            </w:pPr>
            <w:r>
              <w:rPr>
                <w:rFonts w:ascii="Arial Narrow" w:hAnsi="Arial Narrow" w:cs="Arial"/>
                <w:b/>
                <w:bCs/>
                <w:color w:val="000000"/>
                <w:sz w:val="18"/>
                <w:szCs w:val="18"/>
              </w:rPr>
              <w:t>3</w:t>
            </w:r>
          </w:p>
        </w:tc>
        <w:tc>
          <w:tcPr>
            <w:tcW w:w="451" w:type="pct"/>
            <w:shd w:val="clear" w:color="FFFF99" w:fill="FFFF99"/>
            <w:vAlign w:val="center"/>
            <w:hideMark/>
          </w:tcPr>
          <w:p w14:paraId="62E4514F" w14:textId="6F4D3212" w:rsidR="007D567B" w:rsidRPr="008D1378" w:rsidRDefault="007D567B" w:rsidP="007D567B">
            <w:pPr>
              <w:jc w:val="center"/>
              <w:rPr>
                <w:rFonts w:ascii="Arial Narrow" w:eastAsia="Times New Roman" w:hAnsi="Arial Narrow" w:cs="Arial"/>
                <w:b/>
                <w:bCs/>
                <w:color w:val="000000"/>
                <w:sz w:val="18"/>
                <w:szCs w:val="18"/>
                <w:lang w:val="es-MX" w:eastAsia="es-MX"/>
              </w:rPr>
            </w:pPr>
            <w:r>
              <w:rPr>
                <w:rFonts w:ascii="Arial Narrow" w:hAnsi="Arial Narrow" w:cs="Arial"/>
                <w:b/>
                <w:bCs/>
                <w:color w:val="000000"/>
                <w:sz w:val="18"/>
                <w:szCs w:val="18"/>
              </w:rPr>
              <w:t>0</w:t>
            </w:r>
          </w:p>
        </w:tc>
        <w:tc>
          <w:tcPr>
            <w:tcW w:w="378" w:type="pct"/>
            <w:shd w:val="clear" w:color="BFBFBF" w:fill="BFBFBF"/>
            <w:vAlign w:val="center"/>
            <w:hideMark/>
          </w:tcPr>
          <w:p w14:paraId="6C1038F6" w14:textId="70489F60" w:rsidR="007D567B" w:rsidRPr="008D1378" w:rsidRDefault="007D567B" w:rsidP="007D567B">
            <w:pPr>
              <w:jc w:val="center"/>
              <w:rPr>
                <w:rFonts w:ascii="Arial Narrow" w:eastAsia="Times New Roman" w:hAnsi="Arial Narrow" w:cs="Arial"/>
                <w:b/>
                <w:bCs/>
                <w:color w:val="000000"/>
                <w:sz w:val="18"/>
                <w:szCs w:val="18"/>
                <w:lang w:val="es-MX" w:eastAsia="es-MX"/>
              </w:rPr>
            </w:pPr>
            <w:r>
              <w:rPr>
                <w:rFonts w:ascii="Arial Narrow" w:hAnsi="Arial Narrow" w:cs="Arial"/>
                <w:b/>
                <w:bCs/>
                <w:color w:val="000000"/>
                <w:sz w:val="18"/>
                <w:szCs w:val="18"/>
              </w:rPr>
              <w:t>17</w:t>
            </w:r>
          </w:p>
        </w:tc>
      </w:tr>
    </w:tbl>
    <w:p w14:paraId="3F1EE699" w14:textId="77777777" w:rsidR="008D1378" w:rsidRDefault="008D1378" w:rsidP="008F6545">
      <w:pPr>
        <w:jc w:val="both"/>
        <w:rPr>
          <w:rFonts w:cs="Arial"/>
        </w:rPr>
      </w:pPr>
    </w:p>
    <w:p w14:paraId="2957FEE1" w14:textId="77777777" w:rsidR="002A0EED" w:rsidRDefault="002A0EED" w:rsidP="008F6545">
      <w:pPr>
        <w:jc w:val="both"/>
        <w:rPr>
          <w:rFonts w:cs="Arial"/>
        </w:rPr>
      </w:pPr>
    </w:p>
    <w:p w14:paraId="1E44FB41" w14:textId="77777777" w:rsidR="00EA63A6" w:rsidRDefault="00EA63A6" w:rsidP="008F6545">
      <w:pPr>
        <w:jc w:val="both"/>
        <w:rPr>
          <w:rFonts w:cs="Arial"/>
        </w:rPr>
      </w:pPr>
    </w:p>
    <w:p w14:paraId="5767A170" w14:textId="77777777" w:rsidR="00EA63A6" w:rsidRDefault="00EA63A6" w:rsidP="008F6545">
      <w:pPr>
        <w:jc w:val="both"/>
        <w:rPr>
          <w:rFonts w:cs="Arial"/>
        </w:rPr>
      </w:pPr>
    </w:p>
    <w:p w14:paraId="3DA921B3" w14:textId="77777777" w:rsidR="00EA63A6" w:rsidRDefault="00EA63A6" w:rsidP="008F6545">
      <w:pPr>
        <w:jc w:val="both"/>
        <w:rPr>
          <w:rFonts w:cs="Arial"/>
        </w:rPr>
      </w:pPr>
    </w:p>
    <w:p w14:paraId="1C7EABF8" w14:textId="77777777" w:rsidR="00EA63A6" w:rsidRDefault="00EA63A6" w:rsidP="008F6545">
      <w:pPr>
        <w:jc w:val="both"/>
        <w:rPr>
          <w:rFonts w:cs="Arial"/>
        </w:rPr>
      </w:pPr>
    </w:p>
    <w:p w14:paraId="4297F7B3" w14:textId="77777777" w:rsidR="00EA63A6" w:rsidRDefault="00EA63A6" w:rsidP="008F6545">
      <w:pPr>
        <w:jc w:val="both"/>
        <w:rPr>
          <w:rFonts w:cs="Arial"/>
        </w:rPr>
      </w:pPr>
    </w:p>
    <w:p w14:paraId="5B06671E" w14:textId="77777777" w:rsidR="00EA63A6" w:rsidRDefault="00EA63A6" w:rsidP="008F6545">
      <w:pPr>
        <w:jc w:val="both"/>
        <w:rPr>
          <w:rFonts w:cs="Arial"/>
        </w:rPr>
      </w:pPr>
    </w:p>
    <w:p w14:paraId="1F8149F6" w14:textId="1B38F005" w:rsidR="008D1378" w:rsidRDefault="008D1378" w:rsidP="008F6545">
      <w:pPr>
        <w:jc w:val="both"/>
        <w:rPr>
          <w:rFonts w:cs="Arial"/>
        </w:rPr>
      </w:pPr>
      <w:r>
        <w:rPr>
          <w:rFonts w:cs="Arial"/>
        </w:rPr>
        <w:lastRenderedPageBreak/>
        <w:t>De manera detallada se evidencia:</w:t>
      </w:r>
    </w:p>
    <w:p w14:paraId="4E9AD30B" w14:textId="77777777" w:rsidR="000538B9" w:rsidRDefault="000538B9" w:rsidP="008F6545">
      <w:pPr>
        <w:jc w:val="both"/>
        <w:rPr>
          <w:rFonts w:cs="Arial"/>
        </w:rPr>
      </w:pPr>
    </w:p>
    <w:p w14:paraId="26DF26A0" w14:textId="3B8D4914" w:rsidR="008F6545" w:rsidRPr="000F488C" w:rsidRDefault="008F6545" w:rsidP="00AA2B29">
      <w:pPr>
        <w:pStyle w:val="Prrafodelista"/>
        <w:numPr>
          <w:ilvl w:val="2"/>
          <w:numId w:val="5"/>
        </w:numPr>
        <w:jc w:val="both"/>
        <w:rPr>
          <w:rFonts w:cs="Arial"/>
          <w:b/>
        </w:rPr>
      </w:pPr>
      <w:r w:rsidRPr="000F488C">
        <w:rPr>
          <w:rFonts w:cs="Arial"/>
          <w:b/>
        </w:rPr>
        <w:t>Artículo 3. Condiciones para contratar la prestación de servicios profesionales y de apoyo a la gestión</w:t>
      </w:r>
    </w:p>
    <w:p w14:paraId="38E91F1D" w14:textId="77777777" w:rsidR="000538B9" w:rsidRDefault="000538B9" w:rsidP="005A1083">
      <w:pPr>
        <w:jc w:val="both"/>
        <w:rPr>
          <w:rFonts w:cs="Arial"/>
        </w:rPr>
      </w:pPr>
    </w:p>
    <w:p w14:paraId="7D2D6454" w14:textId="5B92E0C1" w:rsidR="00526352" w:rsidRDefault="00305D77" w:rsidP="00526352">
      <w:pPr>
        <w:jc w:val="both"/>
        <w:rPr>
          <w:rFonts w:cs="Arial"/>
        </w:rPr>
      </w:pPr>
      <w:r w:rsidRPr="00305D77">
        <w:rPr>
          <w:rFonts w:cs="Arial"/>
        </w:rPr>
        <w:t xml:space="preserve">De acuerdo a la relación de contratos celebrados, enviada por la Oficina Asesora Jurídica, se observa que en el </w:t>
      </w:r>
      <w:r w:rsidR="008D1378">
        <w:rPr>
          <w:rFonts w:cs="Arial"/>
        </w:rPr>
        <w:t xml:space="preserve">cuarto </w:t>
      </w:r>
      <w:r w:rsidR="008A7AB0">
        <w:rPr>
          <w:rFonts w:cs="Arial"/>
        </w:rPr>
        <w:t>trimestre de la vigencia 2021</w:t>
      </w:r>
      <w:r w:rsidR="000862E0">
        <w:rPr>
          <w:rFonts w:cs="Arial"/>
        </w:rPr>
        <w:t xml:space="preserve">, la </w:t>
      </w:r>
      <w:r w:rsidR="000862E0" w:rsidRPr="00892549">
        <w:rPr>
          <w:rFonts w:cs="Arial"/>
        </w:rPr>
        <w:t xml:space="preserve">entidad suscribió </w:t>
      </w:r>
      <w:r w:rsidR="00892549" w:rsidRPr="00892549">
        <w:rPr>
          <w:rFonts w:cs="Arial"/>
        </w:rPr>
        <w:t>17</w:t>
      </w:r>
      <w:r w:rsidRPr="00892549">
        <w:rPr>
          <w:rFonts w:cs="Arial"/>
        </w:rPr>
        <w:t xml:space="preserve"> contratos de prestación de servicios con personas n</w:t>
      </w:r>
      <w:r w:rsidR="00892549" w:rsidRPr="00892549">
        <w:rPr>
          <w:rFonts w:cs="Arial"/>
        </w:rPr>
        <w:t>aturales,</w:t>
      </w:r>
      <w:r w:rsidR="00FC3200" w:rsidRPr="00892549">
        <w:rPr>
          <w:rFonts w:cs="Arial"/>
        </w:rPr>
        <w:t xml:space="preserve"> </w:t>
      </w:r>
      <w:r w:rsidR="00892549" w:rsidRPr="00892549">
        <w:rPr>
          <w:rFonts w:cs="Arial"/>
        </w:rPr>
        <w:t>los cuales se revisaron</w:t>
      </w:r>
      <w:r w:rsidR="00980486" w:rsidRPr="00892549">
        <w:rPr>
          <w:rFonts w:cs="Arial"/>
        </w:rPr>
        <w:t xml:space="preserve">, evidenciando de manera </w:t>
      </w:r>
      <w:r w:rsidR="00E75BEF" w:rsidRPr="00892549">
        <w:rPr>
          <w:rFonts w:cs="Arial"/>
        </w:rPr>
        <w:t>general</w:t>
      </w:r>
      <w:r w:rsidR="00980486" w:rsidRPr="00892549">
        <w:rPr>
          <w:rFonts w:cs="Arial"/>
        </w:rPr>
        <w:t xml:space="preserve"> lo siguiente:</w:t>
      </w:r>
    </w:p>
    <w:p w14:paraId="2CC53816" w14:textId="77777777" w:rsidR="00892549" w:rsidRDefault="00892549" w:rsidP="00526352">
      <w:pPr>
        <w:jc w:val="both"/>
        <w:rPr>
          <w:rFonts w:cs="Arial"/>
        </w:rPr>
      </w:pPr>
    </w:p>
    <w:p w14:paraId="55FB7565" w14:textId="23D62C0B" w:rsidR="009013A8" w:rsidRDefault="00892549" w:rsidP="00AA2B29">
      <w:pPr>
        <w:pStyle w:val="Prrafodelista"/>
        <w:numPr>
          <w:ilvl w:val="0"/>
          <w:numId w:val="8"/>
        </w:numPr>
        <w:ind w:left="426"/>
        <w:jc w:val="both"/>
        <w:rPr>
          <w:rFonts w:cs="Arial"/>
        </w:rPr>
      </w:pPr>
      <w:r w:rsidRPr="00892549">
        <w:rPr>
          <w:rFonts w:cs="Arial"/>
        </w:rPr>
        <w:t>La base de datos remitida por la Oficina Asesora Jurídica presenta inconsistencia en la información relacionada con el valor f</w:t>
      </w:r>
      <w:r w:rsidR="009013A8">
        <w:rPr>
          <w:rFonts w:cs="Arial"/>
        </w:rPr>
        <w:t xml:space="preserve">inal de los contratos suscritos, con respecto a lo </w:t>
      </w:r>
      <w:r w:rsidRPr="00892549">
        <w:rPr>
          <w:rFonts w:cs="Arial"/>
        </w:rPr>
        <w:t>reportado en el Sistema ORFEO y</w:t>
      </w:r>
      <w:r w:rsidR="009013A8">
        <w:rPr>
          <w:rFonts w:cs="Arial"/>
        </w:rPr>
        <w:t xml:space="preserve"> en los Clausulados respectivos, como es el caso de:</w:t>
      </w:r>
    </w:p>
    <w:p w14:paraId="5D5D62E8" w14:textId="77777777" w:rsidR="009013A8" w:rsidRDefault="009013A8" w:rsidP="00AA2B29">
      <w:pPr>
        <w:pStyle w:val="Prrafodelista"/>
        <w:numPr>
          <w:ilvl w:val="1"/>
          <w:numId w:val="8"/>
        </w:numPr>
        <w:ind w:left="851"/>
        <w:jc w:val="both"/>
        <w:rPr>
          <w:rFonts w:cs="Arial"/>
        </w:rPr>
      </w:pPr>
      <w:r w:rsidRPr="009013A8">
        <w:rPr>
          <w:rFonts w:cs="Arial"/>
        </w:rPr>
        <w:t>IDPC-PSP-511-2021</w:t>
      </w:r>
      <w:r>
        <w:rPr>
          <w:rFonts w:cs="Arial"/>
        </w:rPr>
        <w:t xml:space="preserve"> </w:t>
      </w:r>
      <w:r w:rsidRPr="009013A8">
        <w:rPr>
          <w:rFonts w:cs="Arial"/>
        </w:rPr>
        <w:t>hay inconsistencia en la información reportada por Jurídica toda vez que</w:t>
      </w:r>
      <w:r>
        <w:rPr>
          <w:rFonts w:cs="Arial"/>
        </w:rPr>
        <w:t xml:space="preserve"> el contrato se suscribió por $</w:t>
      </w:r>
      <w:r w:rsidRPr="009013A8">
        <w:rPr>
          <w:rFonts w:cs="Arial"/>
        </w:rPr>
        <w:t>9.666.250 y el reporte está</w:t>
      </w:r>
      <w:r>
        <w:rPr>
          <w:rFonts w:cs="Arial"/>
        </w:rPr>
        <w:t xml:space="preserve"> por $</w:t>
      </w:r>
      <w:r w:rsidRPr="009013A8">
        <w:rPr>
          <w:rFonts w:cs="Arial"/>
        </w:rPr>
        <w:t>9.279.600</w:t>
      </w:r>
    </w:p>
    <w:p w14:paraId="295F3F7C" w14:textId="0B01CEDD" w:rsidR="00550290" w:rsidRDefault="009013A8" w:rsidP="00AA2B29">
      <w:pPr>
        <w:pStyle w:val="Prrafodelista"/>
        <w:numPr>
          <w:ilvl w:val="1"/>
          <w:numId w:val="8"/>
        </w:numPr>
        <w:ind w:left="851"/>
        <w:jc w:val="both"/>
        <w:rPr>
          <w:rFonts w:cs="Arial"/>
        </w:rPr>
      </w:pPr>
      <w:r w:rsidRPr="009013A8">
        <w:rPr>
          <w:rFonts w:cs="Arial"/>
        </w:rPr>
        <w:t>IDPC-PSP-512-2021 el Clausulado en SECOP presenta un valor total de $6.000.000 y Jurídica lo</w:t>
      </w:r>
      <w:r w:rsidR="00FA5D80">
        <w:rPr>
          <w:rFonts w:cs="Arial"/>
        </w:rPr>
        <w:t xml:space="preserve"> reporta por valor de $8.000.000</w:t>
      </w:r>
    </w:p>
    <w:p w14:paraId="0112B618" w14:textId="77777777" w:rsidR="00550290" w:rsidRDefault="00550290" w:rsidP="00AA2B29">
      <w:pPr>
        <w:pStyle w:val="Prrafodelista"/>
        <w:numPr>
          <w:ilvl w:val="1"/>
          <w:numId w:val="8"/>
        </w:numPr>
        <w:ind w:left="851"/>
        <w:jc w:val="both"/>
        <w:rPr>
          <w:rFonts w:cs="Arial"/>
        </w:rPr>
      </w:pPr>
      <w:r w:rsidRPr="00550290">
        <w:rPr>
          <w:rFonts w:cs="Arial"/>
        </w:rPr>
        <w:t>IDPC-PSP-523-2021 hay inconsistencia en la información reportada por Jurídica toda vez que</w:t>
      </w:r>
      <w:r>
        <w:rPr>
          <w:rFonts w:cs="Arial"/>
        </w:rPr>
        <w:t xml:space="preserve"> el contrato se suscribió por $</w:t>
      </w:r>
      <w:r w:rsidRPr="00550290">
        <w:rPr>
          <w:rFonts w:cs="Arial"/>
        </w:rPr>
        <w:t>5.026.450 y el reporte está</w:t>
      </w:r>
      <w:r>
        <w:rPr>
          <w:rFonts w:cs="Arial"/>
        </w:rPr>
        <w:t xml:space="preserve"> por $</w:t>
      </w:r>
      <w:r w:rsidRPr="00550290">
        <w:rPr>
          <w:rFonts w:cs="Arial"/>
        </w:rPr>
        <w:t>13.127.069</w:t>
      </w:r>
    </w:p>
    <w:p w14:paraId="43266295" w14:textId="5014B089" w:rsidR="00550290" w:rsidRDefault="00550290" w:rsidP="00AA2B29">
      <w:pPr>
        <w:pStyle w:val="Prrafodelista"/>
        <w:numPr>
          <w:ilvl w:val="1"/>
          <w:numId w:val="8"/>
        </w:numPr>
        <w:ind w:left="851"/>
        <w:jc w:val="both"/>
        <w:rPr>
          <w:rFonts w:cs="Arial"/>
        </w:rPr>
      </w:pPr>
      <w:r w:rsidRPr="00550290">
        <w:rPr>
          <w:rFonts w:cs="Arial"/>
        </w:rPr>
        <w:t>IDPC-PSP-525-2021 el Clausulado reg</w:t>
      </w:r>
      <w:r w:rsidR="00617474">
        <w:rPr>
          <w:rFonts w:cs="Arial"/>
        </w:rPr>
        <w:t>istra</w:t>
      </w:r>
      <w:r w:rsidRPr="00550290">
        <w:rPr>
          <w:rFonts w:cs="Arial"/>
        </w:rPr>
        <w:t xml:space="preserve"> en SECOP un valor por $5.833.333 y Jurídica lo reporta por valor de $5.622.100</w:t>
      </w:r>
    </w:p>
    <w:p w14:paraId="0B022F1C" w14:textId="77777777" w:rsidR="00617474" w:rsidRDefault="00550290" w:rsidP="00AA2B29">
      <w:pPr>
        <w:pStyle w:val="Prrafodelista"/>
        <w:numPr>
          <w:ilvl w:val="1"/>
          <w:numId w:val="8"/>
        </w:numPr>
        <w:ind w:left="851"/>
        <w:jc w:val="both"/>
        <w:rPr>
          <w:rFonts w:cs="Arial"/>
        </w:rPr>
      </w:pPr>
      <w:r w:rsidRPr="00550290">
        <w:rPr>
          <w:rFonts w:cs="Arial"/>
        </w:rPr>
        <w:t>IDPC-PSP-526-2021 hay inconsistencia en la información reportada por Jurídica toda vez que el contrato se suscribió por $5.622.100 y el reporte está por $29.250.000</w:t>
      </w:r>
    </w:p>
    <w:p w14:paraId="17F437C1" w14:textId="77777777" w:rsidR="00617474" w:rsidRDefault="00550290" w:rsidP="00AA2B29">
      <w:pPr>
        <w:pStyle w:val="Prrafodelista"/>
        <w:numPr>
          <w:ilvl w:val="1"/>
          <w:numId w:val="8"/>
        </w:numPr>
        <w:ind w:left="851"/>
        <w:jc w:val="both"/>
        <w:rPr>
          <w:rFonts w:cs="Arial"/>
        </w:rPr>
      </w:pPr>
      <w:r w:rsidRPr="00617474">
        <w:rPr>
          <w:rFonts w:cs="Arial"/>
        </w:rPr>
        <w:t>IDPC-PSP-527-2021 el Clausulado reg</w:t>
      </w:r>
      <w:r w:rsidR="00617474" w:rsidRPr="00617474">
        <w:rPr>
          <w:rFonts w:cs="Arial"/>
        </w:rPr>
        <w:t>istra</w:t>
      </w:r>
      <w:r w:rsidRPr="00617474">
        <w:rPr>
          <w:rFonts w:cs="Arial"/>
        </w:rPr>
        <w:t xml:space="preserve"> en SECOP un valor por $29.250.000 y Jurídica lo reporta por valor de $8.000.00</w:t>
      </w:r>
    </w:p>
    <w:p w14:paraId="56885C9C" w14:textId="77777777" w:rsidR="00A175B5" w:rsidRDefault="00617474" w:rsidP="00AA2B29">
      <w:pPr>
        <w:pStyle w:val="Prrafodelista"/>
        <w:numPr>
          <w:ilvl w:val="1"/>
          <w:numId w:val="8"/>
        </w:numPr>
        <w:ind w:left="851"/>
        <w:jc w:val="both"/>
        <w:rPr>
          <w:rFonts w:cs="Arial"/>
        </w:rPr>
      </w:pPr>
      <w:r w:rsidRPr="00617474">
        <w:rPr>
          <w:rFonts w:cs="Arial"/>
        </w:rPr>
        <w:t>IDPC-PSAG-529-2021 el Clausulado registra</w:t>
      </w:r>
      <w:r>
        <w:rPr>
          <w:rFonts w:cs="Arial"/>
        </w:rPr>
        <w:t xml:space="preserve"> en SECOP un valor por $</w:t>
      </w:r>
      <w:r w:rsidRPr="00617474">
        <w:rPr>
          <w:rFonts w:cs="Arial"/>
        </w:rPr>
        <w:t>8.000.000 y Jur</w:t>
      </w:r>
      <w:r>
        <w:rPr>
          <w:rFonts w:cs="Arial"/>
        </w:rPr>
        <w:t>ídica lo reporta por valor de $</w:t>
      </w:r>
      <w:r w:rsidRPr="00617474">
        <w:rPr>
          <w:rFonts w:cs="Arial"/>
        </w:rPr>
        <w:t>3.748.067</w:t>
      </w:r>
    </w:p>
    <w:p w14:paraId="7432F863" w14:textId="77777777" w:rsidR="00A175B5" w:rsidRDefault="00AB080B" w:rsidP="00AA2B29">
      <w:pPr>
        <w:pStyle w:val="Prrafodelista"/>
        <w:numPr>
          <w:ilvl w:val="1"/>
          <w:numId w:val="8"/>
        </w:numPr>
        <w:ind w:left="851"/>
        <w:jc w:val="both"/>
        <w:rPr>
          <w:rFonts w:cs="Arial"/>
        </w:rPr>
      </w:pPr>
      <w:r w:rsidRPr="00A175B5">
        <w:rPr>
          <w:rFonts w:cs="Arial"/>
        </w:rPr>
        <w:t>IDPC-PSP-530-2021 el clausulado registra en SECOP un valor total del contrato por $3.748.067 y Jurídica lo reporta por $12.426.073</w:t>
      </w:r>
    </w:p>
    <w:p w14:paraId="18B3C355" w14:textId="626FF462" w:rsidR="00A175B5" w:rsidRDefault="00A175B5" w:rsidP="00AA2B29">
      <w:pPr>
        <w:pStyle w:val="Prrafodelista"/>
        <w:numPr>
          <w:ilvl w:val="1"/>
          <w:numId w:val="8"/>
        </w:numPr>
        <w:ind w:left="851"/>
        <w:jc w:val="both"/>
        <w:rPr>
          <w:rFonts w:cs="Arial"/>
        </w:rPr>
      </w:pPr>
      <w:r w:rsidRPr="00A175B5">
        <w:rPr>
          <w:rFonts w:cs="Arial"/>
        </w:rPr>
        <w:t>IDPC-PSP-532-2021 presenta inconsistencia con lo reportado por Jurídica toda vez que lo reporta por $30.354.000 y el clausulado se encuentra por $22.000.000</w:t>
      </w:r>
    </w:p>
    <w:p w14:paraId="3D1B3C23" w14:textId="77777777" w:rsidR="00FA5D80" w:rsidRDefault="00FA5D80" w:rsidP="00FA5D80">
      <w:pPr>
        <w:ind w:left="491"/>
        <w:jc w:val="both"/>
        <w:rPr>
          <w:rFonts w:cs="Arial"/>
        </w:rPr>
      </w:pPr>
    </w:p>
    <w:p w14:paraId="578112AD" w14:textId="77777777" w:rsidR="00FA5D80" w:rsidRPr="00FA5D80" w:rsidRDefault="00FA5D80" w:rsidP="00FA5D80">
      <w:pPr>
        <w:ind w:left="491"/>
        <w:jc w:val="both"/>
        <w:rPr>
          <w:rFonts w:cs="Arial"/>
          <w:b/>
          <w:i/>
          <w:color w:val="4472C4" w:themeColor="accent1"/>
          <w:u w:val="single"/>
        </w:rPr>
      </w:pPr>
      <w:r w:rsidRPr="00FA5D80">
        <w:rPr>
          <w:rFonts w:cs="Arial"/>
          <w:b/>
          <w:i/>
          <w:color w:val="4472C4" w:themeColor="accent1"/>
          <w:u w:val="single"/>
        </w:rPr>
        <w:t>Respuesta proceso:</w:t>
      </w:r>
    </w:p>
    <w:p w14:paraId="0DB66CDD" w14:textId="77777777" w:rsidR="00FA5D80" w:rsidRPr="00FA5D80" w:rsidRDefault="00FA5D80" w:rsidP="00FA5D80">
      <w:pPr>
        <w:ind w:left="491"/>
        <w:jc w:val="both"/>
        <w:rPr>
          <w:rFonts w:cs="Arial"/>
          <w:color w:val="4472C4" w:themeColor="accent1"/>
        </w:rPr>
      </w:pPr>
    </w:p>
    <w:p w14:paraId="2A7B10FC" w14:textId="77777777" w:rsidR="00FA5D80" w:rsidRPr="00FA5D80" w:rsidRDefault="00FA5D80" w:rsidP="00FA5D80">
      <w:pPr>
        <w:ind w:left="491"/>
        <w:jc w:val="both"/>
        <w:rPr>
          <w:rFonts w:cs="Arial"/>
          <w:color w:val="4472C4" w:themeColor="accent1"/>
        </w:rPr>
      </w:pPr>
      <w:r w:rsidRPr="00FA5D80">
        <w:rPr>
          <w:rFonts w:cs="Arial"/>
          <w:color w:val="4472C4" w:themeColor="accent1"/>
        </w:rPr>
        <w:t>Una vez revisado el informe de austeridad y eficiencia del gasto público, en lo referente a los contratos de prestación de servicios reportados para el trimestre, contra la base que reposa en la Oficina Asesora Jurídica, se evidencio que por error involuntario al filtrar la base para remitir la información, se me truncaron los datos en la columna de valor del contrato correspondiente a los contratos 532, 525, 526, 527, 529, 530, 532.</w:t>
      </w:r>
    </w:p>
    <w:p w14:paraId="4E475DF3" w14:textId="77777777" w:rsidR="00FA5D80" w:rsidRPr="00FA5D80" w:rsidRDefault="00FA5D80" w:rsidP="00FA5D80">
      <w:pPr>
        <w:ind w:left="491"/>
        <w:jc w:val="both"/>
        <w:rPr>
          <w:rFonts w:cs="Arial"/>
        </w:rPr>
      </w:pPr>
    </w:p>
    <w:p w14:paraId="22EC1B48" w14:textId="77777777" w:rsidR="00FA5D80" w:rsidRPr="00FA5D80" w:rsidRDefault="00FA5D80" w:rsidP="00FA5D80">
      <w:pPr>
        <w:ind w:left="491"/>
        <w:jc w:val="both"/>
        <w:rPr>
          <w:rFonts w:cs="Arial"/>
          <w:b/>
          <w:i/>
          <w:color w:val="C45911" w:themeColor="accent2" w:themeShade="BF"/>
          <w:u w:val="single"/>
        </w:rPr>
      </w:pPr>
      <w:r w:rsidRPr="00FA5D80">
        <w:rPr>
          <w:rFonts w:cs="Arial"/>
          <w:b/>
          <w:i/>
          <w:color w:val="C45911" w:themeColor="accent2" w:themeShade="BF"/>
          <w:u w:val="single"/>
        </w:rPr>
        <w:t>Valoración Respuesta:</w:t>
      </w:r>
    </w:p>
    <w:p w14:paraId="56DF5120" w14:textId="77777777" w:rsidR="00FA5D80" w:rsidRPr="00FA5D80" w:rsidRDefault="00FA5D80" w:rsidP="00FA5D80">
      <w:pPr>
        <w:ind w:left="491"/>
        <w:jc w:val="both"/>
        <w:rPr>
          <w:rFonts w:cs="Arial"/>
          <w:color w:val="C45911" w:themeColor="accent2" w:themeShade="BF"/>
        </w:rPr>
      </w:pPr>
    </w:p>
    <w:p w14:paraId="50382CC3" w14:textId="77777777" w:rsidR="00FA5D80" w:rsidRPr="00FA5D80" w:rsidRDefault="00FA5D80" w:rsidP="00FA5D80">
      <w:pPr>
        <w:ind w:left="491"/>
        <w:jc w:val="both"/>
        <w:rPr>
          <w:rFonts w:cs="Arial"/>
          <w:color w:val="C45911" w:themeColor="accent2" w:themeShade="BF"/>
        </w:rPr>
      </w:pPr>
      <w:r w:rsidRPr="00FA5D80">
        <w:rPr>
          <w:rFonts w:cs="Arial"/>
          <w:color w:val="C45911" w:themeColor="accent2" w:themeShade="BF"/>
        </w:rPr>
        <w:t>Si bien se evidencia que es un error de digitación, se mantiene la observación, teniendo en cuenta que la información presentada a esta Asesoría de Control Interna contiene errores, situación que debe ser susceptible de mejora.</w:t>
      </w:r>
    </w:p>
    <w:p w14:paraId="161A2383" w14:textId="77777777" w:rsidR="00FA5D80" w:rsidRDefault="00FA5D80" w:rsidP="00FA5D80">
      <w:pPr>
        <w:ind w:left="491"/>
        <w:jc w:val="both"/>
        <w:rPr>
          <w:rFonts w:cs="Arial"/>
        </w:rPr>
      </w:pPr>
    </w:p>
    <w:p w14:paraId="5D294045" w14:textId="77777777" w:rsidR="00FA5D80" w:rsidRPr="00FA5D80" w:rsidRDefault="00FA5D80" w:rsidP="00FA5D80">
      <w:pPr>
        <w:ind w:left="491"/>
        <w:jc w:val="both"/>
        <w:rPr>
          <w:rFonts w:cs="Arial"/>
        </w:rPr>
      </w:pPr>
    </w:p>
    <w:p w14:paraId="03D116EF" w14:textId="77777777" w:rsidR="00FA5D80" w:rsidRPr="00FA5D80" w:rsidRDefault="00FA5D80" w:rsidP="00FA5D80">
      <w:pPr>
        <w:ind w:left="491"/>
        <w:jc w:val="both"/>
        <w:rPr>
          <w:rFonts w:cs="Arial"/>
          <w:b/>
          <w:i/>
          <w:color w:val="4472C4" w:themeColor="accent1"/>
          <w:u w:val="single"/>
        </w:rPr>
      </w:pPr>
      <w:r w:rsidRPr="00FA5D80">
        <w:rPr>
          <w:rFonts w:cs="Arial"/>
          <w:b/>
          <w:i/>
          <w:color w:val="4472C4" w:themeColor="accent1"/>
          <w:u w:val="single"/>
        </w:rPr>
        <w:lastRenderedPageBreak/>
        <w:t>Respuesta proceso:</w:t>
      </w:r>
    </w:p>
    <w:p w14:paraId="07698719" w14:textId="77777777" w:rsidR="00FA5D80" w:rsidRPr="00FA5D80" w:rsidRDefault="00FA5D80" w:rsidP="00FA5D80">
      <w:pPr>
        <w:ind w:left="491"/>
        <w:jc w:val="both"/>
        <w:rPr>
          <w:rFonts w:cs="Arial"/>
          <w:color w:val="4472C4" w:themeColor="accent1"/>
        </w:rPr>
      </w:pPr>
    </w:p>
    <w:p w14:paraId="76708D5D" w14:textId="1D8EDA91" w:rsidR="00FA5D80" w:rsidRPr="00FA5D80" w:rsidRDefault="00FA5D80" w:rsidP="00FA5D80">
      <w:pPr>
        <w:ind w:left="491"/>
        <w:jc w:val="both"/>
        <w:rPr>
          <w:rFonts w:cs="Arial"/>
          <w:color w:val="4472C4" w:themeColor="accent1"/>
        </w:rPr>
      </w:pPr>
      <w:r w:rsidRPr="00FA5D80">
        <w:rPr>
          <w:rFonts w:cs="Arial"/>
          <w:color w:val="4472C4" w:themeColor="accent1"/>
        </w:rPr>
        <w:t xml:space="preserve">Frente al contrato 511, la diferencia en el valor radica en que este fue objeto de una modificación en la cual se redujo el valor. Esta puede ser consultada en el </w:t>
      </w:r>
      <w:r w:rsidR="00422C2D" w:rsidRPr="00FA5D80">
        <w:rPr>
          <w:rFonts w:cs="Arial"/>
          <w:color w:val="4472C4" w:themeColor="accent1"/>
        </w:rPr>
        <w:t>Secop</w:t>
      </w:r>
      <w:r w:rsidRPr="00FA5D80">
        <w:rPr>
          <w:rFonts w:cs="Arial"/>
          <w:color w:val="4472C4" w:themeColor="accent1"/>
        </w:rPr>
        <w:t>. Así mismo, el contrato 512 tuvo una adición por 2 millones de pesos.</w:t>
      </w:r>
    </w:p>
    <w:p w14:paraId="56EC2D55" w14:textId="77777777" w:rsidR="00FA5D80" w:rsidRPr="00FA5D80" w:rsidRDefault="00FA5D80" w:rsidP="00FA5D80">
      <w:pPr>
        <w:ind w:left="491"/>
        <w:jc w:val="both"/>
        <w:rPr>
          <w:rFonts w:cs="Arial"/>
        </w:rPr>
      </w:pPr>
    </w:p>
    <w:p w14:paraId="3D93FC28" w14:textId="77777777" w:rsidR="00FA5D80" w:rsidRPr="00FA5D80" w:rsidRDefault="00FA5D80" w:rsidP="00FA5D80">
      <w:pPr>
        <w:ind w:left="491"/>
        <w:jc w:val="both"/>
        <w:rPr>
          <w:rFonts w:cs="Arial"/>
          <w:b/>
          <w:i/>
          <w:color w:val="C45911" w:themeColor="accent2" w:themeShade="BF"/>
          <w:u w:val="single"/>
        </w:rPr>
      </w:pPr>
      <w:r w:rsidRPr="00FA5D80">
        <w:rPr>
          <w:rFonts w:cs="Arial"/>
          <w:b/>
          <w:i/>
          <w:color w:val="C45911" w:themeColor="accent2" w:themeShade="BF"/>
          <w:u w:val="single"/>
        </w:rPr>
        <w:t>Valoración Respuesta:</w:t>
      </w:r>
    </w:p>
    <w:p w14:paraId="713D620B" w14:textId="77777777" w:rsidR="00FA5D80" w:rsidRPr="00FA5D80" w:rsidRDefault="00FA5D80" w:rsidP="00FA5D80">
      <w:pPr>
        <w:ind w:left="491"/>
        <w:jc w:val="both"/>
        <w:rPr>
          <w:rFonts w:cs="Arial"/>
          <w:color w:val="C45911" w:themeColor="accent2" w:themeShade="BF"/>
        </w:rPr>
      </w:pPr>
    </w:p>
    <w:p w14:paraId="60661BB6" w14:textId="5AE74631" w:rsidR="00FA5D80" w:rsidRPr="00FA5D80" w:rsidRDefault="00FA5D80" w:rsidP="00FA5D80">
      <w:pPr>
        <w:ind w:left="491"/>
        <w:jc w:val="both"/>
        <w:rPr>
          <w:rFonts w:cs="Arial"/>
          <w:color w:val="C45911" w:themeColor="accent2" w:themeShade="BF"/>
        </w:rPr>
      </w:pPr>
      <w:r w:rsidRPr="00FA5D80">
        <w:rPr>
          <w:rFonts w:cs="Arial"/>
          <w:color w:val="C45911" w:themeColor="accent2" w:themeShade="BF"/>
        </w:rPr>
        <w:t>Se acepta la observación y se retiran estos dos contratos de la observación contenida en el informe.</w:t>
      </w:r>
    </w:p>
    <w:p w14:paraId="4841FAF2" w14:textId="77777777" w:rsidR="00FA5D80" w:rsidRPr="00FA5D80" w:rsidRDefault="00FA5D80" w:rsidP="00FA5D80">
      <w:pPr>
        <w:ind w:left="491"/>
        <w:jc w:val="both"/>
        <w:rPr>
          <w:rFonts w:cs="Arial"/>
        </w:rPr>
      </w:pPr>
    </w:p>
    <w:p w14:paraId="6246D996" w14:textId="1DFE1171" w:rsidR="00155D43" w:rsidRDefault="00892549" w:rsidP="00AA2B29">
      <w:pPr>
        <w:pStyle w:val="Prrafodelista"/>
        <w:numPr>
          <w:ilvl w:val="0"/>
          <w:numId w:val="8"/>
        </w:numPr>
        <w:ind w:left="426"/>
        <w:jc w:val="both"/>
        <w:rPr>
          <w:rFonts w:cs="Arial"/>
        </w:rPr>
      </w:pPr>
      <w:r w:rsidRPr="009013A8">
        <w:rPr>
          <w:rFonts w:cs="Arial"/>
        </w:rPr>
        <w:t>Se evidenció que el contrato No. IDPC-PSP-530-2021 cuyo objeto "808-Prestar servicios profesionales al Instituto Distrital de Patrimonio Cultural para orientar el proceso de zonificación del potencial arqueológico del Cementerio Central Los Columbarios" tiene inconsistencia</w:t>
      </w:r>
      <w:r w:rsidR="005A1565" w:rsidRPr="005A1565">
        <w:rPr>
          <w:rFonts w:cs="Arial"/>
        </w:rPr>
        <w:t xml:space="preserve"> </w:t>
      </w:r>
      <w:r w:rsidR="005A1565">
        <w:rPr>
          <w:rFonts w:cs="Arial"/>
        </w:rPr>
        <w:t xml:space="preserve">en </w:t>
      </w:r>
      <w:r w:rsidR="005A1565" w:rsidRPr="009013A8">
        <w:rPr>
          <w:rFonts w:cs="Arial"/>
        </w:rPr>
        <w:t>el clausulado registrado en SECOP</w:t>
      </w:r>
      <w:r w:rsidR="00AB080B">
        <w:rPr>
          <w:rFonts w:cs="Arial"/>
        </w:rPr>
        <w:t>, ya que,</w:t>
      </w:r>
      <w:r w:rsidRPr="009013A8">
        <w:rPr>
          <w:rFonts w:cs="Arial"/>
        </w:rPr>
        <w:t xml:space="preserve"> presenta un valor total del contrato por</w:t>
      </w:r>
      <w:r w:rsidR="00AB080B">
        <w:rPr>
          <w:rFonts w:cs="Arial"/>
        </w:rPr>
        <w:t xml:space="preserve"> $</w:t>
      </w:r>
      <w:r w:rsidRPr="009013A8">
        <w:rPr>
          <w:rFonts w:cs="Arial"/>
        </w:rPr>
        <w:t>3.748.067 y las mensualidades</w:t>
      </w:r>
      <w:r w:rsidR="005A1565">
        <w:rPr>
          <w:rFonts w:cs="Arial"/>
        </w:rPr>
        <w:t xml:space="preserve"> registradas en la forma de pago,</w:t>
      </w:r>
      <w:r w:rsidRPr="009013A8">
        <w:rPr>
          <w:rFonts w:cs="Arial"/>
        </w:rPr>
        <w:t xml:space="preserve"> </w:t>
      </w:r>
      <w:r w:rsidR="005A1565">
        <w:rPr>
          <w:rFonts w:cs="Arial"/>
        </w:rPr>
        <w:t xml:space="preserve">quedaron </w:t>
      </w:r>
      <w:r w:rsidR="00AB080B">
        <w:rPr>
          <w:rFonts w:cs="Arial"/>
        </w:rPr>
        <w:t>por valor de $5.622.100.</w:t>
      </w:r>
    </w:p>
    <w:p w14:paraId="12938CE5" w14:textId="77777777" w:rsidR="00FA5D80" w:rsidRDefault="00FA5D80" w:rsidP="00FA5D80">
      <w:pPr>
        <w:pStyle w:val="Prrafodelista"/>
        <w:ind w:left="426"/>
        <w:jc w:val="both"/>
        <w:rPr>
          <w:rFonts w:cs="Arial"/>
        </w:rPr>
      </w:pPr>
    </w:p>
    <w:p w14:paraId="280A8A0A" w14:textId="77777777" w:rsidR="00FA5D80" w:rsidRPr="00FA5D80" w:rsidRDefault="00FA5D80" w:rsidP="00FA5D80">
      <w:pPr>
        <w:pStyle w:val="Prrafodelista"/>
        <w:ind w:left="426"/>
        <w:jc w:val="both"/>
        <w:rPr>
          <w:rFonts w:cs="Arial"/>
          <w:color w:val="4472C4" w:themeColor="accent1"/>
        </w:rPr>
      </w:pPr>
      <w:r w:rsidRPr="00FA5D80">
        <w:rPr>
          <w:rFonts w:cs="Arial"/>
          <w:b/>
          <w:bCs/>
          <w:i/>
          <w:iCs/>
          <w:color w:val="4472C4" w:themeColor="accent1"/>
          <w:u w:val="single"/>
        </w:rPr>
        <w:t>Respuesta proceso:</w:t>
      </w:r>
    </w:p>
    <w:p w14:paraId="375E5D5A" w14:textId="77777777" w:rsidR="00FA5D80" w:rsidRPr="00FA5D80" w:rsidRDefault="00FA5D80" w:rsidP="00FA5D80">
      <w:pPr>
        <w:pStyle w:val="Prrafodelista"/>
        <w:ind w:left="426"/>
        <w:jc w:val="both"/>
        <w:rPr>
          <w:rFonts w:cs="Arial"/>
          <w:color w:val="4472C4" w:themeColor="accent1"/>
        </w:rPr>
      </w:pPr>
    </w:p>
    <w:p w14:paraId="3A30169E" w14:textId="2BCE0842" w:rsidR="00FA5D80" w:rsidRDefault="00FA5D80" w:rsidP="00FA5D80">
      <w:pPr>
        <w:pStyle w:val="Prrafodelista"/>
        <w:ind w:left="426"/>
        <w:jc w:val="both"/>
        <w:rPr>
          <w:rFonts w:cs="Arial"/>
          <w:color w:val="4472C4" w:themeColor="accent1"/>
        </w:rPr>
      </w:pPr>
      <w:r w:rsidRPr="00FA5D80">
        <w:rPr>
          <w:rFonts w:cs="Arial"/>
          <w:color w:val="4472C4" w:themeColor="accent1"/>
        </w:rPr>
        <w:t xml:space="preserve">Una vez revisado la minuta del contrato 530 de 2021, se evidencia que el mismo tiene un plazo de ejecución de 20 </w:t>
      </w:r>
      <w:r w:rsidR="00422C2D" w:rsidRPr="00FA5D80">
        <w:rPr>
          <w:rFonts w:cs="Arial"/>
          <w:color w:val="4472C4" w:themeColor="accent1"/>
        </w:rPr>
        <w:t>días</w:t>
      </w:r>
      <w:r w:rsidRPr="00FA5D80">
        <w:rPr>
          <w:rFonts w:cs="Arial"/>
          <w:color w:val="4472C4" w:themeColor="accent1"/>
        </w:rPr>
        <w:t xml:space="preserve"> y dado que la forma de pago que maneja la entidad es en mensualidades de 30 </w:t>
      </w:r>
      <w:r w:rsidR="00422C2D" w:rsidRPr="00FA5D80">
        <w:rPr>
          <w:rFonts w:cs="Arial"/>
          <w:color w:val="4472C4" w:themeColor="accent1"/>
        </w:rPr>
        <w:t>días</w:t>
      </w:r>
      <w:r w:rsidRPr="00FA5D80">
        <w:rPr>
          <w:rFonts w:cs="Arial"/>
          <w:color w:val="4472C4" w:themeColor="accent1"/>
        </w:rPr>
        <w:t xml:space="preserve"> por un valor de  $5.622.100 teniendo en cuenta la tabla de honorarios vigente, se realiza el siguiente cálculo:</w:t>
      </w:r>
    </w:p>
    <w:p w14:paraId="3210787D" w14:textId="77777777" w:rsidR="00FA5D80" w:rsidRPr="00FA5D80" w:rsidRDefault="00FA5D80" w:rsidP="00FA5D80">
      <w:pPr>
        <w:pStyle w:val="Prrafodelista"/>
        <w:ind w:left="426"/>
        <w:jc w:val="both"/>
        <w:rPr>
          <w:rFonts w:cs="Arial"/>
          <w:color w:val="4472C4" w:themeColor="accent1"/>
        </w:rPr>
      </w:pPr>
    </w:p>
    <w:tbl>
      <w:tblPr>
        <w:tblW w:w="3680" w:type="dxa"/>
        <w:jc w:val="center"/>
        <w:tblCellMar>
          <w:left w:w="0" w:type="dxa"/>
          <w:right w:w="0" w:type="dxa"/>
        </w:tblCellMar>
        <w:tblLook w:val="04A0" w:firstRow="1" w:lastRow="0" w:firstColumn="1" w:lastColumn="0" w:noHBand="0" w:noVBand="1"/>
      </w:tblPr>
      <w:tblGrid>
        <w:gridCol w:w="2060"/>
        <w:gridCol w:w="2474"/>
      </w:tblGrid>
      <w:tr w:rsidR="00FA5D80" w:rsidRPr="00FA5D80" w14:paraId="73329925" w14:textId="77777777" w:rsidTr="00FA5D80">
        <w:trPr>
          <w:trHeight w:val="300"/>
          <w:jc w:val="center"/>
        </w:trPr>
        <w:tc>
          <w:tcPr>
            <w:tcW w:w="190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61E08BD4" w14:textId="6B19868F" w:rsidR="00FA5D80" w:rsidRPr="00FA5D80" w:rsidRDefault="00FA5D80" w:rsidP="00FA5D80">
            <w:pPr>
              <w:jc w:val="both"/>
              <w:rPr>
                <w:rFonts w:cs="Arial"/>
                <w:color w:val="4472C4" w:themeColor="accent1"/>
              </w:rPr>
            </w:pPr>
            <w:r w:rsidRPr="00FA5D80">
              <w:rPr>
                <w:rFonts w:cs="Arial"/>
                <w:b/>
                <w:bCs/>
                <w:color w:val="4472C4" w:themeColor="accent1"/>
              </w:rPr>
              <w:t>Mensualidad</w:t>
            </w:r>
          </w:p>
        </w:tc>
        <w:tc>
          <w:tcPr>
            <w:tcW w:w="17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E613B73" w14:textId="77777777" w:rsidR="00FA5D80" w:rsidRPr="00FA5D80" w:rsidRDefault="00FA5D80" w:rsidP="00FA5D80">
            <w:pPr>
              <w:pStyle w:val="Prrafodelista"/>
              <w:ind w:left="426"/>
              <w:jc w:val="both"/>
              <w:rPr>
                <w:rFonts w:cs="Arial"/>
                <w:color w:val="4472C4" w:themeColor="accent1"/>
              </w:rPr>
            </w:pPr>
            <w:r w:rsidRPr="00FA5D80">
              <w:rPr>
                <w:rFonts w:cs="Arial"/>
                <w:b/>
                <w:bCs/>
                <w:color w:val="4472C4" w:themeColor="accent1"/>
              </w:rPr>
              <w:t> $              5.622.100</w:t>
            </w:r>
          </w:p>
        </w:tc>
      </w:tr>
      <w:tr w:rsidR="00FA5D80" w:rsidRPr="00FA5D80" w14:paraId="39F66415" w14:textId="77777777" w:rsidTr="00FA5D80">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72A0FB5" w14:textId="490CACE9" w:rsidR="00FA5D80" w:rsidRPr="00FA5D80" w:rsidRDefault="00FA5D80" w:rsidP="00FA5D80">
            <w:pPr>
              <w:jc w:val="both"/>
              <w:rPr>
                <w:rFonts w:cs="Arial"/>
                <w:color w:val="4472C4" w:themeColor="accent1"/>
              </w:rPr>
            </w:pPr>
            <w:r w:rsidRPr="00FA5D80">
              <w:rPr>
                <w:rFonts w:cs="Arial"/>
                <w:b/>
                <w:bCs/>
                <w:color w:val="4472C4" w:themeColor="accent1"/>
              </w:rPr>
              <w:t xml:space="preserve">Valor </w:t>
            </w:r>
            <w:r w:rsidR="00422C2D" w:rsidRPr="00FA5D80">
              <w:rPr>
                <w:rFonts w:cs="Arial"/>
                <w:b/>
                <w:bCs/>
                <w:color w:val="4472C4" w:themeColor="accent1"/>
              </w:rPr>
              <w:t>día</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23A988EB" w14:textId="71C787A3" w:rsidR="00FA5D80" w:rsidRPr="00FA5D80" w:rsidRDefault="00FA5D80" w:rsidP="00FA5D80">
            <w:pPr>
              <w:pStyle w:val="Prrafodelista"/>
              <w:ind w:left="426"/>
              <w:jc w:val="both"/>
              <w:rPr>
                <w:rFonts w:cs="Arial"/>
                <w:color w:val="4472C4" w:themeColor="accent1"/>
              </w:rPr>
            </w:pPr>
            <w:r>
              <w:rPr>
                <w:rFonts w:cs="Arial"/>
                <w:b/>
                <w:bCs/>
                <w:color w:val="4472C4" w:themeColor="accent1"/>
              </w:rPr>
              <w:t> $                 </w:t>
            </w:r>
            <w:r w:rsidRPr="00FA5D80">
              <w:rPr>
                <w:rFonts w:cs="Arial"/>
                <w:b/>
                <w:bCs/>
                <w:color w:val="4472C4" w:themeColor="accent1"/>
              </w:rPr>
              <w:t>187.403</w:t>
            </w:r>
          </w:p>
        </w:tc>
      </w:tr>
      <w:tr w:rsidR="00FA5D80" w:rsidRPr="00FA5D80" w14:paraId="54217079" w14:textId="77777777" w:rsidTr="00FA5D80">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3C6A42C2" w14:textId="77777777" w:rsidR="00FA5D80" w:rsidRPr="00FA5D80" w:rsidRDefault="00FA5D80" w:rsidP="00FA5D80">
            <w:pPr>
              <w:jc w:val="both"/>
              <w:rPr>
                <w:rFonts w:cs="Arial"/>
                <w:color w:val="4472C4" w:themeColor="accent1"/>
              </w:rPr>
            </w:pPr>
            <w:r w:rsidRPr="00FA5D80">
              <w:rPr>
                <w:rFonts w:cs="Arial"/>
                <w:b/>
                <w:bCs/>
                <w:color w:val="4472C4" w:themeColor="accent1"/>
              </w:rPr>
              <w:t>Plazo de ejecución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38FF11B" w14:textId="53C1EA04" w:rsidR="00FA5D80" w:rsidRPr="00FA5D80" w:rsidRDefault="00FA5D80" w:rsidP="00FA5D80">
            <w:pPr>
              <w:pStyle w:val="Prrafodelista"/>
              <w:ind w:left="426"/>
              <w:jc w:val="both"/>
              <w:rPr>
                <w:rFonts w:cs="Arial"/>
                <w:color w:val="4472C4" w:themeColor="accent1"/>
              </w:rPr>
            </w:pPr>
            <w:r>
              <w:rPr>
                <w:rFonts w:cs="Arial"/>
                <w:b/>
                <w:bCs/>
                <w:color w:val="4472C4" w:themeColor="accent1"/>
              </w:rPr>
              <w:t> $                          </w:t>
            </w:r>
            <w:r w:rsidRPr="00FA5D80">
              <w:rPr>
                <w:rFonts w:cs="Arial"/>
                <w:b/>
                <w:bCs/>
                <w:color w:val="4472C4" w:themeColor="accent1"/>
              </w:rPr>
              <w:t>20</w:t>
            </w:r>
          </w:p>
        </w:tc>
      </w:tr>
      <w:tr w:rsidR="00FA5D80" w:rsidRPr="00FA5D80" w14:paraId="039312F7" w14:textId="77777777" w:rsidTr="00FA5D80">
        <w:trPr>
          <w:trHeight w:val="300"/>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1E4BFBB" w14:textId="77777777" w:rsidR="00FA5D80" w:rsidRPr="00FA5D80" w:rsidRDefault="00FA5D80" w:rsidP="00FA5D80">
            <w:pPr>
              <w:jc w:val="both"/>
              <w:rPr>
                <w:rFonts w:cs="Arial"/>
                <w:b/>
                <w:bCs/>
                <w:color w:val="4472C4" w:themeColor="accent1"/>
              </w:rPr>
            </w:pPr>
            <w:r w:rsidRPr="00FA5D80">
              <w:rPr>
                <w:rFonts w:cs="Arial"/>
                <w:b/>
                <w:bCs/>
                <w:color w:val="4472C4" w:themeColor="accent1"/>
              </w:rPr>
              <w:t>Valor del contrato</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F9C2061" w14:textId="77777777" w:rsidR="00FA5D80" w:rsidRPr="00FA5D80" w:rsidRDefault="00FA5D80" w:rsidP="00FA5D80">
            <w:pPr>
              <w:pStyle w:val="Prrafodelista"/>
              <w:ind w:left="426"/>
              <w:jc w:val="both"/>
              <w:rPr>
                <w:rFonts w:cs="Arial"/>
                <w:b/>
                <w:bCs/>
                <w:color w:val="4472C4" w:themeColor="accent1"/>
              </w:rPr>
            </w:pPr>
            <w:r w:rsidRPr="00FA5D80">
              <w:rPr>
                <w:rFonts w:cs="Arial"/>
                <w:b/>
                <w:bCs/>
                <w:color w:val="4472C4" w:themeColor="accent1"/>
              </w:rPr>
              <w:t> $              3.748.067</w:t>
            </w:r>
          </w:p>
        </w:tc>
      </w:tr>
    </w:tbl>
    <w:p w14:paraId="3C4B4C85" w14:textId="77777777" w:rsidR="00FA5D80" w:rsidRPr="00FA5D80" w:rsidRDefault="00FA5D80" w:rsidP="00FA5D80">
      <w:pPr>
        <w:pStyle w:val="Prrafodelista"/>
        <w:ind w:left="426"/>
        <w:jc w:val="both"/>
        <w:rPr>
          <w:rFonts w:cs="Arial"/>
        </w:rPr>
      </w:pPr>
    </w:p>
    <w:p w14:paraId="2FC36C66" w14:textId="77777777" w:rsidR="00FA5D80" w:rsidRPr="00FA5D80" w:rsidRDefault="00FA5D80" w:rsidP="00FA5D80">
      <w:pPr>
        <w:pStyle w:val="Prrafodelista"/>
        <w:ind w:left="426"/>
        <w:jc w:val="both"/>
        <w:rPr>
          <w:rFonts w:cs="Arial"/>
          <w:color w:val="C45911" w:themeColor="accent2" w:themeShade="BF"/>
        </w:rPr>
      </w:pPr>
      <w:r w:rsidRPr="00FA5D80">
        <w:rPr>
          <w:rFonts w:cs="Arial"/>
          <w:b/>
          <w:bCs/>
          <w:i/>
          <w:iCs/>
          <w:color w:val="C45911" w:themeColor="accent2" w:themeShade="BF"/>
          <w:u w:val="single"/>
        </w:rPr>
        <w:t>Valoración Respuesta:</w:t>
      </w:r>
    </w:p>
    <w:p w14:paraId="772255F9" w14:textId="77777777" w:rsidR="00FA5D80" w:rsidRPr="00FA5D80" w:rsidRDefault="00FA5D80" w:rsidP="00FA5D80">
      <w:pPr>
        <w:pStyle w:val="Prrafodelista"/>
        <w:ind w:left="426"/>
        <w:jc w:val="both"/>
        <w:rPr>
          <w:rFonts w:cs="Arial"/>
          <w:color w:val="C45911" w:themeColor="accent2" w:themeShade="BF"/>
        </w:rPr>
      </w:pPr>
    </w:p>
    <w:p w14:paraId="7B493840" w14:textId="77777777" w:rsidR="00FA5D80" w:rsidRPr="00FA5D80" w:rsidRDefault="00FA5D80" w:rsidP="00FA5D80">
      <w:pPr>
        <w:pStyle w:val="Prrafodelista"/>
        <w:ind w:left="426"/>
        <w:jc w:val="both"/>
        <w:rPr>
          <w:rFonts w:cs="Arial"/>
          <w:color w:val="C45911" w:themeColor="accent2" w:themeShade="BF"/>
        </w:rPr>
      </w:pPr>
      <w:r w:rsidRPr="00FA5D80">
        <w:rPr>
          <w:rFonts w:cs="Arial"/>
          <w:color w:val="C45911" w:themeColor="accent2" w:themeShade="BF"/>
        </w:rPr>
        <w:t>Es importante aclarar que la información producida y publicada por la entidad en las diferentes fuentes, debe ser fácilmente comprensible (</w:t>
      </w:r>
      <w:r w:rsidRPr="00FA5D80">
        <w:rPr>
          <w:rFonts w:cs="Arial"/>
          <w:i/>
          <w:iCs/>
          <w:color w:val="C45911" w:themeColor="accent2" w:themeShade="BF"/>
        </w:rPr>
        <w:t>lenguaje Claro</w:t>
      </w:r>
      <w:r w:rsidRPr="00FA5D80">
        <w:rPr>
          <w:rFonts w:cs="Arial"/>
          <w:color w:val="C45911" w:themeColor="accent2" w:themeShade="BF"/>
        </w:rPr>
        <w:t>) para cualquier persona o parte interesada que la requiera y/o consulte, la misma debe ser de calidad y no tener lugar a interpretaciones, lo anterior se contempla en la 5ª Dimensión: Información y Comunicación del Modelo Integrado de Planeación y Gestión - MIPG - cumplimiento de la Política </w:t>
      </w:r>
      <w:r w:rsidRPr="00FA5D80">
        <w:rPr>
          <w:rFonts w:cs="Arial"/>
          <w:b/>
          <w:bCs/>
          <w:color w:val="C45911" w:themeColor="accent2" w:themeShade="BF"/>
        </w:rPr>
        <w:t>"</w:t>
      </w:r>
      <w:r w:rsidRPr="00FA5D80">
        <w:rPr>
          <w:rFonts w:cs="Arial"/>
          <w:b/>
          <w:bCs/>
          <w:i/>
          <w:iCs/>
          <w:color w:val="C45911" w:themeColor="accent2" w:themeShade="BF"/>
        </w:rPr>
        <w:t>Transparencia, acceso a la información pública y lucha contra la corrupción</w:t>
      </w:r>
      <w:r w:rsidRPr="00FA5D80">
        <w:rPr>
          <w:rFonts w:cs="Arial"/>
          <w:b/>
          <w:bCs/>
          <w:color w:val="C45911" w:themeColor="accent2" w:themeShade="BF"/>
        </w:rPr>
        <w:t>"</w:t>
      </w:r>
    </w:p>
    <w:p w14:paraId="42FFE6C3" w14:textId="77777777" w:rsidR="00FA5D80" w:rsidRPr="00FA5D80" w:rsidRDefault="00FA5D80" w:rsidP="00FA5D80">
      <w:pPr>
        <w:pStyle w:val="Prrafodelista"/>
        <w:ind w:left="426"/>
        <w:jc w:val="both"/>
        <w:rPr>
          <w:rFonts w:cs="Arial"/>
          <w:color w:val="C45911" w:themeColor="accent2" w:themeShade="BF"/>
        </w:rPr>
      </w:pPr>
    </w:p>
    <w:p w14:paraId="6E4495E3" w14:textId="368B6BF4" w:rsidR="00FA5D80" w:rsidRPr="00FA5D80" w:rsidRDefault="00FA5D80" w:rsidP="00FA5D80">
      <w:pPr>
        <w:pStyle w:val="Prrafodelista"/>
        <w:ind w:left="426"/>
        <w:jc w:val="both"/>
        <w:rPr>
          <w:rFonts w:cs="Arial"/>
          <w:color w:val="C45911" w:themeColor="accent2" w:themeShade="BF"/>
        </w:rPr>
      </w:pPr>
      <w:r w:rsidRPr="00FA5D80">
        <w:rPr>
          <w:rFonts w:cs="Arial"/>
          <w:b/>
          <w:bCs/>
          <w:i/>
          <w:iCs/>
          <w:color w:val="C45911" w:themeColor="accent2" w:themeShade="BF"/>
        </w:rPr>
        <w:t>"(...) La comunicación hace posible difundir y transmitir la información de calidad que se genera en toda la entidad, tanto entre dependencias como frente a los grupos de valor"(...), </w:t>
      </w:r>
      <w:r w:rsidRPr="00FA5D80">
        <w:rPr>
          <w:rFonts w:cs="Arial"/>
          <w:i/>
          <w:iCs/>
          <w:color w:val="C45911" w:themeColor="accent2" w:themeShade="BF"/>
          <w:u w:val="single"/>
        </w:rPr>
        <w:t>lo anterior facilita el control</w:t>
      </w:r>
      <w:r w:rsidRPr="00FA5D80">
        <w:rPr>
          <w:rFonts w:cs="Arial"/>
          <w:b/>
          <w:bCs/>
          <w:i/>
          <w:iCs/>
          <w:color w:val="C45911" w:themeColor="accent2" w:themeShade="BF"/>
          <w:u w:val="single"/>
        </w:rPr>
        <w:t> </w:t>
      </w:r>
      <w:r w:rsidRPr="00FA5D80">
        <w:rPr>
          <w:rFonts w:cs="Arial"/>
          <w:i/>
          <w:iCs/>
          <w:color w:val="C45911" w:themeColor="accent2" w:themeShade="BF"/>
          <w:u w:val="single"/>
        </w:rPr>
        <w:t>de la gestión y el control ciudadano</w:t>
      </w:r>
      <w:r w:rsidRPr="00FA5D80">
        <w:rPr>
          <w:rFonts w:cs="Arial"/>
          <w:i/>
          <w:iCs/>
          <w:color w:val="C45911" w:themeColor="accent2" w:themeShade="BF"/>
        </w:rPr>
        <w:t> (Subrayado fuera de texto)</w:t>
      </w:r>
    </w:p>
    <w:p w14:paraId="58371781" w14:textId="77777777" w:rsidR="00FA5D80" w:rsidRPr="00FA5D80" w:rsidRDefault="00FA5D80" w:rsidP="00FA5D80">
      <w:pPr>
        <w:pStyle w:val="Prrafodelista"/>
        <w:ind w:left="426"/>
        <w:jc w:val="both"/>
        <w:rPr>
          <w:rFonts w:cs="Arial"/>
          <w:color w:val="C45911" w:themeColor="accent2" w:themeShade="BF"/>
        </w:rPr>
      </w:pPr>
    </w:p>
    <w:p w14:paraId="548D9B62" w14:textId="77777777" w:rsidR="00FA5D80" w:rsidRPr="00FA5D80" w:rsidRDefault="00FA5D80" w:rsidP="00FA5D80">
      <w:pPr>
        <w:pStyle w:val="Prrafodelista"/>
        <w:ind w:left="426"/>
        <w:jc w:val="both"/>
        <w:rPr>
          <w:rFonts w:cs="Arial"/>
          <w:color w:val="C45911" w:themeColor="accent2" w:themeShade="BF"/>
        </w:rPr>
      </w:pPr>
      <w:r w:rsidRPr="00FA5D80">
        <w:rPr>
          <w:rFonts w:cs="Arial"/>
          <w:color w:val="C45911" w:themeColor="accent2" w:themeShade="BF"/>
        </w:rPr>
        <w:t xml:space="preserve">Para el cumplimiento de ésta dimensión el  Manual Operativo del Modelo Integrado de Planeación y Gestión Consejo para la Gestión y Desempeño Institucional Versión 4 de </w:t>
      </w:r>
      <w:r w:rsidRPr="00FA5D80">
        <w:rPr>
          <w:rFonts w:cs="Arial"/>
          <w:color w:val="C45911" w:themeColor="accent2" w:themeShade="BF"/>
        </w:rPr>
        <w:lastRenderedPageBreak/>
        <w:t>Marzo de 2021, definió en el numeral </w:t>
      </w:r>
      <w:r w:rsidRPr="00FA5D80">
        <w:rPr>
          <w:rFonts w:cs="Arial"/>
          <w:b/>
          <w:bCs/>
          <w:color w:val="C45911" w:themeColor="accent2" w:themeShade="BF"/>
        </w:rPr>
        <w:t>5.3 Atributos de calidad a tener en cuenta en la Dimensión,</w:t>
      </w:r>
      <w:r w:rsidRPr="00FA5D80">
        <w:rPr>
          <w:rFonts w:cs="Arial"/>
          <w:color w:val="C45911" w:themeColor="accent2" w:themeShade="BF"/>
        </w:rPr>
        <w:t> entre otros los siguientes:     </w:t>
      </w:r>
    </w:p>
    <w:p w14:paraId="578EF18A" w14:textId="77777777" w:rsidR="00FA5D80" w:rsidRPr="00FA5D80" w:rsidRDefault="00FA5D80" w:rsidP="00FA5D80">
      <w:pPr>
        <w:pStyle w:val="Prrafodelista"/>
        <w:ind w:left="426"/>
        <w:jc w:val="both"/>
        <w:rPr>
          <w:rFonts w:cs="Arial"/>
          <w:color w:val="C45911" w:themeColor="accent2" w:themeShade="BF"/>
        </w:rPr>
      </w:pPr>
      <w:r w:rsidRPr="00FA5D80">
        <w:rPr>
          <w:rFonts w:cs="Arial"/>
          <w:color w:val="C45911" w:themeColor="accent2" w:themeShade="BF"/>
        </w:rPr>
        <w:t>* Información disponible en </w:t>
      </w:r>
      <w:r w:rsidRPr="00FA5D80">
        <w:rPr>
          <w:rFonts w:cs="Arial"/>
          <w:b/>
          <w:bCs/>
          <w:color w:val="C45911" w:themeColor="accent2" w:themeShade="BF"/>
        </w:rPr>
        <w:t>lenguaje claro y sencillo</w:t>
      </w:r>
      <w:r w:rsidRPr="00FA5D80">
        <w:rPr>
          <w:rFonts w:cs="Arial"/>
          <w:color w:val="C45911" w:themeColor="accent2" w:themeShade="BF"/>
        </w:rPr>
        <w:t> para ofrecer a los ciudadanos con claras condiciones de tiempo, modo y lugar...</w:t>
      </w:r>
    </w:p>
    <w:p w14:paraId="21D52D67" w14:textId="77777777" w:rsidR="00FA5D80" w:rsidRPr="00FA5D80" w:rsidRDefault="00FA5D80" w:rsidP="00FA5D80">
      <w:pPr>
        <w:pStyle w:val="Prrafodelista"/>
        <w:ind w:left="426"/>
        <w:jc w:val="both"/>
        <w:rPr>
          <w:rFonts w:cs="Arial"/>
          <w:color w:val="C45911" w:themeColor="accent2" w:themeShade="BF"/>
        </w:rPr>
      </w:pPr>
      <w:r w:rsidRPr="00FA5D80">
        <w:rPr>
          <w:rFonts w:cs="Arial"/>
          <w:color w:val="C45911" w:themeColor="accent2" w:themeShade="BF"/>
        </w:rPr>
        <w:t>*  La información que se soporta en el uso de las TIC, se genera, procesa y transmite de manera segura, garantizando su disponibilidad, integridad y </w:t>
      </w:r>
      <w:r w:rsidRPr="00FA5D80">
        <w:rPr>
          <w:rFonts w:cs="Arial"/>
          <w:b/>
          <w:bCs/>
          <w:color w:val="C45911" w:themeColor="accent2" w:themeShade="BF"/>
        </w:rPr>
        <w:t>veracidad</w:t>
      </w:r>
    </w:p>
    <w:p w14:paraId="0A3B7BF9" w14:textId="77777777" w:rsidR="00FA5D80" w:rsidRPr="00FA5D80" w:rsidRDefault="00FA5D80" w:rsidP="00FA5D80">
      <w:pPr>
        <w:pStyle w:val="Prrafodelista"/>
        <w:ind w:left="426"/>
        <w:jc w:val="both"/>
        <w:rPr>
          <w:rFonts w:cs="Arial"/>
          <w:color w:val="C45911" w:themeColor="accent2" w:themeShade="BF"/>
        </w:rPr>
      </w:pPr>
      <w:r w:rsidRPr="00FA5D80">
        <w:rPr>
          <w:rFonts w:cs="Arial"/>
          <w:color w:val="C45911" w:themeColor="accent2" w:themeShade="BF"/>
        </w:rPr>
        <w:t>  </w:t>
      </w:r>
    </w:p>
    <w:p w14:paraId="4190E5B0" w14:textId="36EA219B" w:rsidR="00FA5D80" w:rsidRPr="00FA5D80" w:rsidRDefault="00FA5D80" w:rsidP="00FA5D80">
      <w:pPr>
        <w:pStyle w:val="Prrafodelista"/>
        <w:ind w:left="426"/>
        <w:jc w:val="both"/>
        <w:rPr>
          <w:rFonts w:cs="Arial"/>
          <w:color w:val="C45911" w:themeColor="accent2" w:themeShade="BF"/>
        </w:rPr>
      </w:pPr>
      <w:r w:rsidRPr="00FA5D80">
        <w:rPr>
          <w:rFonts w:cs="Arial"/>
          <w:color w:val="C45911" w:themeColor="accent2" w:themeShade="BF"/>
        </w:rPr>
        <w:t>Con fundamento en lo anterior se mantiene la observación, teniendo en cuenta que la información registrada en el contrato IDPC-PSP-530-2021 en las cláusulas 2. Valor del contrato y 3. Forma de pago, no presenta lenguaje claro de fácil comprensión, da lugar a interpretaciones y requiere aclaraciones adicionales para ser comprendida, situación que debe ser susceptible de mejora.</w:t>
      </w:r>
    </w:p>
    <w:p w14:paraId="5A56F10D" w14:textId="77777777" w:rsidR="00FC3200" w:rsidRDefault="00FC3200" w:rsidP="00FC3200">
      <w:pPr>
        <w:pStyle w:val="Prrafodelista"/>
        <w:ind w:left="426"/>
        <w:jc w:val="both"/>
        <w:rPr>
          <w:rFonts w:cs="Arial"/>
        </w:rPr>
      </w:pPr>
    </w:p>
    <w:p w14:paraId="23145204" w14:textId="77777777" w:rsidR="008D1378" w:rsidRPr="00FC3200" w:rsidRDefault="008D1378" w:rsidP="00FC3200">
      <w:pPr>
        <w:pStyle w:val="Prrafodelista"/>
        <w:ind w:left="426"/>
        <w:jc w:val="both"/>
        <w:rPr>
          <w:rFonts w:cs="Arial"/>
        </w:rPr>
      </w:pPr>
    </w:p>
    <w:p w14:paraId="186858BD" w14:textId="1970446C" w:rsidR="008F6545" w:rsidRPr="00FC3200" w:rsidRDefault="008F6545" w:rsidP="00AA2B29">
      <w:pPr>
        <w:pStyle w:val="Prrafodelista"/>
        <w:numPr>
          <w:ilvl w:val="2"/>
          <w:numId w:val="5"/>
        </w:numPr>
        <w:jc w:val="both"/>
        <w:rPr>
          <w:rFonts w:cs="Arial"/>
          <w:b/>
        </w:rPr>
      </w:pPr>
      <w:r w:rsidRPr="00FC3200">
        <w:rPr>
          <w:rFonts w:cs="Arial"/>
          <w:b/>
        </w:rPr>
        <w:t>Artículo 4. Horas extras, dominicales y festivos</w:t>
      </w:r>
    </w:p>
    <w:p w14:paraId="42DA023D" w14:textId="77777777" w:rsidR="00824F15" w:rsidRDefault="00824F15" w:rsidP="005A1083">
      <w:pPr>
        <w:jc w:val="both"/>
        <w:rPr>
          <w:rFonts w:cs="Arial"/>
        </w:rPr>
      </w:pPr>
    </w:p>
    <w:p w14:paraId="42902119" w14:textId="77777777" w:rsidR="000F1FA3" w:rsidRPr="00497663" w:rsidRDefault="000F1FA3" w:rsidP="000F1FA3">
      <w:pPr>
        <w:pStyle w:val="NormalWeb"/>
        <w:shd w:val="clear" w:color="auto" w:fill="FFFFFF"/>
        <w:spacing w:before="0" w:beforeAutospacing="0" w:after="0" w:afterAutospacing="0"/>
        <w:jc w:val="both"/>
        <w:rPr>
          <w:rFonts w:ascii="Arial" w:hAnsi="Arial" w:cs="Arial"/>
          <w:color w:val="000000"/>
          <w:sz w:val="22"/>
          <w:szCs w:val="22"/>
        </w:rPr>
      </w:pPr>
      <w:r w:rsidRPr="000A78C6">
        <w:rPr>
          <w:rFonts w:ascii="Arial" w:hAnsi="Arial" w:cs="Arial"/>
          <w:color w:val="000000"/>
          <w:sz w:val="22"/>
          <w:szCs w:val="22"/>
        </w:rPr>
        <w:t>En relación con estos lineamientos se evidencia:</w:t>
      </w:r>
    </w:p>
    <w:p w14:paraId="2E528729" w14:textId="77777777" w:rsidR="000F1FA3" w:rsidRDefault="000F1FA3" w:rsidP="000F1FA3">
      <w:pPr>
        <w:pStyle w:val="NormalWeb"/>
        <w:shd w:val="clear" w:color="auto" w:fill="FFFFFF"/>
        <w:spacing w:before="0" w:beforeAutospacing="0" w:after="0" w:afterAutospacing="0"/>
        <w:jc w:val="both"/>
        <w:rPr>
          <w:rFonts w:ascii="Arial" w:hAnsi="Arial" w:cs="Arial"/>
          <w:color w:val="000000"/>
          <w:sz w:val="22"/>
          <w:szCs w:val="22"/>
        </w:rPr>
      </w:pPr>
    </w:p>
    <w:p w14:paraId="2F1809E3" w14:textId="77777777" w:rsidR="000F1FA3" w:rsidRPr="00DE7E65" w:rsidRDefault="000F1FA3" w:rsidP="000F1FA3">
      <w:pPr>
        <w:pStyle w:val="NormalWeb"/>
        <w:shd w:val="clear" w:color="auto" w:fill="FFFFFF"/>
        <w:spacing w:before="0" w:beforeAutospacing="0" w:after="0" w:afterAutospacing="0"/>
        <w:jc w:val="both"/>
        <w:rPr>
          <w:rFonts w:ascii="Arial" w:hAnsi="Arial" w:cs="Arial"/>
          <w:color w:val="000000"/>
          <w:sz w:val="22"/>
          <w:szCs w:val="22"/>
        </w:rPr>
      </w:pPr>
      <w:r w:rsidRPr="000D39B8">
        <w:rPr>
          <w:rFonts w:ascii="Arial" w:hAnsi="Arial" w:cs="Arial"/>
          <w:color w:val="000000"/>
          <w:sz w:val="22"/>
          <w:szCs w:val="22"/>
        </w:rPr>
        <w:t xml:space="preserve">De acuerdo con la información de los registros presupuestales, durante el cuarto trimestre de 2021 se realizó el pago de </w:t>
      </w:r>
      <w:r w:rsidRPr="000D39B8">
        <w:rPr>
          <w:rFonts w:ascii="Arial" w:hAnsi="Arial" w:cs="Arial"/>
          <w:bCs/>
          <w:color w:val="000000"/>
          <w:sz w:val="22"/>
          <w:szCs w:val="22"/>
        </w:rPr>
        <w:t>horas extras, dominicales, festivos y de recargo nocturno</w:t>
      </w:r>
      <w:r w:rsidRPr="000D39B8">
        <w:rPr>
          <w:rFonts w:ascii="Arial" w:hAnsi="Arial" w:cs="Arial"/>
          <w:bCs/>
          <w:i/>
          <w:color w:val="000000"/>
          <w:sz w:val="22"/>
          <w:szCs w:val="22"/>
        </w:rPr>
        <w:t xml:space="preserve"> </w:t>
      </w:r>
      <w:r w:rsidRPr="000D39B8">
        <w:rPr>
          <w:rFonts w:ascii="Arial" w:hAnsi="Arial" w:cs="Arial"/>
          <w:bCs/>
          <w:color w:val="000000"/>
          <w:sz w:val="22"/>
          <w:szCs w:val="22"/>
        </w:rPr>
        <w:t xml:space="preserve">por un </w:t>
      </w:r>
      <w:r w:rsidRPr="000F1FA3">
        <w:rPr>
          <w:rFonts w:ascii="Arial" w:hAnsi="Arial" w:cs="Arial"/>
          <w:bCs/>
          <w:color w:val="000000"/>
          <w:sz w:val="22"/>
          <w:szCs w:val="22"/>
        </w:rPr>
        <w:t xml:space="preserve">valor </w:t>
      </w:r>
      <w:r w:rsidRPr="000F1FA3">
        <w:rPr>
          <w:rFonts w:ascii="Arial" w:hAnsi="Arial" w:cs="Arial"/>
          <w:bCs/>
          <w:sz w:val="22"/>
          <w:szCs w:val="22"/>
        </w:rPr>
        <w:t xml:space="preserve">de </w:t>
      </w:r>
      <w:r w:rsidRPr="000F1FA3">
        <w:rPr>
          <w:rFonts w:ascii="Arial" w:hAnsi="Arial" w:cs="Arial"/>
          <w:b/>
          <w:bCs/>
          <w:sz w:val="22"/>
          <w:szCs w:val="22"/>
        </w:rPr>
        <w:t>$1.341.620</w:t>
      </w:r>
      <w:r w:rsidRPr="000F1FA3">
        <w:rPr>
          <w:rFonts w:ascii="Arial" w:hAnsi="Arial" w:cs="Arial"/>
          <w:sz w:val="22"/>
          <w:szCs w:val="22"/>
        </w:rPr>
        <w:t xml:space="preserve">, </w:t>
      </w:r>
      <w:r w:rsidRPr="000F1FA3">
        <w:rPr>
          <w:rFonts w:ascii="Arial" w:hAnsi="Arial" w:cs="Arial"/>
          <w:color w:val="000000"/>
          <w:sz w:val="22"/>
          <w:szCs w:val="22"/>
        </w:rPr>
        <w:t xml:space="preserve">evidenciando un aumento del </w:t>
      </w:r>
      <w:r w:rsidRPr="000F1FA3">
        <w:rPr>
          <w:rFonts w:ascii="Arial" w:hAnsi="Arial" w:cs="Arial"/>
          <w:b/>
          <w:color w:val="FF0000"/>
          <w:sz w:val="22"/>
          <w:szCs w:val="22"/>
        </w:rPr>
        <w:t>97%</w:t>
      </w:r>
      <w:r w:rsidRPr="000F1FA3">
        <w:rPr>
          <w:rFonts w:ascii="Arial" w:hAnsi="Arial" w:cs="Arial"/>
          <w:color w:val="FF0000"/>
          <w:sz w:val="22"/>
          <w:szCs w:val="22"/>
        </w:rPr>
        <w:t xml:space="preserve"> </w:t>
      </w:r>
      <w:r w:rsidRPr="000F1FA3">
        <w:rPr>
          <w:rFonts w:ascii="Arial" w:hAnsi="Arial" w:cs="Arial"/>
          <w:color w:val="000000"/>
          <w:sz w:val="22"/>
          <w:szCs w:val="22"/>
        </w:rPr>
        <w:t xml:space="preserve">correspondiente a </w:t>
      </w:r>
      <w:r w:rsidRPr="000F1FA3">
        <w:rPr>
          <w:rFonts w:ascii="Arial" w:hAnsi="Arial" w:cs="Arial"/>
          <w:b/>
          <w:sz w:val="22"/>
          <w:szCs w:val="22"/>
        </w:rPr>
        <w:t>$661.424</w:t>
      </w:r>
      <w:r w:rsidRPr="000F1FA3">
        <w:rPr>
          <w:rFonts w:ascii="Arial" w:hAnsi="Arial" w:cs="Arial"/>
          <w:sz w:val="22"/>
          <w:szCs w:val="22"/>
        </w:rPr>
        <w:t xml:space="preserve">, </w:t>
      </w:r>
      <w:r w:rsidRPr="000D39B8">
        <w:rPr>
          <w:rFonts w:ascii="Arial" w:hAnsi="Arial" w:cs="Arial"/>
          <w:color w:val="000000"/>
          <w:sz w:val="22"/>
          <w:szCs w:val="22"/>
        </w:rPr>
        <w:t>con respecto al mismo período de la vigencia anterior debido a que, en el período anterior únicamente se pagaron horas extras en dos de los tres meses evaluados:</w:t>
      </w:r>
    </w:p>
    <w:p w14:paraId="484002B6" w14:textId="77777777" w:rsidR="000F1FA3" w:rsidRPr="00103BE8" w:rsidRDefault="000F1FA3" w:rsidP="000F1FA3">
      <w:pPr>
        <w:pStyle w:val="NormalWeb"/>
        <w:shd w:val="clear" w:color="auto" w:fill="FFFFFF"/>
        <w:spacing w:before="0" w:beforeAutospacing="0" w:after="0" w:afterAutospacing="0"/>
        <w:jc w:val="both"/>
        <w:rPr>
          <w:rFonts w:ascii="Arial" w:hAnsi="Arial" w:cs="Arial"/>
          <w:color w:val="000000"/>
          <w:sz w:val="22"/>
          <w:szCs w:val="22"/>
          <w:highlight w:val="yellow"/>
        </w:rPr>
      </w:pPr>
    </w:p>
    <w:tbl>
      <w:tblPr>
        <w:tblW w:w="8960" w:type="dxa"/>
        <w:tblCellMar>
          <w:left w:w="70" w:type="dxa"/>
          <w:right w:w="70" w:type="dxa"/>
        </w:tblCellMar>
        <w:tblLook w:val="04A0" w:firstRow="1" w:lastRow="0" w:firstColumn="1" w:lastColumn="0" w:noHBand="0" w:noVBand="1"/>
      </w:tblPr>
      <w:tblGrid>
        <w:gridCol w:w="2180"/>
        <w:gridCol w:w="700"/>
        <w:gridCol w:w="700"/>
        <w:gridCol w:w="700"/>
        <w:gridCol w:w="700"/>
        <w:gridCol w:w="700"/>
        <w:gridCol w:w="700"/>
        <w:gridCol w:w="780"/>
        <w:gridCol w:w="940"/>
        <w:gridCol w:w="860"/>
      </w:tblGrid>
      <w:tr w:rsidR="000F1FA3" w14:paraId="65CCECAD" w14:textId="77777777" w:rsidTr="00FB7F11">
        <w:trPr>
          <w:trHeight w:val="255"/>
        </w:trPr>
        <w:tc>
          <w:tcPr>
            <w:tcW w:w="8960"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5AB4D143"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GASTOS DE HORAS EXTRAS, DOMINICALES, FESTIVOS Y RECARGO NOCTURNO VIGENCIA ACTUAL</w:t>
            </w:r>
          </w:p>
        </w:tc>
      </w:tr>
      <w:tr w:rsidR="000F1FA3" w14:paraId="2D2E8B67" w14:textId="77777777" w:rsidTr="00FB7F11">
        <w:trPr>
          <w:trHeight w:val="255"/>
        </w:trPr>
        <w:tc>
          <w:tcPr>
            <w:tcW w:w="21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01A093ED"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RUBRO</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08578DDE"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2020 </w:t>
            </w:r>
          </w:p>
        </w:tc>
        <w:tc>
          <w:tcPr>
            <w:tcW w:w="210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1EA3BEB"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2021 </w:t>
            </w:r>
          </w:p>
        </w:tc>
        <w:tc>
          <w:tcPr>
            <w:tcW w:w="258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3209632D"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COMPARATIVO IV TRIMESTRE </w:t>
            </w:r>
          </w:p>
        </w:tc>
      </w:tr>
      <w:tr w:rsidR="000F1FA3" w14:paraId="1D7F865F" w14:textId="77777777" w:rsidTr="00FB7F11">
        <w:trPr>
          <w:trHeight w:val="495"/>
        </w:trPr>
        <w:tc>
          <w:tcPr>
            <w:tcW w:w="2180" w:type="dxa"/>
            <w:vMerge/>
            <w:tcBorders>
              <w:top w:val="nil"/>
              <w:left w:val="single" w:sz="4" w:space="0" w:color="000000"/>
              <w:bottom w:val="single" w:sz="4" w:space="0" w:color="000000"/>
              <w:right w:val="single" w:sz="4" w:space="0" w:color="000000"/>
            </w:tcBorders>
            <w:vAlign w:val="center"/>
            <w:hideMark/>
          </w:tcPr>
          <w:p w14:paraId="6DA6CCA3" w14:textId="77777777" w:rsidR="000F1FA3" w:rsidRDefault="000F1FA3" w:rsidP="00FB7F11">
            <w:pPr>
              <w:rPr>
                <w:rFonts w:ascii="Arial Narrow" w:hAnsi="Arial Narrow" w:cs="Arial"/>
                <w:b/>
                <w:bCs/>
                <w:color w:val="000000"/>
                <w:sz w:val="16"/>
                <w:szCs w:val="16"/>
              </w:rPr>
            </w:pPr>
          </w:p>
        </w:tc>
        <w:tc>
          <w:tcPr>
            <w:tcW w:w="700" w:type="dxa"/>
            <w:tcBorders>
              <w:top w:val="nil"/>
              <w:left w:val="nil"/>
              <w:bottom w:val="single" w:sz="4" w:space="0" w:color="000000"/>
              <w:right w:val="single" w:sz="4" w:space="0" w:color="000000"/>
            </w:tcBorders>
            <w:shd w:val="clear" w:color="F2F2F2" w:fill="F2F2F2"/>
            <w:vAlign w:val="center"/>
            <w:hideMark/>
          </w:tcPr>
          <w:p w14:paraId="33058615"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OCT </w:t>
            </w:r>
          </w:p>
        </w:tc>
        <w:tc>
          <w:tcPr>
            <w:tcW w:w="700" w:type="dxa"/>
            <w:tcBorders>
              <w:top w:val="nil"/>
              <w:left w:val="nil"/>
              <w:bottom w:val="single" w:sz="4" w:space="0" w:color="000000"/>
              <w:right w:val="single" w:sz="4" w:space="0" w:color="000000"/>
            </w:tcBorders>
            <w:shd w:val="clear" w:color="F2F2F2" w:fill="F2F2F2"/>
            <w:vAlign w:val="center"/>
            <w:hideMark/>
          </w:tcPr>
          <w:p w14:paraId="75F5B568"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NOV </w:t>
            </w:r>
          </w:p>
        </w:tc>
        <w:tc>
          <w:tcPr>
            <w:tcW w:w="700" w:type="dxa"/>
            <w:tcBorders>
              <w:top w:val="nil"/>
              <w:left w:val="nil"/>
              <w:bottom w:val="single" w:sz="4" w:space="0" w:color="000000"/>
              <w:right w:val="single" w:sz="4" w:space="0" w:color="000000"/>
            </w:tcBorders>
            <w:shd w:val="clear" w:color="F2F2F2" w:fill="F2F2F2"/>
            <w:vAlign w:val="center"/>
            <w:hideMark/>
          </w:tcPr>
          <w:p w14:paraId="6E3D588E"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DIC </w:t>
            </w:r>
          </w:p>
        </w:tc>
        <w:tc>
          <w:tcPr>
            <w:tcW w:w="700" w:type="dxa"/>
            <w:tcBorders>
              <w:top w:val="nil"/>
              <w:left w:val="nil"/>
              <w:bottom w:val="single" w:sz="4" w:space="0" w:color="000000"/>
              <w:right w:val="single" w:sz="4" w:space="0" w:color="000000"/>
            </w:tcBorders>
            <w:shd w:val="clear" w:color="F2F2F2" w:fill="F2F2F2"/>
            <w:vAlign w:val="center"/>
            <w:hideMark/>
          </w:tcPr>
          <w:p w14:paraId="427B3081"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OCT </w:t>
            </w:r>
          </w:p>
        </w:tc>
        <w:tc>
          <w:tcPr>
            <w:tcW w:w="700" w:type="dxa"/>
            <w:tcBorders>
              <w:top w:val="nil"/>
              <w:left w:val="nil"/>
              <w:bottom w:val="single" w:sz="4" w:space="0" w:color="000000"/>
              <w:right w:val="single" w:sz="4" w:space="0" w:color="000000"/>
            </w:tcBorders>
            <w:shd w:val="clear" w:color="F2F2F2" w:fill="F2F2F2"/>
            <w:vAlign w:val="center"/>
            <w:hideMark/>
          </w:tcPr>
          <w:p w14:paraId="0B009484"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NOV </w:t>
            </w:r>
          </w:p>
        </w:tc>
        <w:tc>
          <w:tcPr>
            <w:tcW w:w="700" w:type="dxa"/>
            <w:tcBorders>
              <w:top w:val="nil"/>
              <w:left w:val="nil"/>
              <w:bottom w:val="single" w:sz="4" w:space="0" w:color="000000"/>
              <w:right w:val="single" w:sz="4" w:space="0" w:color="000000"/>
            </w:tcBorders>
            <w:shd w:val="clear" w:color="F2F2F2" w:fill="F2F2F2"/>
            <w:vAlign w:val="center"/>
            <w:hideMark/>
          </w:tcPr>
          <w:p w14:paraId="304E42A7"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DIC </w:t>
            </w:r>
          </w:p>
        </w:tc>
        <w:tc>
          <w:tcPr>
            <w:tcW w:w="780" w:type="dxa"/>
            <w:tcBorders>
              <w:top w:val="nil"/>
              <w:left w:val="nil"/>
              <w:bottom w:val="single" w:sz="4" w:space="0" w:color="000000"/>
              <w:right w:val="single" w:sz="4" w:space="0" w:color="000000"/>
            </w:tcBorders>
            <w:shd w:val="clear" w:color="F2F2F2" w:fill="F2F2F2"/>
            <w:vAlign w:val="center"/>
            <w:hideMark/>
          </w:tcPr>
          <w:p w14:paraId="455FCB12"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IV TRIM 2020 </w:t>
            </w:r>
          </w:p>
        </w:tc>
        <w:tc>
          <w:tcPr>
            <w:tcW w:w="940" w:type="dxa"/>
            <w:tcBorders>
              <w:top w:val="nil"/>
              <w:left w:val="nil"/>
              <w:bottom w:val="single" w:sz="4" w:space="0" w:color="000000"/>
              <w:right w:val="single" w:sz="4" w:space="0" w:color="000000"/>
            </w:tcBorders>
            <w:shd w:val="clear" w:color="F2F2F2" w:fill="F2F2F2"/>
            <w:vAlign w:val="center"/>
            <w:hideMark/>
          </w:tcPr>
          <w:p w14:paraId="06FE598B"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IV TRIM 2021 </w:t>
            </w:r>
          </w:p>
        </w:tc>
        <w:tc>
          <w:tcPr>
            <w:tcW w:w="860" w:type="dxa"/>
            <w:tcBorders>
              <w:top w:val="nil"/>
              <w:left w:val="nil"/>
              <w:bottom w:val="single" w:sz="4" w:space="0" w:color="000000"/>
              <w:right w:val="single" w:sz="4" w:space="0" w:color="000000"/>
            </w:tcBorders>
            <w:shd w:val="clear" w:color="F2F2F2" w:fill="F2F2F2"/>
            <w:vAlign w:val="center"/>
            <w:hideMark/>
          </w:tcPr>
          <w:p w14:paraId="66BDE177" w14:textId="77777777" w:rsidR="000F1FA3" w:rsidRDefault="000F1FA3"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DIFEREN </w:t>
            </w:r>
          </w:p>
        </w:tc>
      </w:tr>
      <w:tr w:rsidR="000F1FA3" w14:paraId="4204BA18" w14:textId="77777777" w:rsidTr="00FB7F11">
        <w:trPr>
          <w:trHeight w:val="765"/>
        </w:trPr>
        <w:tc>
          <w:tcPr>
            <w:tcW w:w="2180" w:type="dxa"/>
            <w:tcBorders>
              <w:top w:val="nil"/>
              <w:left w:val="single" w:sz="4" w:space="0" w:color="000000"/>
              <w:bottom w:val="single" w:sz="4" w:space="0" w:color="000000"/>
              <w:right w:val="single" w:sz="4" w:space="0" w:color="000000"/>
            </w:tcBorders>
            <w:shd w:val="clear" w:color="auto" w:fill="auto"/>
            <w:vAlign w:val="center"/>
            <w:hideMark/>
          </w:tcPr>
          <w:p w14:paraId="4052B2D1" w14:textId="77777777" w:rsidR="000F1FA3" w:rsidRDefault="000F1FA3" w:rsidP="000F1FA3">
            <w:pPr>
              <w:rPr>
                <w:rFonts w:ascii="Arial Narrow" w:hAnsi="Arial Narrow" w:cs="Arial"/>
                <w:color w:val="000000"/>
                <w:sz w:val="16"/>
                <w:szCs w:val="16"/>
              </w:rPr>
            </w:pPr>
            <w:r>
              <w:rPr>
                <w:rFonts w:ascii="Arial Narrow" w:hAnsi="Arial Narrow" w:cs="Arial"/>
                <w:color w:val="000000"/>
                <w:sz w:val="16"/>
                <w:szCs w:val="16"/>
              </w:rPr>
              <w:t xml:space="preserve">Horas Extras, Dominicales, Festivos, Recargo Nocturno y Trabajo Suplementario </w:t>
            </w:r>
          </w:p>
        </w:tc>
        <w:tc>
          <w:tcPr>
            <w:tcW w:w="700" w:type="dxa"/>
            <w:tcBorders>
              <w:top w:val="nil"/>
              <w:left w:val="nil"/>
              <w:bottom w:val="single" w:sz="4" w:space="0" w:color="000000"/>
              <w:right w:val="single" w:sz="4" w:space="0" w:color="000000"/>
            </w:tcBorders>
            <w:shd w:val="clear" w:color="DBE5F1" w:fill="DBE5F1"/>
            <w:noWrap/>
            <w:vAlign w:val="center"/>
            <w:hideMark/>
          </w:tcPr>
          <w:p w14:paraId="3FA2E0A1" w14:textId="77777777" w:rsidR="000F1FA3" w:rsidRDefault="000F1FA3" w:rsidP="000F1FA3">
            <w:pPr>
              <w:rPr>
                <w:rFonts w:ascii="Arial Narrow" w:hAnsi="Arial Narrow" w:cs="Arial"/>
                <w:color w:val="000000"/>
                <w:sz w:val="16"/>
                <w:szCs w:val="16"/>
              </w:rPr>
            </w:pPr>
            <w:r>
              <w:rPr>
                <w:rFonts w:ascii="Arial Narrow" w:hAnsi="Arial Narrow" w:cs="Arial"/>
                <w:color w:val="000000"/>
                <w:sz w:val="16"/>
                <w:szCs w:val="16"/>
              </w:rPr>
              <w:t xml:space="preserve">         -   </w:t>
            </w:r>
          </w:p>
        </w:tc>
        <w:tc>
          <w:tcPr>
            <w:tcW w:w="700" w:type="dxa"/>
            <w:tcBorders>
              <w:top w:val="nil"/>
              <w:left w:val="nil"/>
              <w:bottom w:val="single" w:sz="4" w:space="0" w:color="000000"/>
              <w:right w:val="single" w:sz="4" w:space="0" w:color="000000"/>
            </w:tcBorders>
            <w:shd w:val="clear" w:color="DBE5F1" w:fill="DBE5F1"/>
            <w:noWrap/>
            <w:vAlign w:val="center"/>
            <w:hideMark/>
          </w:tcPr>
          <w:p w14:paraId="66905F1F" w14:textId="77777777" w:rsidR="000F1FA3" w:rsidRDefault="000F1FA3" w:rsidP="000F1FA3">
            <w:pPr>
              <w:jc w:val="center"/>
              <w:rPr>
                <w:rFonts w:ascii="Arial Narrow" w:hAnsi="Arial Narrow" w:cs="Arial"/>
                <w:color w:val="000000"/>
                <w:sz w:val="16"/>
                <w:szCs w:val="16"/>
              </w:rPr>
            </w:pPr>
            <w:r w:rsidRPr="008B1521">
              <w:rPr>
                <w:rFonts w:ascii="Arial Narrow" w:hAnsi="Arial Narrow" w:cs="Arial"/>
                <w:color w:val="000000"/>
                <w:sz w:val="16"/>
                <w:szCs w:val="16"/>
              </w:rPr>
              <w:t>375.879</w:t>
            </w:r>
          </w:p>
        </w:tc>
        <w:tc>
          <w:tcPr>
            <w:tcW w:w="700" w:type="dxa"/>
            <w:tcBorders>
              <w:top w:val="nil"/>
              <w:left w:val="nil"/>
              <w:bottom w:val="single" w:sz="4" w:space="0" w:color="000000"/>
              <w:right w:val="single" w:sz="4" w:space="0" w:color="000000"/>
            </w:tcBorders>
            <w:shd w:val="clear" w:color="DBE5F1" w:fill="DBE5F1"/>
            <w:noWrap/>
            <w:vAlign w:val="center"/>
            <w:hideMark/>
          </w:tcPr>
          <w:p w14:paraId="4B9E11E9" w14:textId="77777777" w:rsidR="000F1FA3" w:rsidRDefault="000F1FA3" w:rsidP="000F1FA3">
            <w:pPr>
              <w:jc w:val="center"/>
              <w:rPr>
                <w:rFonts w:ascii="Arial Narrow" w:hAnsi="Arial Narrow" w:cs="Arial"/>
                <w:color w:val="000000"/>
                <w:sz w:val="16"/>
                <w:szCs w:val="16"/>
              </w:rPr>
            </w:pPr>
            <w:r w:rsidRPr="008B1521">
              <w:rPr>
                <w:rFonts w:ascii="Arial Narrow" w:hAnsi="Arial Narrow" w:cs="Arial"/>
                <w:color w:val="000000"/>
                <w:sz w:val="16"/>
                <w:szCs w:val="16"/>
              </w:rPr>
              <w:t>304.317</w:t>
            </w:r>
          </w:p>
        </w:tc>
        <w:tc>
          <w:tcPr>
            <w:tcW w:w="700" w:type="dxa"/>
            <w:tcBorders>
              <w:top w:val="nil"/>
              <w:left w:val="nil"/>
              <w:bottom w:val="single" w:sz="4" w:space="0" w:color="000000"/>
              <w:right w:val="single" w:sz="4" w:space="0" w:color="000000"/>
            </w:tcBorders>
            <w:shd w:val="clear" w:color="FDE9D9" w:fill="FDE9D9"/>
            <w:noWrap/>
            <w:vAlign w:val="center"/>
          </w:tcPr>
          <w:p w14:paraId="0A21F5D5" w14:textId="732F9061" w:rsidR="000F1FA3" w:rsidRDefault="000F1FA3" w:rsidP="000F1FA3">
            <w:pPr>
              <w:rPr>
                <w:rFonts w:ascii="Arial Narrow" w:hAnsi="Arial Narrow" w:cs="Arial"/>
                <w:color w:val="000000"/>
                <w:sz w:val="16"/>
                <w:szCs w:val="16"/>
              </w:rPr>
            </w:pPr>
            <w:r>
              <w:rPr>
                <w:rFonts w:ascii="Arial Narrow" w:hAnsi="Arial Narrow" w:cs="Arial"/>
                <w:color w:val="000000"/>
                <w:sz w:val="16"/>
                <w:szCs w:val="16"/>
              </w:rPr>
              <w:t xml:space="preserve"> 452.189 </w:t>
            </w:r>
          </w:p>
        </w:tc>
        <w:tc>
          <w:tcPr>
            <w:tcW w:w="700" w:type="dxa"/>
            <w:tcBorders>
              <w:top w:val="nil"/>
              <w:left w:val="nil"/>
              <w:bottom w:val="single" w:sz="4" w:space="0" w:color="000000"/>
              <w:right w:val="single" w:sz="4" w:space="0" w:color="000000"/>
            </w:tcBorders>
            <w:shd w:val="clear" w:color="FDE9D9" w:fill="FDE9D9"/>
            <w:noWrap/>
            <w:vAlign w:val="center"/>
          </w:tcPr>
          <w:p w14:paraId="53E0AC38" w14:textId="02C2C01E" w:rsidR="000F1FA3" w:rsidRDefault="000F1FA3" w:rsidP="000F1FA3">
            <w:pPr>
              <w:rPr>
                <w:rFonts w:ascii="Arial Narrow" w:hAnsi="Arial Narrow" w:cs="Arial"/>
                <w:color w:val="000000"/>
                <w:sz w:val="16"/>
                <w:szCs w:val="16"/>
              </w:rPr>
            </w:pPr>
            <w:r>
              <w:rPr>
                <w:rFonts w:ascii="Arial Narrow" w:hAnsi="Arial Narrow" w:cs="Arial"/>
                <w:color w:val="000000"/>
                <w:sz w:val="16"/>
                <w:szCs w:val="16"/>
              </w:rPr>
              <w:t xml:space="preserve"> 485.824 </w:t>
            </w:r>
          </w:p>
        </w:tc>
        <w:tc>
          <w:tcPr>
            <w:tcW w:w="700" w:type="dxa"/>
            <w:tcBorders>
              <w:top w:val="nil"/>
              <w:left w:val="nil"/>
              <w:bottom w:val="single" w:sz="4" w:space="0" w:color="000000"/>
              <w:right w:val="single" w:sz="4" w:space="0" w:color="000000"/>
            </w:tcBorders>
            <w:shd w:val="clear" w:color="FDE9D9" w:fill="FDE9D9"/>
            <w:noWrap/>
            <w:vAlign w:val="center"/>
          </w:tcPr>
          <w:p w14:paraId="6D3BB0E4" w14:textId="04510183" w:rsidR="000F1FA3" w:rsidRDefault="000F1FA3" w:rsidP="000F1FA3">
            <w:pPr>
              <w:rPr>
                <w:rFonts w:ascii="Arial Narrow" w:hAnsi="Arial Narrow" w:cs="Arial"/>
                <w:color w:val="000000"/>
                <w:sz w:val="16"/>
                <w:szCs w:val="16"/>
              </w:rPr>
            </w:pPr>
            <w:r>
              <w:rPr>
                <w:rFonts w:ascii="Arial Narrow" w:hAnsi="Arial Narrow" w:cs="Arial"/>
                <w:color w:val="000000"/>
                <w:sz w:val="16"/>
                <w:szCs w:val="16"/>
              </w:rPr>
              <w:t xml:space="preserve"> 403.607 </w:t>
            </w:r>
          </w:p>
        </w:tc>
        <w:tc>
          <w:tcPr>
            <w:tcW w:w="780" w:type="dxa"/>
            <w:tcBorders>
              <w:top w:val="nil"/>
              <w:left w:val="nil"/>
              <w:bottom w:val="single" w:sz="4" w:space="0" w:color="000000"/>
              <w:right w:val="single" w:sz="4" w:space="0" w:color="000000"/>
            </w:tcBorders>
            <w:shd w:val="clear" w:color="auto" w:fill="auto"/>
            <w:noWrap/>
            <w:vAlign w:val="center"/>
          </w:tcPr>
          <w:p w14:paraId="25FDFEC9" w14:textId="32B3C46D" w:rsidR="000F1FA3" w:rsidRDefault="000F1FA3" w:rsidP="000F1FA3">
            <w:pPr>
              <w:rPr>
                <w:rFonts w:ascii="Arial Narrow" w:hAnsi="Arial Narrow" w:cs="Arial"/>
                <w:color w:val="000000"/>
                <w:sz w:val="16"/>
                <w:szCs w:val="16"/>
              </w:rPr>
            </w:pPr>
            <w:r>
              <w:rPr>
                <w:rFonts w:ascii="Arial Narrow" w:hAnsi="Arial Narrow" w:cs="Arial"/>
                <w:color w:val="000000"/>
                <w:sz w:val="16"/>
                <w:szCs w:val="16"/>
              </w:rPr>
              <w:t xml:space="preserve">   680.196 </w:t>
            </w:r>
          </w:p>
        </w:tc>
        <w:tc>
          <w:tcPr>
            <w:tcW w:w="940" w:type="dxa"/>
            <w:tcBorders>
              <w:top w:val="nil"/>
              <w:left w:val="nil"/>
              <w:bottom w:val="single" w:sz="4" w:space="0" w:color="000000"/>
              <w:right w:val="single" w:sz="4" w:space="0" w:color="000000"/>
            </w:tcBorders>
            <w:shd w:val="clear" w:color="auto" w:fill="auto"/>
            <w:noWrap/>
            <w:vAlign w:val="center"/>
          </w:tcPr>
          <w:p w14:paraId="1C24247C" w14:textId="35835F28" w:rsidR="000F1FA3" w:rsidRDefault="000F1FA3" w:rsidP="000F1FA3">
            <w:pPr>
              <w:rPr>
                <w:rFonts w:ascii="Arial Narrow" w:hAnsi="Arial Narrow" w:cs="Arial"/>
                <w:color w:val="000000"/>
                <w:sz w:val="16"/>
                <w:szCs w:val="16"/>
              </w:rPr>
            </w:pPr>
            <w:r>
              <w:rPr>
                <w:rFonts w:ascii="Arial Narrow" w:hAnsi="Arial Narrow" w:cs="Arial"/>
                <w:color w:val="000000"/>
                <w:sz w:val="16"/>
                <w:szCs w:val="16"/>
              </w:rPr>
              <w:t xml:space="preserve">    1.341.620 </w:t>
            </w:r>
          </w:p>
        </w:tc>
        <w:tc>
          <w:tcPr>
            <w:tcW w:w="860" w:type="dxa"/>
            <w:tcBorders>
              <w:top w:val="nil"/>
              <w:left w:val="nil"/>
              <w:bottom w:val="single" w:sz="4" w:space="0" w:color="000000"/>
              <w:right w:val="single" w:sz="4" w:space="0" w:color="000000"/>
            </w:tcBorders>
            <w:shd w:val="clear" w:color="auto" w:fill="auto"/>
            <w:noWrap/>
            <w:vAlign w:val="center"/>
          </w:tcPr>
          <w:p w14:paraId="31987D1E" w14:textId="0BE65CC3" w:rsidR="000F1FA3" w:rsidRDefault="000F1FA3" w:rsidP="000F1FA3">
            <w:pPr>
              <w:rPr>
                <w:rFonts w:ascii="Arial Narrow" w:hAnsi="Arial Narrow" w:cs="Arial"/>
                <w:color w:val="000000"/>
                <w:sz w:val="16"/>
                <w:szCs w:val="16"/>
              </w:rPr>
            </w:pPr>
            <w:r>
              <w:rPr>
                <w:rFonts w:ascii="Arial Narrow" w:hAnsi="Arial Narrow" w:cs="Arial"/>
                <w:color w:val="000000"/>
                <w:sz w:val="16"/>
                <w:szCs w:val="16"/>
              </w:rPr>
              <w:t xml:space="preserve">     661.424 </w:t>
            </w:r>
          </w:p>
        </w:tc>
      </w:tr>
      <w:tr w:rsidR="000F1FA3" w14:paraId="1FF7E80B" w14:textId="77777777" w:rsidTr="00FB7F11">
        <w:trPr>
          <w:trHeight w:val="255"/>
        </w:trPr>
        <w:tc>
          <w:tcPr>
            <w:tcW w:w="2180" w:type="dxa"/>
            <w:tcBorders>
              <w:top w:val="nil"/>
              <w:left w:val="single" w:sz="4" w:space="0" w:color="000000"/>
              <w:bottom w:val="single" w:sz="4" w:space="0" w:color="000000"/>
              <w:right w:val="single" w:sz="4" w:space="0" w:color="000000"/>
            </w:tcBorders>
            <w:shd w:val="clear" w:color="auto" w:fill="auto"/>
            <w:noWrap/>
            <w:vAlign w:val="center"/>
            <w:hideMark/>
          </w:tcPr>
          <w:p w14:paraId="4A640E86" w14:textId="77777777" w:rsidR="000F1FA3" w:rsidRDefault="000F1FA3" w:rsidP="000F1FA3">
            <w:pPr>
              <w:rPr>
                <w:rFonts w:ascii="Arial Narrow" w:hAnsi="Arial Narrow" w:cs="Arial"/>
                <w:b/>
                <w:bCs/>
                <w:color w:val="000000"/>
                <w:sz w:val="16"/>
                <w:szCs w:val="16"/>
              </w:rPr>
            </w:pPr>
            <w:r>
              <w:rPr>
                <w:rFonts w:ascii="Arial Narrow" w:hAnsi="Arial Narrow" w:cs="Arial"/>
                <w:b/>
                <w:bCs/>
                <w:color w:val="000000"/>
                <w:sz w:val="16"/>
                <w:szCs w:val="16"/>
              </w:rPr>
              <w:t>TOTAL</w:t>
            </w:r>
          </w:p>
        </w:tc>
        <w:tc>
          <w:tcPr>
            <w:tcW w:w="700" w:type="dxa"/>
            <w:tcBorders>
              <w:top w:val="nil"/>
              <w:left w:val="nil"/>
              <w:bottom w:val="single" w:sz="4" w:space="0" w:color="000000"/>
              <w:right w:val="single" w:sz="4" w:space="0" w:color="000000"/>
            </w:tcBorders>
            <w:shd w:val="clear" w:color="DBE5F1" w:fill="DBE5F1"/>
            <w:noWrap/>
            <w:vAlign w:val="center"/>
            <w:hideMark/>
          </w:tcPr>
          <w:p w14:paraId="7B8E026B" w14:textId="77777777" w:rsidR="000F1FA3" w:rsidRPr="00DD166E" w:rsidRDefault="000F1FA3" w:rsidP="000F1FA3">
            <w:pPr>
              <w:rPr>
                <w:rFonts w:ascii="Arial Narrow" w:hAnsi="Arial Narrow" w:cs="Arial"/>
                <w:b/>
                <w:bCs/>
                <w:color w:val="000000"/>
                <w:sz w:val="16"/>
                <w:szCs w:val="16"/>
              </w:rPr>
            </w:pPr>
            <w:r w:rsidRPr="00DD166E">
              <w:rPr>
                <w:rFonts w:ascii="Arial Narrow" w:hAnsi="Arial Narrow" w:cs="Arial"/>
                <w:b/>
                <w:bCs/>
                <w:color w:val="000000"/>
                <w:sz w:val="16"/>
                <w:szCs w:val="16"/>
              </w:rPr>
              <w:t xml:space="preserve">         -   </w:t>
            </w:r>
          </w:p>
        </w:tc>
        <w:tc>
          <w:tcPr>
            <w:tcW w:w="700" w:type="dxa"/>
            <w:tcBorders>
              <w:top w:val="nil"/>
              <w:left w:val="nil"/>
              <w:bottom w:val="single" w:sz="4" w:space="0" w:color="000000"/>
              <w:right w:val="single" w:sz="4" w:space="0" w:color="000000"/>
            </w:tcBorders>
            <w:shd w:val="clear" w:color="DBE5F1" w:fill="DBE5F1"/>
            <w:noWrap/>
            <w:vAlign w:val="center"/>
            <w:hideMark/>
          </w:tcPr>
          <w:p w14:paraId="11FFB79D" w14:textId="77777777" w:rsidR="000F1FA3" w:rsidRPr="00DD166E" w:rsidRDefault="000F1FA3" w:rsidP="000F1FA3">
            <w:pPr>
              <w:jc w:val="center"/>
              <w:rPr>
                <w:rFonts w:ascii="Arial Narrow" w:hAnsi="Arial Narrow" w:cs="Arial"/>
                <w:b/>
                <w:bCs/>
                <w:color w:val="000000"/>
                <w:sz w:val="16"/>
                <w:szCs w:val="16"/>
              </w:rPr>
            </w:pPr>
            <w:r w:rsidRPr="00DD166E">
              <w:rPr>
                <w:rFonts w:ascii="Arial Narrow" w:hAnsi="Arial Narrow" w:cs="Arial"/>
                <w:b/>
                <w:bCs/>
                <w:color w:val="000000"/>
                <w:sz w:val="16"/>
                <w:szCs w:val="16"/>
              </w:rPr>
              <w:t>375.879</w:t>
            </w:r>
          </w:p>
        </w:tc>
        <w:tc>
          <w:tcPr>
            <w:tcW w:w="700" w:type="dxa"/>
            <w:tcBorders>
              <w:top w:val="nil"/>
              <w:left w:val="nil"/>
              <w:bottom w:val="single" w:sz="4" w:space="0" w:color="000000"/>
              <w:right w:val="single" w:sz="4" w:space="0" w:color="000000"/>
            </w:tcBorders>
            <w:shd w:val="clear" w:color="DBE5F1" w:fill="DBE5F1"/>
            <w:noWrap/>
            <w:vAlign w:val="center"/>
            <w:hideMark/>
          </w:tcPr>
          <w:p w14:paraId="1A33B583" w14:textId="77777777" w:rsidR="000F1FA3" w:rsidRPr="00DD166E" w:rsidRDefault="000F1FA3" w:rsidP="000F1FA3">
            <w:pPr>
              <w:jc w:val="center"/>
              <w:rPr>
                <w:rFonts w:ascii="Arial Narrow" w:hAnsi="Arial Narrow" w:cs="Arial"/>
                <w:b/>
                <w:bCs/>
                <w:color w:val="000000"/>
                <w:sz w:val="16"/>
                <w:szCs w:val="16"/>
              </w:rPr>
            </w:pPr>
            <w:r w:rsidRPr="00DD166E">
              <w:rPr>
                <w:rFonts w:ascii="Arial Narrow" w:hAnsi="Arial Narrow" w:cs="Arial"/>
                <w:b/>
                <w:bCs/>
                <w:color w:val="000000"/>
                <w:sz w:val="16"/>
                <w:szCs w:val="16"/>
              </w:rPr>
              <w:t>304.317</w:t>
            </w:r>
          </w:p>
        </w:tc>
        <w:tc>
          <w:tcPr>
            <w:tcW w:w="700" w:type="dxa"/>
            <w:tcBorders>
              <w:top w:val="nil"/>
              <w:left w:val="nil"/>
              <w:bottom w:val="single" w:sz="4" w:space="0" w:color="000000"/>
              <w:right w:val="single" w:sz="4" w:space="0" w:color="000000"/>
            </w:tcBorders>
            <w:shd w:val="clear" w:color="FDE9D9" w:fill="FDE9D9"/>
            <w:noWrap/>
            <w:vAlign w:val="center"/>
          </w:tcPr>
          <w:p w14:paraId="4CC73443" w14:textId="1F814AC2" w:rsidR="000F1FA3" w:rsidRPr="00DD166E" w:rsidRDefault="000F1FA3" w:rsidP="000F1FA3">
            <w:pPr>
              <w:rPr>
                <w:rFonts w:ascii="Arial Narrow" w:hAnsi="Arial Narrow" w:cs="Arial"/>
                <w:b/>
                <w:bCs/>
                <w:color w:val="000000"/>
                <w:sz w:val="16"/>
                <w:szCs w:val="16"/>
              </w:rPr>
            </w:pPr>
            <w:r>
              <w:rPr>
                <w:rFonts w:ascii="Arial Narrow" w:hAnsi="Arial Narrow" w:cs="Arial"/>
                <w:b/>
                <w:bCs/>
                <w:color w:val="000000"/>
                <w:sz w:val="16"/>
                <w:szCs w:val="16"/>
              </w:rPr>
              <w:t xml:space="preserve"> 452.189 </w:t>
            </w:r>
          </w:p>
        </w:tc>
        <w:tc>
          <w:tcPr>
            <w:tcW w:w="700" w:type="dxa"/>
            <w:tcBorders>
              <w:top w:val="nil"/>
              <w:left w:val="nil"/>
              <w:bottom w:val="single" w:sz="4" w:space="0" w:color="000000"/>
              <w:right w:val="single" w:sz="4" w:space="0" w:color="000000"/>
            </w:tcBorders>
            <w:shd w:val="clear" w:color="FDE9D9" w:fill="FDE9D9"/>
            <w:noWrap/>
            <w:vAlign w:val="center"/>
          </w:tcPr>
          <w:p w14:paraId="112CC7BC" w14:textId="3E1DA482" w:rsidR="000F1FA3" w:rsidRPr="00DD166E" w:rsidRDefault="000F1FA3" w:rsidP="000F1FA3">
            <w:pPr>
              <w:rPr>
                <w:rFonts w:ascii="Arial Narrow" w:hAnsi="Arial Narrow" w:cs="Arial"/>
                <w:b/>
                <w:bCs/>
                <w:color w:val="000000"/>
                <w:sz w:val="16"/>
                <w:szCs w:val="16"/>
              </w:rPr>
            </w:pPr>
            <w:r>
              <w:rPr>
                <w:rFonts w:ascii="Arial Narrow" w:hAnsi="Arial Narrow" w:cs="Arial"/>
                <w:b/>
                <w:bCs/>
                <w:color w:val="000000"/>
                <w:sz w:val="16"/>
                <w:szCs w:val="16"/>
              </w:rPr>
              <w:t xml:space="preserve"> 485.824 </w:t>
            </w:r>
          </w:p>
        </w:tc>
        <w:tc>
          <w:tcPr>
            <w:tcW w:w="700" w:type="dxa"/>
            <w:tcBorders>
              <w:top w:val="nil"/>
              <w:left w:val="nil"/>
              <w:bottom w:val="single" w:sz="4" w:space="0" w:color="000000"/>
              <w:right w:val="single" w:sz="4" w:space="0" w:color="000000"/>
            </w:tcBorders>
            <w:shd w:val="clear" w:color="FDE9D9" w:fill="FDE9D9"/>
            <w:noWrap/>
            <w:vAlign w:val="center"/>
          </w:tcPr>
          <w:p w14:paraId="7DF71F28" w14:textId="123CD344" w:rsidR="000F1FA3" w:rsidRPr="00DD166E" w:rsidRDefault="000F1FA3" w:rsidP="000F1FA3">
            <w:pPr>
              <w:rPr>
                <w:rFonts w:ascii="Arial Narrow" w:hAnsi="Arial Narrow" w:cs="Arial"/>
                <w:b/>
                <w:bCs/>
                <w:color w:val="000000"/>
                <w:sz w:val="16"/>
                <w:szCs w:val="16"/>
              </w:rPr>
            </w:pPr>
            <w:r>
              <w:rPr>
                <w:rFonts w:ascii="Arial Narrow" w:hAnsi="Arial Narrow" w:cs="Arial"/>
                <w:b/>
                <w:bCs/>
                <w:color w:val="000000"/>
                <w:sz w:val="16"/>
                <w:szCs w:val="16"/>
              </w:rPr>
              <w:t xml:space="preserve"> 403.607 </w:t>
            </w:r>
          </w:p>
        </w:tc>
        <w:tc>
          <w:tcPr>
            <w:tcW w:w="780" w:type="dxa"/>
            <w:tcBorders>
              <w:top w:val="nil"/>
              <w:left w:val="nil"/>
              <w:bottom w:val="single" w:sz="4" w:space="0" w:color="000000"/>
              <w:right w:val="single" w:sz="4" w:space="0" w:color="000000"/>
            </w:tcBorders>
            <w:shd w:val="clear" w:color="auto" w:fill="auto"/>
            <w:noWrap/>
            <w:vAlign w:val="center"/>
          </w:tcPr>
          <w:p w14:paraId="0C7333A7" w14:textId="4281887B" w:rsidR="000F1FA3" w:rsidRPr="00DD166E" w:rsidRDefault="000F1FA3" w:rsidP="000F1FA3">
            <w:pPr>
              <w:rPr>
                <w:rFonts w:ascii="Arial Narrow" w:hAnsi="Arial Narrow" w:cs="Arial"/>
                <w:b/>
                <w:bCs/>
                <w:color w:val="000000"/>
                <w:sz w:val="16"/>
                <w:szCs w:val="16"/>
              </w:rPr>
            </w:pPr>
            <w:r>
              <w:rPr>
                <w:rFonts w:ascii="Arial Narrow" w:hAnsi="Arial Narrow" w:cs="Arial"/>
                <w:b/>
                <w:bCs/>
                <w:color w:val="000000"/>
                <w:sz w:val="16"/>
                <w:szCs w:val="16"/>
              </w:rPr>
              <w:t xml:space="preserve">   680.196 </w:t>
            </w:r>
          </w:p>
        </w:tc>
        <w:tc>
          <w:tcPr>
            <w:tcW w:w="940" w:type="dxa"/>
            <w:tcBorders>
              <w:top w:val="nil"/>
              <w:left w:val="nil"/>
              <w:bottom w:val="single" w:sz="4" w:space="0" w:color="000000"/>
              <w:right w:val="single" w:sz="4" w:space="0" w:color="000000"/>
            </w:tcBorders>
            <w:shd w:val="clear" w:color="auto" w:fill="auto"/>
            <w:noWrap/>
            <w:vAlign w:val="center"/>
          </w:tcPr>
          <w:p w14:paraId="3A91335C" w14:textId="7E5DBA09" w:rsidR="000F1FA3" w:rsidRPr="00DD166E" w:rsidRDefault="000F1FA3" w:rsidP="000F1FA3">
            <w:pPr>
              <w:rPr>
                <w:rFonts w:ascii="Arial Narrow" w:hAnsi="Arial Narrow" w:cs="Arial"/>
                <w:b/>
                <w:bCs/>
                <w:color w:val="000000"/>
                <w:sz w:val="16"/>
                <w:szCs w:val="16"/>
              </w:rPr>
            </w:pPr>
            <w:r>
              <w:rPr>
                <w:rFonts w:ascii="Arial Narrow" w:hAnsi="Arial Narrow" w:cs="Arial"/>
                <w:b/>
                <w:bCs/>
                <w:color w:val="000000"/>
                <w:sz w:val="16"/>
                <w:szCs w:val="16"/>
              </w:rPr>
              <w:t xml:space="preserve">    1.341.620 </w:t>
            </w:r>
          </w:p>
        </w:tc>
        <w:tc>
          <w:tcPr>
            <w:tcW w:w="860" w:type="dxa"/>
            <w:tcBorders>
              <w:top w:val="nil"/>
              <w:left w:val="nil"/>
              <w:bottom w:val="single" w:sz="4" w:space="0" w:color="000000"/>
              <w:right w:val="single" w:sz="4" w:space="0" w:color="000000"/>
            </w:tcBorders>
            <w:shd w:val="clear" w:color="auto" w:fill="auto"/>
            <w:noWrap/>
            <w:vAlign w:val="center"/>
          </w:tcPr>
          <w:p w14:paraId="6F6C11E8" w14:textId="6CB6E5ED" w:rsidR="000F1FA3" w:rsidRPr="00DD166E" w:rsidRDefault="000F1FA3" w:rsidP="000F1FA3">
            <w:pPr>
              <w:rPr>
                <w:rFonts w:ascii="Arial Narrow" w:hAnsi="Arial Narrow" w:cs="Arial"/>
                <w:b/>
                <w:bCs/>
                <w:color w:val="000000"/>
                <w:sz w:val="16"/>
                <w:szCs w:val="16"/>
              </w:rPr>
            </w:pPr>
            <w:r>
              <w:rPr>
                <w:rFonts w:ascii="Arial Narrow" w:hAnsi="Arial Narrow" w:cs="Arial"/>
                <w:b/>
                <w:bCs/>
                <w:color w:val="000000"/>
                <w:sz w:val="16"/>
                <w:szCs w:val="16"/>
              </w:rPr>
              <w:t xml:space="preserve">     661.424 </w:t>
            </w:r>
          </w:p>
        </w:tc>
      </w:tr>
    </w:tbl>
    <w:p w14:paraId="048DC418" w14:textId="77777777" w:rsidR="000F1FA3" w:rsidRPr="00103BE8" w:rsidRDefault="000F1FA3" w:rsidP="000F1FA3">
      <w:pPr>
        <w:jc w:val="both"/>
        <w:rPr>
          <w:rFonts w:cs="Arial"/>
          <w:color w:val="000000"/>
          <w:szCs w:val="22"/>
          <w:highlight w:val="yellow"/>
        </w:rPr>
      </w:pPr>
    </w:p>
    <w:p w14:paraId="4DA874E1" w14:textId="77777777" w:rsidR="000F1FA3" w:rsidRPr="00EE5E7A" w:rsidRDefault="000F1FA3" w:rsidP="000F1FA3">
      <w:pPr>
        <w:jc w:val="both"/>
        <w:rPr>
          <w:rFonts w:cs="Arial"/>
          <w:color w:val="000000"/>
          <w:szCs w:val="22"/>
        </w:rPr>
      </w:pPr>
      <w:r w:rsidRPr="00EE5E7A">
        <w:rPr>
          <w:rFonts w:cs="Arial"/>
          <w:color w:val="000000"/>
          <w:szCs w:val="22"/>
        </w:rPr>
        <w:t>Es importante resaltar que de acuerdo con lo informado por Talento Humano y lo corroborado en las planillas, los pagos realizados por horas extras son los que se relacionan a continuación:</w:t>
      </w:r>
    </w:p>
    <w:p w14:paraId="5298C35D" w14:textId="77777777" w:rsidR="000F1FA3" w:rsidRPr="00103BE8" w:rsidRDefault="000F1FA3" w:rsidP="000F1FA3">
      <w:pPr>
        <w:ind w:left="-6"/>
        <w:jc w:val="both"/>
        <w:rPr>
          <w:rFonts w:cs="Arial"/>
          <w:highlight w:val="yellow"/>
        </w:rPr>
      </w:pPr>
    </w:p>
    <w:tbl>
      <w:tblPr>
        <w:tblW w:w="8640" w:type="dxa"/>
        <w:jc w:val="center"/>
        <w:tblCellMar>
          <w:left w:w="70" w:type="dxa"/>
          <w:right w:w="70" w:type="dxa"/>
        </w:tblCellMar>
        <w:tblLook w:val="04A0" w:firstRow="1" w:lastRow="0" w:firstColumn="1" w:lastColumn="0" w:noHBand="0" w:noVBand="1"/>
      </w:tblPr>
      <w:tblGrid>
        <w:gridCol w:w="2400"/>
        <w:gridCol w:w="459"/>
        <w:gridCol w:w="459"/>
        <w:gridCol w:w="581"/>
        <w:gridCol w:w="581"/>
        <w:gridCol w:w="459"/>
        <w:gridCol w:w="459"/>
        <w:gridCol w:w="581"/>
        <w:gridCol w:w="581"/>
        <w:gridCol w:w="459"/>
        <w:gridCol w:w="459"/>
        <w:gridCol w:w="581"/>
        <w:gridCol w:w="581"/>
      </w:tblGrid>
      <w:tr w:rsidR="000F1FA3" w:rsidRPr="008D1378" w14:paraId="022CD5CF" w14:textId="77777777" w:rsidTr="00FB7F11">
        <w:trPr>
          <w:trHeight w:val="330"/>
          <w:jc w:val="center"/>
        </w:trPr>
        <w:tc>
          <w:tcPr>
            <w:tcW w:w="2400" w:type="dxa"/>
            <w:vMerge w:val="restart"/>
            <w:tcBorders>
              <w:top w:val="single" w:sz="4" w:space="0" w:color="000000"/>
              <w:left w:val="single" w:sz="4" w:space="0" w:color="000000"/>
              <w:bottom w:val="single" w:sz="4" w:space="0" w:color="000000"/>
              <w:right w:val="single" w:sz="4" w:space="0" w:color="000000"/>
            </w:tcBorders>
            <w:shd w:val="clear" w:color="CCC0DA" w:fill="CCC0DA"/>
            <w:noWrap/>
            <w:vAlign w:val="center"/>
            <w:hideMark/>
          </w:tcPr>
          <w:p w14:paraId="498BA8A4"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NOMBRES</w:t>
            </w:r>
          </w:p>
        </w:tc>
        <w:tc>
          <w:tcPr>
            <w:tcW w:w="2080"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0DD17DF6"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OCTUBRE</w:t>
            </w:r>
          </w:p>
        </w:tc>
        <w:tc>
          <w:tcPr>
            <w:tcW w:w="2080"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38DA0CCD"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NOVIEMBRE</w:t>
            </w:r>
          </w:p>
        </w:tc>
        <w:tc>
          <w:tcPr>
            <w:tcW w:w="2080" w:type="dxa"/>
            <w:gridSpan w:val="4"/>
            <w:tcBorders>
              <w:top w:val="single" w:sz="4" w:space="0" w:color="000000"/>
              <w:left w:val="nil"/>
              <w:bottom w:val="single" w:sz="4" w:space="0" w:color="000000"/>
              <w:right w:val="single" w:sz="4" w:space="0" w:color="000000"/>
            </w:tcBorders>
            <w:shd w:val="clear" w:color="CCC0DA" w:fill="CCC0DA"/>
            <w:noWrap/>
            <w:vAlign w:val="center"/>
            <w:hideMark/>
          </w:tcPr>
          <w:p w14:paraId="2029E46C"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DICIEMBRE</w:t>
            </w:r>
          </w:p>
        </w:tc>
      </w:tr>
      <w:tr w:rsidR="000F1FA3" w:rsidRPr="008D1378" w14:paraId="7B0F83F6" w14:textId="77777777" w:rsidTr="00FB7F11">
        <w:trPr>
          <w:trHeight w:val="330"/>
          <w:jc w:val="center"/>
        </w:trPr>
        <w:tc>
          <w:tcPr>
            <w:tcW w:w="2400" w:type="dxa"/>
            <w:vMerge/>
            <w:tcBorders>
              <w:top w:val="single" w:sz="4" w:space="0" w:color="000000"/>
              <w:left w:val="single" w:sz="4" w:space="0" w:color="000000"/>
              <w:bottom w:val="single" w:sz="4" w:space="0" w:color="000000"/>
              <w:right w:val="single" w:sz="4" w:space="0" w:color="000000"/>
            </w:tcBorders>
            <w:vAlign w:val="center"/>
            <w:hideMark/>
          </w:tcPr>
          <w:p w14:paraId="0D13201F" w14:textId="77777777" w:rsidR="000F1FA3" w:rsidRPr="008D1378" w:rsidRDefault="000F1FA3" w:rsidP="00FB7F11">
            <w:pPr>
              <w:rPr>
                <w:rFonts w:ascii="Arial Narrow" w:eastAsia="Times New Roman" w:hAnsi="Arial Narrow" w:cs="Arial"/>
                <w:b/>
                <w:bCs/>
                <w:color w:val="000000"/>
                <w:sz w:val="18"/>
                <w:szCs w:val="20"/>
                <w:lang w:val="es-MX" w:eastAsia="es-MX"/>
              </w:rPr>
            </w:pPr>
          </w:p>
        </w:tc>
        <w:tc>
          <w:tcPr>
            <w:tcW w:w="459" w:type="dxa"/>
            <w:tcBorders>
              <w:top w:val="nil"/>
              <w:left w:val="nil"/>
              <w:bottom w:val="nil"/>
              <w:right w:val="single" w:sz="4" w:space="0" w:color="000000"/>
            </w:tcBorders>
            <w:shd w:val="clear" w:color="CCC0DA" w:fill="CCC0DA"/>
            <w:noWrap/>
            <w:vAlign w:val="center"/>
            <w:hideMark/>
          </w:tcPr>
          <w:p w14:paraId="31C40867"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w:t>
            </w:r>
          </w:p>
        </w:tc>
        <w:tc>
          <w:tcPr>
            <w:tcW w:w="459" w:type="dxa"/>
            <w:tcBorders>
              <w:top w:val="nil"/>
              <w:left w:val="nil"/>
              <w:bottom w:val="nil"/>
              <w:right w:val="single" w:sz="4" w:space="0" w:color="000000"/>
            </w:tcBorders>
            <w:shd w:val="clear" w:color="CCC0DA" w:fill="CCC0DA"/>
            <w:noWrap/>
            <w:vAlign w:val="center"/>
            <w:hideMark/>
          </w:tcPr>
          <w:p w14:paraId="4883184C"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w:t>
            </w:r>
          </w:p>
        </w:tc>
        <w:tc>
          <w:tcPr>
            <w:tcW w:w="581" w:type="dxa"/>
            <w:tcBorders>
              <w:top w:val="nil"/>
              <w:left w:val="nil"/>
              <w:bottom w:val="nil"/>
              <w:right w:val="single" w:sz="4" w:space="0" w:color="000000"/>
            </w:tcBorders>
            <w:shd w:val="clear" w:color="CCC0DA" w:fill="CCC0DA"/>
            <w:noWrap/>
            <w:vAlign w:val="center"/>
            <w:hideMark/>
          </w:tcPr>
          <w:p w14:paraId="6847F1BD"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HEDF</w:t>
            </w:r>
          </w:p>
        </w:tc>
        <w:tc>
          <w:tcPr>
            <w:tcW w:w="581" w:type="dxa"/>
            <w:tcBorders>
              <w:top w:val="nil"/>
              <w:left w:val="nil"/>
              <w:bottom w:val="nil"/>
              <w:right w:val="single" w:sz="4" w:space="0" w:color="000000"/>
            </w:tcBorders>
            <w:shd w:val="clear" w:color="CCC0DA" w:fill="CCC0DA"/>
            <w:noWrap/>
            <w:vAlign w:val="center"/>
            <w:hideMark/>
          </w:tcPr>
          <w:p w14:paraId="2B11C4D1"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HENF</w:t>
            </w:r>
          </w:p>
        </w:tc>
        <w:tc>
          <w:tcPr>
            <w:tcW w:w="459" w:type="dxa"/>
            <w:tcBorders>
              <w:top w:val="nil"/>
              <w:left w:val="nil"/>
              <w:bottom w:val="nil"/>
              <w:right w:val="single" w:sz="4" w:space="0" w:color="000000"/>
            </w:tcBorders>
            <w:shd w:val="clear" w:color="CCC0DA" w:fill="CCC0DA"/>
            <w:noWrap/>
            <w:vAlign w:val="center"/>
            <w:hideMark/>
          </w:tcPr>
          <w:p w14:paraId="63B841A4"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w:t>
            </w:r>
          </w:p>
        </w:tc>
        <w:tc>
          <w:tcPr>
            <w:tcW w:w="459" w:type="dxa"/>
            <w:tcBorders>
              <w:top w:val="nil"/>
              <w:left w:val="nil"/>
              <w:bottom w:val="nil"/>
              <w:right w:val="single" w:sz="4" w:space="0" w:color="000000"/>
            </w:tcBorders>
            <w:shd w:val="clear" w:color="CCC0DA" w:fill="CCC0DA"/>
            <w:noWrap/>
            <w:vAlign w:val="center"/>
            <w:hideMark/>
          </w:tcPr>
          <w:p w14:paraId="2EBB27DE"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w:t>
            </w:r>
          </w:p>
        </w:tc>
        <w:tc>
          <w:tcPr>
            <w:tcW w:w="581" w:type="dxa"/>
            <w:tcBorders>
              <w:top w:val="nil"/>
              <w:left w:val="nil"/>
              <w:bottom w:val="nil"/>
              <w:right w:val="single" w:sz="4" w:space="0" w:color="000000"/>
            </w:tcBorders>
            <w:shd w:val="clear" w:color="CCC0DA" w:fill="CCC0DA"/>
            <w:noWrap/>
            <w:vAlign w:val="center"/>
            <w:hideMark/>
          </w:tcPr>
          <w:p w14:paraId="5CF529B7"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HEDF</w:t>
            </w:r>
          </w:p>
        </w:tc>
        <w:tc>
          <w:tcPr>
            <w:tcW w:w="581" w:type="dxa"/>
            <w:tcBorders>
              <w:top w:val="nil"/>
              <w:left w:val="nil"/>
              <w:bottom w:val="nil"/>
              <w:right w:val="single" w:sz="4" w:space="0" w:color="000000"/>
            </w:tcBorders>
            <w:shd w:val="clear" w:color="CCC0DA" w:fill="CCC0DA"/>
            <w:noWrap/>
            <w:vAlign w:val="center"/>
            <w:hideMark/>
          </w:tcPr>
          <w:p w14:paraId="444E48EB"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HENF</w:t>
            </w:r>
          </w:p>
        </w:tc>
        <w:tc>
          <w:tcPr>
            <w:tcW w:w="459" w:type="dxa"/>
            <w:tcBorders>
              <w:top w:val="nil"/>
              <w:left w:val="nil"/>
              <w:bottom w:val="nil"/>
              <w:right w:val="single" w:sz="4" w:space="0" w:color="000000"/>
            </w:tcBorders>
            <w:shd w:val="clear" w:color="CCC0DA" w:fill="CCC0DA"/>
            <w:noWrap/>
            <w:vAlign w:val="center"/>
            <w:hideMark/>
          </w:tcPr>
          <w:p w14:paraId="0A502761"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w:t>
            </w:r>
          </w:p>
        </w:tc>
        <w:tc>
          <w:tcPr>
            <w:tcW w:w="459" w:type="dxa"/>
            <w:tcBorders>
              <w:top w:val="nil"/>
              <w:left w:val="nil"/>
              <w:bottom w:val="nil"/>
              <w:right w:val="single" w:sz="4" w:space="0" w:color="000000"/>
            </w:tcBorders>
            <w:shd w:val="clear" w:color="CCC0DA" w:fill="CCC0DA"/>
            <w:noWrap/>
            <w:vAlign w:val="center"/>
            <w:hideMark/>
          </w:tcPr>
          <w:p w14:paraId="40037D12"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w:t>
            </w:r>
          </w:p>
        </w:tc>
        <w:tc>
          <w:tcPr>
            <w:tcW w:w="581" w:type="dxa"/>
            <w:tcBorders>
              <w:top w:val="nil"/>
              <w:left w:val="nil"/>
              <w:bottom w:val="nil"/>
              <w:right w:val="single" w:sz="4" w:space="0" w:color="000000"/>
            </w:tcBorders>
            <w:shd w:val="clear" w:color="CCC0DA" w:fill="CCC0DA"/>
            <w:noWrap/>
            <w:vAlign w:val="center"/>
            <w:hideMark/>
          </w:tcPr>
          <w:p w14:paraId="60E1E44B"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HEDF</w:t>
            </w:r>
          </w:p>
        </w:tc>
        <w:tc>
          <w:tcPr>
            <w:tcW w:w="581" w:type="dxa"/>
            <w:tcBorders>
              <w:top w:val="nil"/>
              <w:left w:val="nil"/>
              <w:bottom w:val="nil"/>
              <w:right w:val="single" w:sz="4" w:space="0" w:color="000000"/>
            </w:tcBorders>
            <w:shd w:val="clear" w:color="CCC0DA" w:fill="CCC0DA"/>
            <w:noWrap/>
            <w:vAlign w:val="center"/>
            <w:hideMark/>
          </w:tcPr>
          <w:p w14:paraId="54FFF965" w14:textId="77777777" w:rsidR="000F1FA3" w:rsidRPr="008D1378" w:rsidRDefault="000F1FA3" w:rsidP="00FB7F11">
            <w:pPr>
              <w:jc w:val="center"/>
              <w:rPr>
                <w:rFonts w:ascii="Arial Narrow" w:eastAsia="Times New Roman" w:hAnsi="Arial Narrow" w:cs="Arial"/>
                <w:b/>
                <w:bCs/>
                <w:color w:val="000000"/>
                <w:sz w:val="18"/>
                <w:szCs w:val="20"/>
                <w:lang w:val="es-MX" w:eastAsia="es-MX"/>
              </w:rPr>
            </w:pPr>
            <w:r w:rsidRPr="008D1378">
              <w:rPr>
                <w:rFonts w:ascii="Arial Narrow" w:eastAsia="Times New Roman" w:hAnsi="Arial Narrow" w:cs="Arial"/>
                <w:b/>
                <w:bCs/>
                <w:color w:val="000000"/>
                <w:sz w:val="18"/>
                <w:szCs w:val="20"/>
                <w:lang w:val="es-MX" w:eastAsia="es-MX"/>
              </w:rPr>
              <w:t>HENF</w:t>
            </w:r>
          </w:p>
        </w:tc>
      </w:tr>
      <w:tr w:rsidR="000F1FA3" w:rsidRPr="008D1378" w14:paraId="534976B7" w14:textId="77777777" w:rsidTr="00FB7F11">
        <w:trPr>
          <w:trHeight w:val="330"/>
          <w:jc w:val="center"/>
        </w:trPr>
        <w:tc>
          <w:tcPr>
            <w:tcW w:w="2400" w:type="dxa"/>
            <w:tcBorders>
              <w:top w:val="nil"/>
              <w:left w:val="single" w:sz="4" w:space="0" w:color="000000"/>
              <w:bottom w:val="single" w:sz="4" w:space="0" w:color="000000"/>
              <w:right w:val="single" w:sz="4" w:space="0" w:color="000000"/>
            </w:tcBorders>
            <w:shd w:val="clear" w:color="auto" w:fill="auto"/>
            <w:noWrap/>
            <w:vAlign w:val="bottom"/>
            <w:hideMark/>
          </w:tcPr>
          <w:p w14:paraId="1D466044" w14:textId="77777777" w:rsidR="000F1FA3" w:rsidRPr="008D1378" w:rsidRDefault="000F1FA3" w:rsidP="00FB7F11">
            <w:pPr>
              <w:rPr>
                <w:rFonts w:ascii="Arial Narrow" w:eastAsia="Times New Roman" w:hAnsi="Arial Narrow" w:cs="Arial"/>
                <w:color w:val="000000"/>
                <w:sz w:val="18"/>
                <w:szCs w:val="22"/>
                <w:lang w:val="es-MX" w:eastAsia="es-MX"/>
              </w:rPr>
            </w:pPr>
            <w:r>
              <w:rPr>
                <w:rFonts w:ascii="Arial Narrow" w:eastAsia="Times New Roman" w:hAnsi="Arial Narrow" w:cs="Arial"/>
                <w:color w:val="000000"/>
                <w:sz w:val="18"/>
                <w:szCs w:val="22"/>
                <w:lang w:val="es-MX" w:eastAsia="es-MX"/>
              </w:rPr>
              <w:t>Edicson Alberto Sánchez Ramírez</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2FE7D9C2" w14:textId="77777777" w:rsidR="000F1FA3" w:rsidRPr="008D1378" w:rsidRDefault="000F1FA3" w:rsidP="00FB7F11">
            <w:pPr>
              <w:jc w:val="center"/>
              <w:rPr>
                <w:rFonts w:ascii="Arial Narrow" w:eastAsia="Times New Roman" w:hAnsi="Arial Narrow" w:cs="Arial"/>
                <w:color w:val="000000"/>
                <w:sz w:val="18"/>
                <w:szCs w:val="22"/>
                <w:lang w:val="es-MX" w:eastAsia="es-MX"/>
              </w:rPr>
            </w:pPr>
            <w:r>
              <w:rPr>
                <w:rFonts w:ascii="Arial Narrow" w:eastAsia="Times New Roman" w:hAnsi="Arial Narrow" w:cs="Arial"/>
                <w:color w:val="000000"/>
                <w:sz w:val="18"/>
                <w:szCs w:val="22"/>
                <w:lang w:val="es-MX" w:eastAsia="es-MX"/>
              </w:rPr>
              <w:t>19</w:t>
            </w:r>
            <w:r w:rsidRPr="008D1378">
              <w:rPr>
                <w:rFonts w:ascii="Arial Narrow" w:eastAsia="Times New Roman" w:hAnsi="Arial Narrow" w:cs="Arial"/>
                <w:color w:val="000000"/>
                <w:sz w:val="18"/>
                <w:szCs w:val="22"/>
                <w:lang w:val="es-MX" w:eastAsia="es-MX"/>
              </w:rPr>
              <w:t> </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6C99C522" w14:textId="77777777" w:rsidR="000F1FA3" w:rsidRPr="008D1378" w:rsidRDefault="000F1FA3" w:rsidP="00FB7F11">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r>
              <w:rPr>
                <w:rFonts w:ascii="Arial Narrow" w:eastAsia="Times New Roman" w:hAnsi="Arial Narrow" w:cs="Arial"/>
                <w:color w:val="000000"/>
                <w:sz w:val="18"/>
                <w:szCs w:val="22"/>
                <w:lang w:val="es-MX" w:eastAsia="es-MX"/>
              </w:rPr>
              <w:t>21</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22CAB80" w14:textId="77777777" w:rsidR="000F1FA3" w:rsidRPr="008D1378" w:rsidRDefault="000F1FA3" w:rsidP="00FB7F11">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66BC3AF8" w14:textId="77777777" w:rsidR="000F1FA3" w:rsidRPr="008D1378" w:rsidRDefault="000F1FA3" w:rsidP="00FB7F11">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5E2F2464" w14:textId="77777777" w:rsidR="000F1FA3" w:rsidRPr="008D1378" w:rsidRDefault="000F1FA3" w:rsidP="00FB7F11">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r>
              <w:rPr>
                <w:rFonts w:ascii="Arial Narrow" w:eastAsia="Times New Roman" w:hAnsi="Arial Narrow" w:cs="Arial"/>
                <w:color w:val="000000"/>
                <w:sz w:val="18"/>
                <w:szCs w:val="22"/>
                <w:lang w:val="es-MX" w:eastAsia="es-MX"/>
              </w:rPr>
              <w:t>10</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51940A89" w14:textId="77777777" w:rsidR="000F1FA3" w:rsidRPr="008D1378" w:rsidRDefault="000F1FA3" w:rsidP="00FB7F11">
            <w:pPr>
              <w:jc w:val="center"/>
              <w:rPr>
                <w:rFonts w:ascii="Arial Narrow" w:eastAsia="Times New Roman" w:hAnsi="Arial Narrow" w:cs="Arial"/>
                <w:color w:val="000000"/>
                <w:sz w:val="18"/>
                <w:szCs w:val="22"/>
                <w:lang w:val="es-MX" w:eastAsia="es-MX"/>
              </w:rPr>
            </w:pPr>
            <w:r>
              <w:rPr>
                <w:rFonts w:ascii="Arial Narrow" w:eastAsia="Times New Roman" w:hAnsi="Arial Narrow" w:cs="Arial"/>
                <w:color w:val="000000"/>
                <w:sz w:val="18"/>
                <w:szCs w:val="22"/>
                <w:lang w:val="es-MX" w:eastAsia="es-MX"/>
              </w:rPr>
              <w:t>30</w:t>
            </w: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37650D6D" w14:textId="77777777" w:rsidR="000F1FA3" w:rsidRPr="008D1378" w:rsidRDefault="000F1FA3" w:rsidP="00FB7F11">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3AC0D867" w14:textId="77777777" w:rsidR="000F1FA3" w:rsidRPr="008D1378" w:rsidRDefault="000F1FA3" w:rsidP="00FB7F11">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133ABE0A" w14:textId="77777777" w:rsidR="000F1FA3" w:rsidRPr="008D1378" w:rsidRDefault="000F1FA3" w:rsidP="00FB7F11">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r>
              <w:rPr>
                <w:rFonts w:ascii="Arial Narrow" w:eastAsia="Times New Roman" w:hAnsi="Arial Narrow" w:cs="Arial"/>
                <w:color w:val="000000"/>
                <w:sz w:val="18"/>
                <w:szCs w:val="22"/>
                <w:lang w:val="es-MX" w:eastAsia="es-MX"/>
              </w:rPr>
              <w:t>12</w:t>
            </w:r>
          </w:p>
        </w:tc>
        <w:tc>
          <w:tcPr>
            <w:tcW w:w="459" w:type="dxa"/>
            <w:tcBorders>
              <w:top w:val="single" w:sz="4" w:space="0" w:color="auto"/>
              <w:left w:val="nil"/>
              <w:bottom w:val="single" w:sz="4" w:space="0" w:color="auto"/>
              <w:right w:val="single" w:sz="4" w:space="0" w:color="auto"/>
            </w:tcBorders>
            <w:shd w:val="clear" w:color="auto" w:fill="auto"/>
            <w:noWrap/>
            <w:vAlign w:val="center"/>
            <w:hideMark/>
          </w:tcPr>
          <w:p w14:paraId="4F993835" w14:textId="77777777" w:rsidR="000F1FA3" w:rsidRPr="008D1378" w:rsidRDefault="000F1FA3" w:rsidP="00FB7F11">
            <w:pPr>
              <w:jc w:val="center"/>
              <w:rPr>
                <w:rFonts w:ascii="Arial Narrow" w:eastAsia="Times New Roman" w:hAnsi="Arial Narrow" w:cs="Arial"/>
                <w:color w:val="000000"/>
                <w:sz w:val="18"/>
                <w:szCs w:val="22"/>
                <w:lang w:val="es-MX" w:eastAsia="es-MX"/>
              </w:rPr>
            </w:pPr>
            <w:r>
              <w:rPr>
                <w:rFonts w:ascii="Arial Narrow" w:eastAsia="Times New Roman" w:hAnsi="Arial Narrow" w:cs="Arial"/>
                <w:color w:val="000000"/>
                <w:sz w:val="18"/>
                <w:szCs w:val="22"/>
                <w:lang w:val="es-MX" w:eastAsia="es-MX"/>
              </w:rPr>
              <w:t>12</w:t>
            </w: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440E3A65" w14:textId="77777777" w:rsidR="000F1FA3" w:rsidRPr="008D1378" w:rsidRDefault="000F1FA3" w:rsidP="00FB7F11">
            <w:pPr>
              <w:jc w:val="center"/>
              <w:rPr>
                <w:rFonts w:ascii="Arial Narrow" w:eastAsia="Times New Roman" w:hAnsi="Arial Narrow" w:cs="Arial"/>
                <w:color w:val="000000"/>
                <w:sz w:val="18"/>
                <w:szCs w:val="22"/>
                <w:lang w:val="es-MX" w:eastAsia="es-MX"/>
              </w:rPr>
            </w:pPr>
            <w:r>
              <w:rPr>
                <w:rFonts w:ascii="Arial Narrow" w:eastAsia="Times New Roman" w:hAnsi="Arial Narrow" w:cs="Arial"/>
                <w:color w:val="000000"/>
                <w:sz w:val="18"/>
                <w:szCs w:val="22"/>
                <w:lang w:val="es-MX" w:eastAsia="es-MX"/>
              </w:rPr>
              <w:t>9</w:t>
            </w:r>
            <w:r w:rsidRPr="008D1378">
              <w:rPr>
                <w:rFonts w:ascii="Arial Narrow" w:eastAsia="Times New Roman" w:hAnsi="Arial Narrow" w:cs="Arial"/>
                <w:color w:val="000000"/>
                <w:sz w:val="18"/>
                <w:szCs w:val="22"/>
                <w:lang w:val="es-MX" w:eastAsia="es-MX"/>
              </w:rPr>
              <w:t> </w:t>
            </w:r>
          </w:p>
        </w:tc>
        <w:tc>
          <w:tcPr>
            <w:tcW w:w="581" w:type="dxa"/>
            <w:tcBorders>
              <w:top w:val="single" w:sz="4" w:space="0" w:color="auto"/>
              <w:left w:val="nil"/>
              <w:bottom w:val="single" w:sz="4" w:space="0" w:color="auto"/>
              <w:right w:val="single" w:sz="4" w:space="0" w:color="auto"/>
            </w:tcBorders>
            <w:shd w:val="clear" w:color="auto" w:fill="auto"/>
            <w:noWrap/>
            <w:vAlign w:val="center"/>
            <w:hideMark/>
          </w:tcPr>
          <w:p w14:paraId="70E3192B" w14:textId="77777777" w:rsidR="000F1FA3" w:rsidRPr="008D1378" w:rsidRDefault="000F1FA3" w:rsidP="00FB7F11">
            <w:pPr>
              <w:jc w:val="center"/>
              <w:rPr>
                <w:rFonts w:ascii="Arial Narrow" w:eastAsia="Times New Roman" w:hAnsi="Arial Narrow" w:cs="Arial"/>
                <w:color w:val="000000"/>
                <w:sz w:val="18"/>
                <w:szCs w:val="22"/>
                <w:lang w:val="es-MX" w:eastAsia="es-MX"/>
              </w:rPr>
            </w:pPr>
            <w:r w:rsidRPr="008D1378">
              <w:rPr>
                <w:rFonts w:ascii="Arial Narrow" w:eastAsia="Times New Roman" w:hAnsi="Arial Narrow" w:cs="Arial"/>
                <w:color w:val="000000"/>
                <w:sz w:val="18"/>
                <w:szCs w:val="22"/>
                <w:lang w:val="es-MX" w:eastAsia="es-MX"/>
              </w:rPr>
              <w:t> </w:t>
            </w:r>
          </w:p>
        </w:tc>
      </w:tr>
      <w:tr w:rsidR="000F1FA3" w:rsidRPr="008D1378" w14:paraId="5FF88975" w14:textId="77777777" w:rsidTr="00FB7F11">
        <w:trPr>
          <w:trHeight w:val="314"/>
          <w:jc w:val="center"/>
        </w:trPr>
        <w:tc>
          <w:tcPr>
            <w:tcW w:w="2400" w:type="dxa"/>
            <w:tcBorders>
              <w:top w:val="nil"/>
              <w:left w:val="single" w:sz="4" w:space="0" w:color="000000"/>
              <w:bottom w:val="single" w:sz="4" w:space="0" w:color="000000"/>
              <w:right w:val="single" w:sz="4" w:space="0" w:color="000000"/>
            </w:tcBorders>
            <w:shd w:val="clear" w:color="CCC0D9" w:fill="CCC0D9"/>
            <w:noWrap/>
            <w:vAlign w:val="center"/>
            <w:hideMark/>
          </w:tcPr>
          <w:p w14:paraId="445C1A21" w14:textId="77777777" w:rsidR="000F1FA3" w:rsidRPr="008D1378" w:rsidRDefault="000F1FA3" w:rsidP="00FB7F11">
            <w:pPr>
              <w:jc w:val="center"/>
              <w:rPr>
                <w:rFonts w:ascii="Arial Narrow" w:eastAsia="Times New Roman" w:hAnsi="Arial Narrow" w:cs="Arial"/>
                <w:b/>
                <w:bCs/>
                <w:color w:val="000000"/>
                <w:sz w:val="18"/>
                <w:szCs w:val="22"/>
                <w:lang w:val="es-MX" w:eastAsia="es-MX"/>
              </w:rPr>
            </w:pPr>
            <w:r w:rsidRPr="008D1378">
              <w:rPr>
                <w:rFonts w:ascii="Arial Narrow" w:eastAsia="Times New Roman" w:hAnsi="Arial Narrow" w:cs="Arial"/>
                <w:b/>
                <w:bCs/>
                <w:color w:val="000000"/>
                <w:sz w:val="18"/>
                <w:szCs w:val="22"/>
                <w:lang w:val="es-MX" w:eastAsia="es-MX"/>
              </w:rPr>
              <w:t>TOTALES</w:t>
            </w:r>
          </w:p>
        </w:tc>
        <w:tc>
          <w:tcPr>
            <w:tcW w:w="2080"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1C63410D" w14:textId="77777777" w:rsidR="000F1FA3" w:rsidRPr="00A117FF" w:rsidRDefault="000F1FA3" w:rsidP="00FB7F11">
            <w:pPr>
              <w:jc w:val="center"/>
              <w:rPr>
                <w:rFonts w:ascii="Arial Narrow" w:eastAsia="Times New Roman" w:hAnsi="Arial Narrow" w:cs="Arial"/>
                <w:b/>
                <w:bCs/>
                <w:color w:val="000000"/>
                <w:sz w:val="18"/>
                <w:szCs w:val="22"/>
                <w:lang w:val="es-MX" w:eastAsia="es-MX"/>
              </w:rPr>
            </w:pPr>
            <w:r w:rsidRPr="00A117FF">
              <w:rPr>
                <w:rFonts w:ascii="Arial Narrow" w:eastAsia="Times New Roman" w:hAnsi="Arial Narrow" w:cs="Arial"/>
                <w:b/>
                <w:bCs/>
                <w:color w:val="000000"/>
                <w:sz w:val="18"/>
                <w:szCs w:val="22"/>
                <w:lang w:val="es-MX" w:eastAsia="es-MX"/>
              </w:rPr>
              <w:t>40</w:t>
            </w:r>
          </w:p>
        </w:tc>
        <w:tc>
          <w:tcPr>
            <w:tcW w:w="2080"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26C35A21" w14:textId="77777777" w:rsidR="000F1FA3" w:rsidRPr="00A117FF" w:rsidRDefault="000F1FA3" w:rsidP="00FB7F11">
            <w:pPr>
              <w:jc w:val="center"/>
              <w:rPr>
                <w:rFonts w:ascii="Arial Narrow" w:eastAsia="Times New Roman" w:hAnsi="Arial Narrow" w:cs="Arial"/>
                <w:b/>
                <w:bCs/>
                <w:color w:val="000000"/>
                <w:sz w:val="18"/>
                <w:szCs w:val="22"/>
                <w:lang w:val="es-MX" w:eastAsia="es-MX"/>
              </w:rPr>
            </w:pPr>
            <w:r w:rsidRPr="00A117FF">
              <w:rPr>
                <w:rFonts w:ascii="Arial Narrow" w:eastAsia="Times New Roman" w:hAnsi="Arial Narrow" w:cs="Arial"/>
                <w:b/>
                <w:bCs/>
                <w:color w:val="000000"/>
                <w:sz w:val="18"/>
                <w:szCs w:val="22"/>
                <w:lang w:val="es-MX" w:eastAsia="es-MX"/>
              </w:rPr>
              <w:t>40</w:t>
            </w:r>
          </w:p>
        </w:tc>
        <w:tc>
          <w:tcPr>
            <w:tcW w:w="2080" w:type="dxa"/>
            <w:gridSpan w:val="4"/>
            <w:tcBorders>
              <w:top w:val="single" w:sz="4" w:space="0" w:color="auto"/>
              <w:left w:val="nil"/>
              <w:bottom w:val="single" w:sz="4" w:space="0" w:color="auto"/>
              <w:right w:val="single" w:sz="4" w:space="0" w:color="auto"/>
            </w:tcBorders>
            <w:shd w:val="clear" w:color="CCC0D9" w:fill="CCC0D9"/>
            <w:noWrap/>
            <w:vAlign w:val="center"/>
            <w:hideMark/>
          </w:tcPr>
          <w:p w14:paraId="2F6565A0" w14:textId="77777777" w:rsidR="000F1FA3" w:rsidRPr="00A117FF" w:rsidRDefault="000F1FA3" w:rsidP="00FB7F11">
            <w:pPr>
              <w:jc w:val="center"/>
              <w:rPr>
                <w:rFonts w:ascii="Arial Narrow" w:eastAsia="Times New Roman" w:hAnsi="Arial Narrow" w:cs="Arial"/>
                <w:b/>
                <w:bCs/>
                <w:color w:val="000000"/>
                <w:sz w:val="18"/>
                <w:szCs w:val="22"/>
                <w:lang w:val="es-MX" w:eastAsia="es-MX"/>
              </w:rPr>
            </w:pPr>
            <w:r w:rsidRPr="00A117FF">
              <w:rPr>
                <w:rFonts w:ascii="Arial Narrow" w:eastAsia="Times New Roman" w:hAnsi="Arial Narrow" w:cs="Arial"/>
                <w:b/>
                <w:bCs/>
                <w:color w:val="000000"/>
                <w:sz w:val="18"/>
                <w:szCs w:val="22"/>
                <w:lang w:val="es-MX" w:eastAsia="es-MX"/>
              </w:rPr>
              <w:t>33</w:t>
            </w:r>
          </w:p>
        </w:tc>
      </w:tr>
    </w:tbl>
    <w:p w14:paraId="5CBE41A4" w14:textId="77777777" w:rsidR="000F1FA3" w:rsidRDefault="000F1FA3" w:rsidP="000F1FA3">
      <w:pPr>
        <w:ind w:left="-6"/>
        <w:jc w:val="both"/>
        <w:rPr>
          <w:rFonts w:cs="Arial"/>
        </w:rPr>
      </w:pPr>
    </w:p>
    <w:p w14:paraId="09E91F40" w14:textId="53FAFB79" w:rsidR="000F1FA3" w:rsidRDefault="000F1FA3" w:rsidP="000F1FA3">
      <w:pPr>
        <w:ind w:left="-6"/>
        <w:jc w:val="both"/>
        <w:rPr>
          <w:rFonts w:cs="Arial"/>
        </w:rPr>
      </w:pPr>
      <w:r w:rsidRPr="000F1FA3">
        <w:rPr>
          <w:rFonts w:cs="Arial"/>
        </w:rPr>
        <w:t>Se resalta que durante los meses de octubre y noviembre se presentaron excedentes de 13 y 8,5 horas, respectivamente, los cuales, de acuerdo a lo establecido en la norma deberán ser reconocidos a razón de un día de descanso compensatorio por cada 8 horas extras laboradas o proporcionalmente por fracción.</w:t>
      </w:r>
    </w:p>
    <w:p w14:paraId="4F609897" w14:textId="77777777" w:rsidR="000F1FA3" w:rsidRDefault="000F1FA3" w:rsidP="000F1FA3">
      <w:pPr>
        <w:ind w:left="-6"/>
        <w:jc w:val="both"/>
        <w:rPr>
          <w:rFonts w:cs="Arial"/>
        </w:rPr>
      </w:pPr>
    </w:p>
    <w:p w14:paraId="47CAB77D" w14:textId="77777777" w:rsidR="000F1FA3" w:rsidRDefault="000F1FA3" w:rsidP="000F1FA3">
      <w:pPr>
        <w:ind w:left="-6"/>
        <w:jc w:val="both"/>
        <w:rPr>
          <w:rFonts w:cs="Arial"/>
        </w:rPr>
      </w:pPr>
      <w:r w:rsidRPr="00452DDB">
        <w:rPr>
          <w:rFonts w:cs="Arial"/>
        </w:rPr>
        <w:lastRenderedPageBreak/>
        <w:t>Se evidencian las resoluciones mediante las cuales se concede el descanso compensado por horas extras acumuladas quedando con un saldo de cero (0) horas extras por compensar a Diciembre de 2021, de acuerdo con la Resolución No. 000723 del 21 de diciembre de 2021.</w:t>
      </w:r>
    </w:p>
    <w:p w14:paraId="0B9A8912" w14:textId="77777777" w:rsidR="00347C21" w:rsidRDefault="00347C21" w:rsidP="006D6926">
      <w:pPr>
        <w:jc w:val="both"/>
        <w:rPr>
          <w:rFonts w:cs="Arial"/>
        </w:rPr>
      </w:pPr>
    </w:p>
    <w:p w14:paraId="0F159E4D" w14:textId="77777777" w:rsidR="000F1FA3" w:rsidRPr="00347C21" w:rsidRDefault="000F1FA3" w:rsidP="006D6926">
      <w:pPr>
        <w:jc w:val="both"/>
        <w:rPr>
          <w:rFonts w:cs="Arial"/>
        </w:rPr>
      </w:pPr>
    </w:p>
    <w:p w14:paraId="088C3155" w14:textId="68569DD2" w:rsidR="008F6545" w:rsidRDefault="008F6545" w:rsidP="00AA2B29">
      <w:pPr>
        <w:pStyle w:val="Prrafodelista"/>
        <w:numPr>
          <w:ilvl w:val="2"/>
          <w:numId w:val="5"/>
        </w:numPr>
        <w:jc w:val="both"/>
        <w:rPr>
          <w:rFonts w:cs="Arial"/>
          <w:b/>
        </w:rPr>
      </w:pPr>
      <w:r w:rsidRPr="008F6545">
        <w:rPr>
          <w:rFonts w:cs="Arial"/>
          <w:b/>
        </w:rPr>
        <w:t>Artículo 5</w:t>
      </w:r>
      <w:r>
        <w:rPr>
          <w:rFonts w:cs="Arial"/>
          <w:b/>
        </w:rPr>
        <w:t>.</w:t>
      </w:r>
      <w:r w:rsidRPr="008F6545">
        <w:rPr>
          <w:rFonts w:cs="Arial"/>
          <w:b/>
        </w:rPr>
        <w:t xml:space="preserve"> Compensación por vacaciones</w:t>
      </w:r>
    </w:p>
    <w:p w14:paraId="762A8132" w14:textId="77777777" w:rsidR="00347C21" w:rsidRDefault="00347C21" w:rsidP="005A1083">
      <w:pPr>
        <w:jc w:val="both"/>
        <w:rPr>
          <w:rFonts w:cs="Arial"/>
        </w:rPr>
      </w:pPr>
    </w:p>
    <w:p w14:paraId="00E3EEF5" w14:textId="77777777" w:rsidR="000F1FA3" w:rsidRDefault="000F1FA3" w:rsidP="000F1FA3">
      <w:pPr>
        <w:shd w:val="clear" w:color="auto" w:fill="FFFFFF" w:themeFill="background1"/>
        <w:jc w:val="both"/>
        <w:rPr>
          <w:rFonts w:cs="Arial"/>
          <w:color w:val="000000"/>
        </w:rPr>
      </w:pPr>
      <w:r w:rsidRPr="006A727F">
        <w:rPr>
          <w:rFonts w:cs="Arial"/>
          <w:color w:val="000000"/>
        </w:rPr>
        <w:t xml:space="preserve">De acuerdo con lo reportado en </w:t>
      </w:r>
      <w:r w:rsidRPr="006A727F">
        <w:rPr>
          <w:rFonts w:cs="Arial"/>
          <w:color w:val="000000"/>
          <w:szCs w:val="22"/>
        </w:rPr>
        <w:t xml:space="preserve">BogData, durante el cuarto trimestre de 2021, </w:t>
      </w:r>
      <w:r w:rsidRPr="006A727F">
        <w:rPr>
          <w:rFonts w:cs="Arial"/>
          <w:color w:val="000000"/>
        </w:rPr>
        <w:t xml:space="preserve">se realizó un pago </w:t>
      </w:r>
      <w:r w:rsidRPr="00D3417F">
        <w:rPr>
          <w:rFonts w:cs="Arial"/>
        </w:rPr>
        <w:t xml:space="preserve">de </w:t>
      </w:r>
      <w:r w:rsidRPr="00D3417F">
        <w:rPr>
          <w:rFonts w:cs="Arial"/>
          <w:b/>
        </w:rPr>
        <w:t>$10.340.371</w:t>
      </w:r>
      <w:r w:rsidRPr="00D3417F">
        <w:rPr>
          <w:rFonts w:cs="Arial"/>
        </w:rPr>
        <w:t xml:space="preserve"> </w:t>
      </w:r>
      <w:r w:rsidRPr="006A727F">
        <w:rPr>
          <w:rFonts w:cs="Arial"/>
          <w:color w:val="000000"/>
        </w:rPr>
        <w:t>por concepto de vacaciones en dinero, correspondiente a</w:t>
      </w:r>
      <w:r>
        <w:rPr>
          <w:rFonts w:cs="Arial"/>
          <w:color w:val="000000"/>
        </w:rPr>
        <w:t xml:space="preserve"> </w:t>
      </w:r>
      <w:r w:rsidRPr="006A727F">
        <w:rPr>
          <w:rFonts w:cs="Arial"/>
          <w:color w:val="000000"/>
        </w:rPr>
        <w:t xml:space="preserve">la liquidación realizada a las funcionarias Giovanna Morales Aguirre y Gladys Sierra Linares, quienes se retiraron </w:t>
      </w:r>
      <w:r>
        <w:rPr>
          <w:rFonts w:cs="Arial"/>
          <w:color w:val="000000"/>
        </w:rPr>
        <w:t xml:space="preserve">de la entidad </w:t>
      </w:r>
      <w:r w:rsidRPr="006A727F">
        <w:rPr>
          <w:rFonts w:cs="Arial"/>
          <w:color w:val="000000"/>
        </w:rPr>
        <w:t>en el último trimestre de la</w:t>
      </w:r>
      <w:r>
        <w:rPr>
          <w:rFonts w:cs="Arial"/>
          <w:color w:val="000000"/>
        </w:rPr>
        <w:t xml:space="preserve"> vigencia.</w:t>
      </w:r>
    </w:p>
    <w:p w14:paraId="5FE7846C" w14:textId="77777777" w:rsidR="000F1FA3" w:rsidRDefault="000F1FA3" w:rsidP="000F1FA3">
      <w:pPr>
        <w:jc w:val="both"/>
        <w:rPr>
          <w:rFonts w:cs="Arial"/>
          <w:color w:val="000000"/>
        </w:rPr>
      </w:pPr>
    </w:p>
    <w:tbl>
      <w:tblPr>
        <w:tblW w:w="8579" w:type="dxa"/>
        <w:jc w:val="center"/>
        <w:tblCellMar>
          <w:left w:w="70" w:type="dxa"/>
          <w:right w:w="70" w:type="dxa"/>
        </w:tblCellMar>
        <w:tblLook w:val="04A0" w:firstRow="1" w:lastRow="0" w:firstColumn="1" w:lastColumn="0" w:noHBand="0" w:noVBand="1"/>
      </w:tblPr>
      <w:tblGrid>
        <w:gridCol w:w="1480"/>
        <w:gridCol w:w="724"/>
        <w:gridCol w:w="880"/>
        <w:gridCol w:w="880"/>
        <w:gridCol w:w="615"/>
        <w:gridCol w:w="460"/>
        <w:gridCol w:w="820"/>
        <w:gridCol w:w="880"/>
        <w:gridCol w:w="920"/>
        <w:gridCol w:w="920"/>
      </w:tblGrid>
      <w:tr w:rsidR="000F1FA3" w:rsidRPr="00103BE8" w14:paraId="79A82E03" w14:textId="77777777" w:rsidTr="00FB7F11">
        <w:trPr>
          <w:trHeight w:val="255"/>
          <w:jc w:val="center"/>
        </w:trPr>
        <w:tc>
          <w:tcPr>
            <w:tcW w:w="8579" w:type="dxa"/>
            <w:gridSpan w:val="10"/>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4FD0004B" w14:textId="77777777" w:rsidR="000F1FA3" w:rsidRPr="00CC7F1B" w:rsidRDefault="000F1FA3" w:rsidP="00FB7F11">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GASTOS DE VACACIONES EN DINERO VIGENCIA ACTUAL</w:t>
            </w:r>
          </w:p>
        </w:tc>
      </w:tr>
      <w:tr w:rsidR="000F1FA3" w:rsidRPr="00103BE8" w14:paraId="4023357C" w14:textId="77777777" w:rsidTr="00FB7F11">
        <w:trPr>
          <w:trHeight w:val="255"/>
          <w:jc w:val="center"/>
        </w:trPr>
        <w:tc>
          <w:tcPr>
            <w:tcW w:w="1480" w:type="dxa"/>
            <w:vMerge w:val="restart"/>
            <w:tcBorders>
              <w:top w:val="nil"/>
              <w:left w:val="single" w:sz="4" w:space="0" w:color="000000"/>
              <w:bottom w:val="single" w:sz="4" w:space="0" w:color="000000"/>
              <w:right w:val="single" w:sz="4" w:space="0" w:color="000000"/>
            </w:tcBorders>
            <w:shd w:val="clear" w:color="F2F2F2" w:fill="F2F2F2"/>
            <w:vAlign w:val="center"/>
            <w:hideMark/>
          </w:tcPr>
          <w:p w14:paraId="43FA1117" w14:textId="77777777" w:rsidR="000F1FA3" w:rsidRPr="00CC7F1B" w:rsidRDefault="000F1FA3" w:rsidP="00FB7F11">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RUBRO</w:t>
            </w:r>
          </w:p>
        </w:tc>
        <w:tc>
          <w:tcPr>
            <w:tcW w:w="2484"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6B6E7DB0" w14:textId="77777777" w:rsidR="000F1FA3" w:rsidRPr="00CC7F1B" w:rsidRDefault="000F1FA3" w:rsidP="00FB7F11">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 xml:space="preserve">2020 </w:t>
            </w:r>
          </w:p>
        </w:tc>
        <w:tc>
          <w:tcPr>
            <w:tcW w:w="1895"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08D8BD14" w14:textId="77777777" w:rsidR="000F1FA3" w:rsidRPr="00CC7F1B" w:rsidRDefault="000F1FA3" w:rsidP="00FB7F11">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 xml:space="preserve">2021 </w:t>
            </w:r>
          </w:p>
        </w:tc>
        <w:tc>
          <w:tcPr>
            <w:tcW w:w="2720" w:type="dxa"/>
            <w:gridSpan w:val="3"/>
            <w:tcBorders>
              <w:top w:val="single" w:sz="4" w:space="0" w:color="000000"/>
              <w:left w:val="nil"/>
              <w:bottom w:val="single" w:sz="4" w:space="0" w:color="000000"/>
              <w:right w:val="single" w:sz="4" w:space="0" w:color="000000"/>
            </w:tcBorders>
            <w:shd w:val="clear" w:color="F2F2F2" w:fill="F2F2F2"/>
            <w:noWrap/>
            <w:vAlign w:val="center"/>
            <w:hideMark/>
          </w:tcPr>
          <w:p w14:paraId="7DDA70B8" w14:textId="77777777" w:rsidR="000F1FA3" w:rsidRPr="00CC7F1B" w:rsidRDefault="000F1FA3" w:rsidP="00FB7F11">
            <w:pPr>
              <w:jc w:val="cente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 xml:space="preserve"> COMPARATIVO I</w:t>
            </w:r>
            <w:r>
              <w:rPr>
                <w:rFonts w:ascii="Arial Narrow" w:eastAsia="Times New Roman" w:hAnsi="Arial Narrow" w:cs="Arial"/>
                <w:b/>
                <w:bCs/>
                <w:color w:val="000000"/>
                <w:sz w:val="16"/>
                <w:szCs w:val="16"/>
                <w:lang w:eastAsia="es-CO"/>
              </w:rPr>
              <w:t xml:space="preserve">V </w:t>
            </w:r>
            <w:r w:rsidRPr="00CC7F1B">
              <w:rPr>
                <w:rFonts w:ascii="Arial Narrow" w:eastAsia="Times New Roman" w:hAnsi="Arial Narrow" w:cs="Arial"/>
                <w:b/>
                <w:bCs/>
                <w:color w:val="000000"/>
                <w:sz w:val="16"/>
                <w:szCs w:val="16"/>
                <w:lang w:eastAsia="es-CO"/>
              </w:rPr>
              <w:t xml:space="preserve">TRIMESTRE </w:t>
            </w:r>
          </w:p>
        </w:tc>
      </w:tr>
      <w:tr w:rsidR="000F1FA3" w:rsidRPr="00103BE8" w14:paraId="3A739BAC" w14:textId="77777777" w:rsidTr="00FB7F11">
        <w:trPr>
          <w:trHeight w:val="255"/>
          <w:jc w:val="center"/>
        </w:trPr>
        <w:tc>
          <w:tcPr>
            <w:tcW w:w="1480" w:type="dxa"/>
            <w:vMerge/>
            <w:tcBorders>
              <w:top w:val="nil"/>
              <w:left w:val="single" w:sz="4" w:space="0" w:color="000000"/>
              <w:bottom w:val="single" w:sz="4" w:space="0" w:color="000000"/>
              <w:right w:val="single" w:sz="4" w:space="0" w:color="000000"/>
            </w:tcBorders>
            <w:vAlign w:val="center"/>
            <w:hideMark/>
          </w:tcPr>
          <w:p w14:paraId="21C7AC97" w14:textId="77777777" w:rsidR="000F1FA3" w:rsidRPr="00CC7F1B" w:rsidRDefault="000F1FA3" w:rsidP="00FB7F11">
            <w:pPr>
              <w:rPr>
                <w:rFonts w:ascii="Arial Narrow" w:eastAsia="Times New Roman" w:hAnsi="Arial Narrow" w:cs="Arial"/>
                <w:b/>
                <w:bCs/>
                <w:color w:val="000000"/>
                <w:sz w:val="16"/>
                <w:szCs w:val="16"/>
                <w:lang w:eastAsia="es-CO"/>
              </w:rPr>
            </w:pPr>
          </w:p>
        </w:tc>
        <w:tc>
          <w:tcPr>
            <w:tcW w:w="724" w:type="dxa"/>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0434EED5" w14:textId="77777777" w:rsidR="000F1FA3" w:rsidRPr="00CC7F1B" w:rsidRDefault="000F1FA3" w:rsidP="00FB7F11">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OCT</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7DBB09E9" w14:textId="77777777" w:rsidR="000F1FA3" w:rsidRPr="00CC7F1B" w:rsidRDefault="000F1FA3" w:rsidP="00FB7F11">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NOV </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0B783A1E" w14:textId="77777777" w:rsidR="000F1FA3" w:rsidRPr="00CC7F1B" w:rsidRDefault="000F1FA3" w:rsidP="00FB7F11">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DIC </w:t>
            </w:r>
          </w:p>
        </w:tc>
        <w:tc>
          <w:tcPr>
            <w:tcW w:w="615" w:type="dxa"/>
            <w:tcBorders>
              <w:top w:val="single" w:sz="4" w:space="0" w:color="000000"/>
              <w:left w:val="nil"/>
              <w:bottom w:val="single" w:sz="4" w:space="0" w:color="000000"/>
              <w:right w:val="single" w:sz="4" w:space="0" w:color="000000"/>
            </w:tcBorders>
            <w:shd w:val="clear" w:color="F2F2F2" w:fill="F2F2F2"/>
            <w:vAlign w:val="center"/>
            <w:hideMark/>
          </w:tcPr>
          <w:p w14:paraId="1E5A37CA" w14:textId="77777777" w:rsidR="000F1FA3" w:rsidRPr="00CC7F1B" w:rsidRDefault="000F1FA3" w:rsidP="00FB7F11">
            <w:pP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OCT</w:t>
            </w:r>
          </w:p>
        </w:tc>
        <w:tc>
          <w:tcPr>
            <w:tcW w:w="460" w:type="dxa"/>
            <w:tcBorders>
              <w:top w:val="single" w:sz="4" w:space="0" w:color="000000"/>
              <w:left w:val="nil"/>
              <w:bottom w:val="single" w:sz="4" w:space="0" w:color="000000"/>
              <w:right w:val="single" w:sz="4" w:space="0" w:color="000000"/>
            </w:tcBorders>
            <w:shd w:val="clear" w:color="F2F2F2" w:fill="F2F2F2"/>
            <w:vAlign w:val="center"/>
            <w:hideMark/>
          </w:tcPr>
          <w:p w14:paraId="061AFE47" w14:textId="77777777" w:rsidR="000F1FA3" w:rsidRPr="00CC7F1B" w:rsidRDefault="000F1FA3" w:rsidP="00FB7F11">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NOV </w:t>
            </w:r>
          </w:p>
        </w:tc>
        <w:tc>
          <w:tcPr>
            <w:tcW w:w="820" w:type="dxa"/>
            <w:tcBorders>
              <w:top w:val="single" w:sz="4" w:space="0" w:color="000000"/>
              <w:left w:val="nil"/>
              <w:bottom w:val="single" w:sz="4" w:space="0" w:color="000000"/>
              <w:right w:val="single" w:sz="4" w:space="0" w:color="000000"/>
            </w:tcBorders>
            <w:shd w:val="clear" w:color="F2F2F2" w:fill="F2F2F2"/>
            <w:vAlign w:val="center"/>
            <w:hideMark/>
          </w:tcPr>
          <w:p w14:paraId="54999E9E" w14:textId="77777777" w:rsidR="000F1FA3" w:rsidRPr="00CC7F1B" w:rsidRDefault="000F1FA3" w:rsidP="00FB7F11">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DIC </w:t>
            </w:r>
          </w:p>
        </w:tc>
        <w:tc>
          <w:tcPr>
            <w:tcW w:w="880" w:type="dxa"/>
            <w:tcBorders>
              <w:top w:val="single" w:sz="4" w:space="0" w:color="000000"/>
              <w:left w:val="nil"/>
              <w:bottom w:val="single" w:sz="4" w:space="0" w:color="000000"/>
              <w:right w:val="single" w:sz="4" w:space="0" w:color="000000"/>
            </w:tcBorders>
            <w:shd w:val="clear" w:color="F2F2F2" w:fill="F2F2F2"/>
            <w:vAlign w:val="center"/>
            <w:hideMark/>
          </w:tcPr>
          <w:p w14:paraId="2466EF6A" w14:textId="77777777" w:rsidR="000F1FA3" w:rsidRPr="00CC7F1B" w:rsidRDefault="000F1FA3" w:rsidP="00FB7F11">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IV TRIM 2020 </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1BFB6B16" w14:textId="77777777" w:rsidR="000F1FA3" w:rsidRPr="00CC7F1B" w:rsidRDefault="000F1FA3" w:rsidP="00FB7F11">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IV TRIM 2021 </w:t>
            </w:r>
          </w:p>
        </w:tc>
        <w:tc>
          <w:tcPr>
            <w:tcW w:w="920" w:type="dxa"/>
            <w:tcBorders>
              <w:top w:val="single" w:sz="4" w:space="0" w:color="000000"/>
              <w:left w:val="nil"/>
              <w:bottom w:val="single" w:sz="4" w:space="0" w:color="000000"/>
              <w:right w:val="single" w:sz="4" w:space="0" w:color="000000"/>
            </w:tcBorders>
            <w:shd w:val="clear" w:color="F2F2F2" w:fill="F2F2F2"/>
            <w:vAlign w:val="center"/>
            <w:hideMark/>
          </w:tcPr>
          <w:p w14:paraId="1747D99A" w14:textId="77777777" w:rsidR="000F1FA3" w:rsidRPr="00CC7F1B" w:rsidRDefault="000F1FA3" w:rsidP="00FB7F11">
            <w:pPr>
              <w:jc w:val="center"/>
              <w:rPr>
                <w:rFonts w:ascii="Arial Narrow" w:eastAsia="Times New Roman" w:hAnsi="Arial Narrow" w:cs="Arial"/>
                <w:b/>
                <w:bCs/>
                <w:color w:val="000000"/>
                <w:sz w:val="16"/>
                <w:szCs w:val="16"/>
                <w:lang w:eastAsia="es-CO"/>
              </w:rPr>
            </w:pPr>
            <w:r>
              <w:rPr>
                <w:rFonts w:ascii="Arial Narrow" w:hAnsi="Arial Narrow" w:cs="Arial"/>
                <w:b/>
                <w:bCs/>
                <w:color w:val="000000"/>
                <w:sz w:val="16"/>
                <w:szCs w:val="16"/>
              </w:rPr>
              <w:t xml:space="preserve"> DIFEREN </w:t>
            </w:r>
          </w:p>
        </w:tc>
      </w:tr>
      <w:tr w:rsidR="000F1FA3" w:rsidRPr="00103BE8" w14:paraId="379F3EBD" w14:textId="77777777" w:rsidTr="00FB7F11">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vAlign w:val="center"/>
            <w:hideMark/>
          </w:tcPr>
          <w:p w14:paraId="0027EE34" w14:textId="77777777" w:rsidR="000F1FA3" w:rsidRPr="00CC7F1B" w:rsidRDefault="000F1FA3" w:rsidP="00FB7F11">
            <w:pPr>
              <w:rPr>
                <w:rFonts w:ascii="Arial Narrow" w:eastAsia="Times New Roman" w:hAnsi="Arial Narrow" w:cs="Arial"/>
                <w:color w:val="000000"/>
                <w:sz w:val="16"/>
                <w:szCs w:val="16"/>
                <w:lang w:eastAsia="es-CO"/>
              </w:rPr>
            </w:pPr>
            <w:r w:rsidRPr="00CC7F1B">
              <w:rPr>
                <w:rFonts w:ascii="Arial Narrow" w:eastAsia="Times New Roman" w:hAnsi="Arial Narrow" w:cs="Arial"/>
                <w:color w:val="000000"/>
                <w:sz w:val="16"/>
                <w:szCs w:val="16"/>
                <w:lang w:eastAsia="es-CO"/>
              </w:rPr>
              <w:t xml:space="preserve">Indemnización por Vacaciones </w:t>
            </w:r>
          </w:p>
        </w:tc>
        <w:tc>
          <w:tcPr>
            <w:tcW w:w="724" w:type="dxa"/>
            <w:tcBorders>
              <w:top w:val="nil"/>
              <w:left w:val="single" w:sz="4" w:space="0" w:color="000000"/>
              <w:bottom w:val="single" w:sz="4" w:space="0" w:color="000000"/>
              <w:right w:val="single" w:sz="4" w:space="0" w:color="000000"/>
            </w:tcBorders>
            <w:shd w:val="clear" w:color="DBE5F1" w:fill="DBE5F1"/>
            <w:noWrap/>
            <w:vAlign w:val="center"/>
          </w:tcPr>
          <w:p w14:paraId="16E9F6C4" w14:textId="77777777" w:rsidR="000F1FA3" w:rsidRPr="006A727F" w:rsidRDefault="000F1FA3" w:rsidP="00FB7F11">
            <w:pPr>
              <w:rPr>
                <w:rFonts w:ascii="Arial Narrow" w:eastAsia="Times New Roman" w:hAnsi="Arial Narrow" w:cs="Arial"/>
                <w:color w:val="000000"/>
                <w:sz w:val="16"/>
                <w:szCs w:val="16"/>
                <w:highlight w:val="yellow"/>
                <w:lang w:eastAsia="es-CO"/>
              </w:rPr>
            </w:pPr>
            <w:r>
              <w:rPr>
                <w:rFonts w:ascii="Arial Narrow" w:hAnsi="Arial Narrow" w:cs="Arial"/>
                <w:color w:val="000000"/>
                <w:sz w:val="16"/>
                <w:szCs w:val="16"/>
              </w:rPr>
              <w:t xml:space="preserve">    -   </w:t>
            </w:r>
          </w:p>
        </w:tc>
        <w:tc>
          <w:tcPr>
            <w:tcW w:w="880" w:type="dxa"/>
            <w:tcBorders>
              <w:top w:val="nil"/>
              <w:left w:val="nil"/>
              <w:bottom w:val="single" w:sz="4" w:space="0" w:color="000000"/>
              <w:right w:val="single" w:sz="4" w:space="0" w:color="000000"/>
            </w:tcBorders>
            <w:shd w:val="clear" w:color="DBE5F1" w:fill="DBE5F1"/>
            <w:noWrap/>
            <w:vAlign w:val="center"/>
          </w:tcPr>
          <w:p w14:paraId="28AC87AF" w14:textId="77777777" w:rsidR="000F1FA3" w:rsidRPr="006A727F" w:rsidRDefault="000F1FA3" w:rsidP="00FB7F11">
            <w:pPr>
              <w:rPr>
                <w:rFonts w:ascii="Arial Narrow" w:eastAsia="Times New Roman" w:hAnsi="Arial Narrow" w:cs="Arial"/>
                <w:color w:val="000000"/>
                <w:sz w:val="16"/>
                <w:szCs w:val="16"/>
                <w:highlight w:val="yellow"/>
                <w:lang w:eastAsia="es-CO"/>
              </w:rPr>
            </w:pPr>
            <w:r>
              <w:rPr>
                <w:rFonts w:ascii="Arial Narrow" w:hAnsi="Arial Narrow" w:cs="Arial"/>
                <w:color w:val="000000"/>
                <w:sz w:val="16"/>
                <w:szCs w:val="16"/>
              </w:rPr>
              <w:t xml:space="preserve">    -   </w:t>
            </w:r>
          </w:p>
        </w:tc>
        <w:tc>
          <w:tcPr>
            <w:tcW w:w="880" w:type="dxa"/>
            <w:tcBorders>
              <w:top w:val="nil"/>
              <w:left w:val="nil"/>
              <w:bottom w:val="single" w:sz="4" w:space="0" w:color="000000"/>
              <w:right w:val="single" w:sz="4" w:space="0" w:color="000000"/>
            </w:tcBorders>
            <w:shd w:val="clear" w:color="DBE5F1" w:fill="DBE5F1"/>
            <w:noWrap/>
            <w:vAlign w:val="center"/>
          </w:tcPr>
          <w:p w14:paraId="7DDE1B8B" w14:textId="77777777" w:rsidR="000F1FA3" w:rsidRPr="006A727F" w:rsidRDefault="000F1FA3" w:rsidP="00FB7F11">
            <w:pPr>
              <w:rPr>
                <w:rFonts w:ascii="Arial Narrow" w:eastAsia="Times New Roman" w:hAnsi="Arial Narrow" w:cs="Arial"/>
                <w:color w:val="000000"/>
                <w:sz w:val="16"/>
                <w:szCs w:val="16"/>
                <w:highlight w:val="yellow"/>
                <w:lang w:eastAsia="es-CO"/>
              </w:rPr>
            </w:pPr>
            <w:r>
              <w:rPr>
                <w:rFonts w:ascii="Arial Narrow" w:hAnsi="Arial Narrow" w:cs="Arial"/>
                <w:color w:val="000000"/>
                <w:sz w:val="16"/>
                <w:szCs w:val="16"/>
              </w:rPr>
              <w:t xml:space="preserve">   -   </w:t>
            </w:r>
          </w:p>
        </w:tc>
        <w:tc>
          <w:tcPr>
            <w:tcW w:w="615" w:type="dxa"/>
            <w:tcBorders>
              <w:top w:val="nil"/>
              <w:left w:val="nil"/>
              <w:bottom w:val="single" w:sz="4" w:space="0" w:color="000000"/>
              <w:right w:val="single" w:sz="4" w:space="0" w:color="000000"/>
            </w:tcBorders>
            <w:shd w:val="clear" w:color="FDE9D9" w:fill="FDE9D9"/>
            <w:noWrap/>
            <w:vAlign w:val="center"/>
          </w:tcPr>
          <w:p w14:paraId="4CD3A725" w14:textId="77777777" w:rsidR="000F1FA3" w:rsidRPr="006A727F" w:rsidRDefault="000F1FA3" w:rsidP="00FB7F11">
            <w:pPr>
              <w:rPr>
                <w:rFonts w:ascii="Arial Narrow" w:eastAsia="Times New Roman" w:hAnsi="Arial Narrow" w:cs="Arial"/>
                <w:color w:val="000000"/>
                <w:sz w:val="16"/>
                <w:szCs w:val="16"/>
                <w:highlight w:val="yellow"/>
                <w:lang w:eastAsia="es-CO"/>
              </w:rPr>
            </w:pPr>
            <w:r>
              <w:rPr>
                <w:rFonts w:ascii="Arial Narrow" w:hAnsi="Arial Narrow" w:cs="Arial"/>
                <w:color w:val="000000"/>
                <w:sz w:val="16"/>
                <w:szCs w:val="16"/>
              </w:rPr>
              <w:t xml:space="preserve">         -   </w:t>
            </w:r>
          </w:p>
        </w:tc>
        <w:tc>
          <w:tcPr>
            <w:tcW w:w="460" w:type="dxa"/>
            <w:tcBorders>
              <w:top w:val="nil"/>
              <w:left w:val="nil"/>
              <w:bottom w:val="single" w:sz="4" w:space="0" w:color="000000"/>
              <w:right w:val="single" w:sz="4" w:space="0" w:color="000000"/>
            </w:tcBorders>
            <w:shd w:val="clear" w:color="FDE9D9" w:fill="FDE9D9"/>
            <w:noWrap/>
            <w:vAlign w:val="center"/>
          </w:tcPr>
          <w:p w14:paraId="6EC015D3" w14:textId="77777777" w:rsidR="000F1FA3" w:rsidRPr="006A727F" w:rsidRDefault="000F1FA3" w:rsidP="00FB7F11">
            <w:pPr>
              <w:rPr>
                <w:rFonts w:ascii="Arial Narrow" w:eastAsia="Times New Roman" w:hAnsi="Arial Narrow" w:cs="Arial"/>
                <w:color w:val="000000"/>
                <w:sz w:val="16"/>
                <w:szCs w:val="16"/>
                <w:highlight w:val="yellow"/>
                <w:lang w:eastAsia="es-CO"/>
              </w:rPr>
            </w:pPr>
            <w:r>
              <w:rPr>
                <w:rFonts w:ascii="Arial Narrow" w:hAnsi="Arial Narrow" w:cs="Arial"/>
                <w:color w:val="000000"/>
                <w:sz w:val="16"/>
                <w:szCs w:val="16"/>
              </w:rPr>
              <w:t xml:space="preserve">    -   </w:t>
            </w:r>
          </w:p>
        </w:tc>
        <w:tc>
          <w:tcPr>
            <w:tcW w:w="820" w:type="dxa"/>
            <w:tcBorders>
              <w:top w:val="nil"/>
              <w:left w:val="nil"/>
              <w:bottom w:val="single" w:sz="4" w:space="0" w:color="000000"/>
              <w:right w:val="single" w:sz="4" w:space="0" w:color="000000"/>
            </w:tcBorders>
            <w:shd w:val="clear" w:color="FDE9D9" w:fill="FDE9D9"/>
            <w:noWrap/>
            <w:vAlign w:val="center"/>
          </w:tcPr>
          <w:p w14:paraId="5A122242" w14:textId="77777777" w:rsidR="000F1FA3" w:rsidRPr="006A727F" w:rsidRDefault="000F1FA3" w:rsidP="00FB7F11">
            <w:pPr>
              <w:rPr>
                <w:rFonts w:ascii="Arial Narrow" w:eastAsia="Times New Roman" w:hAnsi="Arial Narrow" w:cs="Arial"/>
                <w:color w:val="000000"/>
                <w:sz w:val="16"/>
                <w:szCs w:val="16"/>
                <w:highlight w:val="yellow"/>
                <w:lang w:eastAsia="es-CO"/>
              </w:rPr>
            </w:pPr>
            <w:r>
              <w:rPr>
                <w:rFonts w:ascii="Arial Narrow" w:hAnsi="Arial Narrow" w:cs="Arial"/>
                <w:color w:val="000000"/>
                <w:sz w:val="16"/>
                <w:szCs w:val="16"/>
              </w:rPr>
              <w:t xml:space="preserve">10.340.369 </w:t>
            </w:r>
          </w:p>
        </w:tc>
        <w:tc>
          <w:tcPr>
            <w:tcW w:w="880" w:type="dxa"/>
            <w:tcBorders>
              <w:top w:val="nil"/>
              <w:left w:val="nil"/>
              <w:bottom w:val="single" w:sz="4" w:space="0" w:color="000000"/>
              <w:right w:val="single" w:sz="4" w:space="0" w:color="000000"/>
            </w:tcBorders>
            <w:shd w:val="clear" w:color="auto" w:fill="auto"/>
            <w:noWrap/>
            <w:vAlign w:val="center"/>
          </w:tcPr>
          <w:p w14:paraId="04B91951" w14:textId="77777777" w:rsidR="000F1FA3" w:rsidRPr="006A727F" w:rsidRDefault="000F1FA3" w:rsidP="00FB7F11">
            <w:pPr>
              <w:rPr>
                <w:rFonts w:ascii="Arial Narrow" w:eastAsia="Times New Roman" w:hAnsi="Arial Narrow" w:cs="Arial"/>
                <w:color w:val="000000"/>
                <w:sz w:val="16"/>
                <w:szCs w:val="16"/>
                <w:highlight w:val="yellow"/>
                <w:lang w:eastAsia="es-CO"/>
              </w:rPr>
            </w:pPr>
            <w:r>
              <w:rPr>
                <w:rFonts w:ascii="Arial Narrow" w:hAnsi="Arial Narrow" w:cs="Arial"/>
                <w:color w:val="000000"/>
                <w:sz w:val="16"/>
                <w:szCs w:val="16"/>
              </w:rPr>
              <w:t xml:space="preserve">              -   </w:t>
            </w:r>
          </w:p>
        </w:tc>
        <w:tc>
          <w:tcPr>
            <w:tcW w:w="920" w:type="dxa"/>
            <w:tcBorders>
              <w:top w:val="nil"/>
              <w:left w:val="nil"/>
              <w:bottom w:val="single" w:sz="4" w:space="0" w:color="000000"/>
              <w:right w:val="single" w:sz="4" w:space="0" w:color="000000"/>
            </w:tcBorders>
            <w:shd w:val="clear" w:color="auto" w:fill="auto"/>
            <w:noWrap/>
            <w:vAlign w:val="center"/>
          </w:tcPr>
          <w:p w14:paraId="4C0CFC03" w14:textId="77777777" w:rsidR="000F1FA3" w:rsidRPr="006A727F" w:rsidRDefault="000F1FA3" w:rsidP="00FB7F11">
            <w:pPr>
              <w:rPr>
                <w:rFonts w:ascii="Arial Narrow" w:eastAsia="Times New Roman" w:hAnsi="Arial Narrow" w:cs="Arial"/>
                <w:color w:val="000000"/>
                <w:sz w:val="16"/>
                <w:szCs w:val="16"/>
                <w:highlight w:val="yellow"/>
                <w:lang w:eastAsia="es-CO"/>
              </w:rPr>
            </w:pPr>
            <w:r>
              <w:rPr>
                <w:rFonts w:ascii="Arial Narrow" w:hAnsi="Arial Narrow" w:cs="Arial"/>
                <w:color w:val="000000"/>
                <w:sz w:val="16"/>
                <w:szCs w:val="16"/>
              </w:rPr>
              <w:t xml:space="preserve">  10.340.369 </w:t>
            </w:r>
          </w:p>
        </w:tc>
        <w:tc>
          <w:tcPr>
            <w:tcW w:w="920" w:type="dxa"/>
            <w:tcBorders>
              <w:top w:val="nil"/>
              <w:left w:val="nil"/>
              <w:bottom w:val="single" w:sz="4" w:space="0" w:color="000000"/>
              <w:right w:val="single" w:sz="4" w:space="0" w:color="000000"/>
            </w:tcBorders>
            <w:shd w:val="clear" w:color="auto" w:fill="auto"/>
            <w:noWrap/>
            <w:vAlign w:val="center"/>
          </w:tcPr>
          <w:p w14:paraId="292CD2C9" w14:textId="77777777" w:rsidR="000F1FA3" w:rsidRPr="006A727F" w:rsidRDefault="000F1FA3" w:rsidP="00FB7F11">
            <w:pPr>
              <w:rPr>
                <w:rFonts w:ascii="Arial Narrow" w:eastAsia="Times New Roman" w:hAnsi="Arial Narrow" w:cs="Arial"/>
                <w:color w:val="000000"/>
                <w:sz w:val="16"/>
                <w:szCs w:val="16"/>
                <w:highlight w:val="yellow"/>
                <w:lang w:eastAsia="es-CO"/>
              </w:rPr>
            </w:pPr>
            <w:r>
              <w:rPr>
                <w:rFonts w:ascii="Arial Narrow" w:hAnsi="Arial Narrow" w:cs="Arial"/>
                <w:color w:val="000000"/>
                <w:sz w:val="16"/>
                <w:szCs w:val="16"/>
              </w:rPr>
              <w:t xml:space="preserve">  10.340.369 </w:t>
            </w:r>
          </w:p>
        </w:tc>
      </w:tr>
      <w:tr w:rsidR="000F1FA3" w:rsidRPr="00D533FD" w14:paraId="495FAFCB" w14:textId="77777777" w:rsidTr="00FB7F11">
        <w:trPr>
          <w:trHeight w:val="255"/>
          <w:jc w:val="center"/>
        </w:trPr>
        <w:tc>
          <w:tcPr>
            <w:tcW w:w="1480" w:type="dxa"/>
            <w:tcBorders>
              <w:top w:val="nil"/>
              <w:left w:val="single" w:sz="4" w:space="0" w:color="000000"/>
              <w:bottom w:val="single" w:sz="4" w:space="0" w:color="000000"/>
              <w:right w:val="single" w:sz="4" w:space="0" w:color="000000"/>
            </w:tcBorders>
            <w:shd w:val="clear" w:color="auto" w:fill="auto"/>
            <w:noWrap/>
            <w:vAlign w:val="center"/>
            <w:hideMark/>
          </w:tcPr>
          <w:p w14:paraId="7336AAB4" w14:textId="77777777" w:rsidR="000F1FA3" w:rsidRPr="00CC7F1B" w:rsidRDefault="000F1FA3" w:rsidP="00FB7F11">
            <w:pPr>
              <w:rPr>
                <w:rFonts w:ascii="Arial Narrow" w:eastAsia="Times New Roman" w:hAnsi="Arial Narrow" w:cs="Arial"/>
                <w:b/>
                <w:bCs/>
                <w:color w:val="000000"/>
                <w:sz w:val="16"/>
                <w:szCs w:val="16"/>
                <w:lang w:eastAsia="es-CO"/>
              </w:rPr>
            </w:pPr>
            <w:r w:rsidRPr="00CC7F1B">
              <w:rPr>
                <w:rFonts w:ascii="Arial Narrow" w:eastAsia="Times New Roman" w:hAnsi="Arial Narrow" w:cs="Arial"/>
                <w:b/>
                <w:bCs/>
                <w:color w:val="000000"/>
                <w:sz w:val="16"/>
                <w:szCs w:val="16"/>
                <w:lang w:eastAsia="es-CO"/>
              </w:rPr>
              <w:t>TOTAL</w:t>
            </w:r>
          </w:p>
        </w:tc>
        <w:tc>
          <w:tcPr>
            <w:tcW w:w="724" w:type="dxa"/>
            <w:tcBorders>
              <w:top w:val="nil"/>
              <w:left w:val="single" w:sz="4" w:space="0" w:color="000000"/>
              <w:bottom w:val="single" w:sz="4" w:space="0" w:color="000000"/>
              <w:right w:val="single" w:sz="4" w:space="0" w:color="000000"/>
            </w:tcBorders>
            <w:shd w:val="clear" w:color="DBE5F1" w:fill="DBE5F1"/>
            <w:noWrap/>
            <w:vAlign w:val="center"/>
          </w:tcPr>
          <w:p w14:paraId="133FB7A0" w14:textId="77777777" w:rsidR="000F1FA3" w:rsidRPr="006A727F" w:rsidRDefault="000F1FA3" w:rsidP="00FB7F11">
            <w:pPr>
              <w:rPr>
                <w:rFonts w:ascii="Arial Narrow" w:eastAsia="Times New Roman" w:hAnsi="Arial Narrow" w:cs="Arial"/>
                <w:b/>
                <w:bCs/>
                <w:color w:val="000000"/>
                <w:sz w:val="16"/>
                <w:szCs w:val="16"/>
                <w:highlight w:val="yellow"/>
                <w:lang w:eastAsia="es-CO"/>
              </w:rPr>
            </w:pPr>
            <w:r>
              <w:rPr>
                <w:rFonts w:ascii="Arial Narrow" w:hAnsi="Arial Narrow" w:cs="Arial"/>
                <w:b/>
                <w:bCs/>
                <w:color w:val="000000"/>
                <w:sz w:val="16"/>
                <w:szCs w:val="16"/>
              </w:rPr>
              <w:t xml:space="preserve">    -   </w:t>
            </w:r>
          </w:p>
        </w:tc>
        <w:tc>
          <w:tcPr>
            <w:tcW w:w="880" w:type="dxa"/>
            <w:tcBorders>
              <w:top w:val="nil"/>
              <w:left w:val="nil"/>
              <w:bottom w:val="single" w:sz="4" w:space="0" w:color="000000"/>
              <w:right w:val="single" w:sz="4" w:space="0" w:color="000000"/>
            </w:tcBorders>
            <w:shd w:val="clear" w:color="DBE5F1" w:fill="DBE5F1"/>
            <w:noWrap/>
            <w:vAlign w:val="center"/>
          </w:tcPr>
          <w:p w14:paraId="0E742EE6" w14:textId="77777777" w:rsidR="000F1FA3" w:rsidRPr="006A727F" w:rsidRDefault="000F1FA3" w:rsidP="00FB7F11">
            <w:pPr>
              <w:rPr>
                <w:rFonts w:ascii="Arial Narrow" w:eastAsia="Times New Roman" w:hAnsi="Arial Narrow" w:cs="Arial"/>
                <w:b/>
                <w:bCs/>
                <w:color w:val="000000"/>
                <w:sz w:val="16"/>
                <w:szCs w:val="16"/>
                <w:highlight w:val="yellow"/>
                <w:lang w:eastAsia="es-CO"/>
              </w:rPr>
            </w:pPr>
            <w:r>
              <w:rPr>
                <w:rFonts w:ascii="Arial Narrow" w:hAnsi="Arial Narrow" w:cs="Arial"/>
                <w:b/>
                <w:bCs/>
                <w:color w:val="000000"/>
                <w:sz w:val="16"/>
                <w:szCs w:val="16"/>
              </w:rPr>
              <w:t xml:space="preserve">    -   </w:t>
            </w:r>
          </w:p>
        </w:tc>
        <w:tc>
          <w:tcPr>
            <w:tcW w:w="880" w:type="dxa"/>
            <w:tcBorders>
              <w:top w:val="nil"/>
              <w:left w:val="nil"/>
              <w:bottom w:val="single" w:sz="4" w:space="0" w:color="000000"/>
              <w:right w:val="single" w:sz="4" w:space="0" w:color="000000"/>
            </w:tcBorders>
            <w:shd w:val="clear" w:color="DBE5F1" w:fill="DBE5F1"/>
            <w:noWrap/>
            <w:vAlign w:val="center"/>
          </w:tcPr>
          <w:p w14:paraId="1A37E2C2" w14:textId="77777777" w:rsidR="000F1FA3" w:rsidRPr="006A727F" w:rsidRDefault="000F1FA3" w:rsidP="00FB7F11">
            <w:pPr>
              <w:rPr>
                <w:rFonts w:ascii="Arial Narrow" w:eastAsia="Times New Roman" w:hAnsi="Arial Narrow" w:cs="Arial"/>
                <w:b/>
                <w:bCs/>
                <w:color w:val="000000"/>
                <w:sz w:val="16"/>
                <w:szCs w:val="16"/>
                <w:highlight w:val="yellow"/>
                <w:lang w:eastAsia="es-CO"/>
              </w:rPr>
            </w:pPr>
            <w:r>
              <w:rPr>
                <w:rFonts w:ascii="Arial Narrow" w:hAnsi="Arial Narrow" w:cs="Arial"/>
                <w:b/>
                <w:bCs/>
                <w:color w:val="000000"/>
                <w:sz w:val="16"/>
                <w:szCs w:val="16"/>
              </w:rPr>
              <w:t xml:space="preserve">   -   </w:t>
            </w:r>
          </w:p>
        </w:tc>
        <w:tc>
          <w:tcPr>
            <w:tcW w:w="615" w:type="dxa"/>
            <w:tcBorders>
              <w:top w:val="nil"/>
              <w:left w:val="nil"/>
              <w:bottom w:val="single" w:sz="4" w:space="0" w:color="000000"/>
              <w:right w:val="single" w:sz="4" w:space="0" w:color="000000"/>
            </w:tcBorders>
            <w:shd w:val="clear" w:color="FDE9D9" w:fill="FDE9D9"/>
            <w:noWrap/>
            <w:vAlign w:val="center"/>
          </w:tcPr>
          <w:p w14:paraId="6D02DE9A" w14:textId="77777777" w:rsidR="000F1FA3" w:rsidRPr="006A727F" w:rsidRDefault="000F1FA3" w:rsidP="00FB7F11">
            <w:pPr>
              <w:rPr>
                <w:rFonts w:ascii="Arial Narrow" w:eastAsia="Times New Roman" w:hAnsi="Arial Narrow" w:cs="Arial"/>
                <w:b/>
                <w:bCs/>
                <w:color w:val="000000"/>
                <w:sz w:val="16"/>
                <w:szCs w:val="16"/>
                <w:highlight w:val="yellow"/>
                <w:lang w:eastAsia="es-CO"/>
              </w:rPr>
            </w:pPr>
            <w:r>
              <w:rPr>
                <w:rFonts w:ascii="Arial Narrow" w:hAnsi="Arial Narrow" w:cs="Arial"/>
                <w:b/>
                <w:bCs/>
                <w:color w:val="000000"/>
                <w:sz w:val="16"/>
                <w:szCs w:val="16"/>
              </w:rPr>
              <w:t xml:space="preserve">         -   </w:t>
            </w:r>
          </w:p>
        </w:tc>
        <w:tc>
          <w:tcPr>
            <w:tcW w:w="460" w:type="dxa"/>
            <w:tcBorders>
              <w:top w:val="nil"/>
              <w:left w:val="nil"/>
              <w:bottom w:val="single" w:sz="4" w:space="0" w:color="000000"/>
              <w:right w:val="single" w:sz="4" w:space="0" w:color="000000"/>
            </w:tcBorders>
            <w:shd w:val="clear" w:color="FDE9D9" w:fill="FDE9D9"/>
            <w:noWrap/>
            <w:vAlign w:val="center"/>
          </w:tcPr>
          <w:p w14:paraId="2222A7A4" w14:textId="77777777" w:rsidR="000F1FA3" w:rsidRPr="006A727F" w:rsidRDefault="000F1FA3" w:rsidP="00FB7F11">
            <w:pPr>
              <w:rPr>
                <w:rFonts w:ascii="Arial Narrow" w:eastAsia="Times New Roman" w:hAnsi="Arial Narrow" w:cs="Arial"/>
                <w:b/>
                <w:bCs/>
                <w:color w:val="000000"/>
                <w:sz w:val="16"/>
                <w:szCs w:val="16"/>
                <w:highlight w:val="yellow"/>
                <w:lang w:eastAsia="es-CO"/>
              </w:rPr>
            </w:pPr>
            <w:r>
              <w:rPr>
                <w:rFonts w:ascii="Arial Narrow" w:hAnsi="Arial Narrow" w:cs="Arial"/>
                <w:b/>
                <w:bCs/>
                <w:color w:val="000000"/>
                <w:sz w:val="16"/>
                <w:szCs w:val="16"/>
              </w:rPr>
              <w:t xml:space="preserve">    -   </w:t>
            </w:r>
          </w:p>
        </w:tc>
        <w:tc>
          <w:tcPr>
            <w:tcW w:w="820" w:type="dxa"/>
            <w:tcBorders>
              <w:top w:val="nil"/>
              <w:left w:val="nil"/>
              <w:bottom w:val="single" w:sz="4" w:space="0" w:color="000000"/>
              <w:right w:val="single" w:sz="4" w:space="0" w:color="000000"/>
            </w:tcBorders>
            <w:shd w:val="clear" w:color="FDE9D9" w:fill="FDE9D9"/>
            <w:noWrap/>
            <w:vAlign w:val="center"/>
          </w:tcPr>
          <w:p w14:paraId="2686156C" w14:textId="77777777" w:rsidR="000F1FA3" w:rsidRPr="006A727F" w:rsidRDefault="000F1FA3" w:rsidP="00FB7F11">
            <w:pPr>
              <w:rPr>
                <w:rFonts w:ascii="Arial Narrow" w:eastAsia="Times New Roman" w:hAnsi="Arial Narrow" w:cs="Arial"/>
                <w:b/>
                <w:bCs/>
                <w:color w:val="000000"/>
                <w:sz w:val="16"/>
                <w:szCs w:val="16"/>
                <w:highlight w:val="yellow"/>
                <w:lang w:eastAsia="es-CO"/>
              </w:rPr>
            </w:pPr>
            <w:r>
              <w:rPr>
                <w:rFonts w:ascii="Arial Narrow" w:hAnsi="Arial Narrow" w:cs="Arial"/>
                <w:b/>
                <w:bCs/>
                <w:color w:val="000000"/>
                <w:sz w:val="16"/>
                <w:szCs w:val="16"/>
              </w:rPr>
              <w:t xml:space="preserve">10.340.369 </w:t>
            </w:r>
          </w:p>
        </w:tc>
        <w:tc>
          <w:tcPr>
            <w:tcW w:w="880" w:type="dxa"/>
            <w:tcBorders>
              <w:top w:val="nil"/>
              <w:left w:val="nil"/>
              <w:bottom w:val="single" w:sz="4" w:space="0" w:color="000000"/>
              <w:right w:val="single" w:sz="4" w:space="0" w:color="000000"/>
            </w:tcBorders>
            <w:shd w:val="clear" w:color="auto" w:fill="auto"/>
            <w:noWrap/>
            <w:vAlign w:val="center"/>
          </w:tcPr>
          <w:p w14:paraId="00F097B8" w14:textId="77777777" w:rsidR="000F1FA3" w:rsidRPr="006A727F" w:rsidRDefault="000F1FA3" w:rsidP="00FB7F11">
            <w:pPr>
              <w:rPr>
                <w:rFonts w:ascii="Arial Narrow" w:eastAsia="Times New Roman" w:hAnsi="Arial Narrow" w:cs="Arial"/>
                <w:b/>
                <w:bCs/>
                <w:color w:val="000000"/>
                <w:sz w:val="16"/>
                <w:szCs w:val="16"/>
                <w:highlight w:val="yellow"/>
                <w:lang w:eastAsia="es-CO"/>
              </w:rPr>
            </w:pPr>
            <w:r>
              <w:rPr>
                <w:rFonts w:ascii="Arial Narrow" w:hAnsi="Arial Narrow" w:cs="Arial"/>
                <w:b/>
                <w:bCs/>
                <w:color w:val="000000"/>
                <w:sz w:val="16"/>
                <w:szCs w:val="16"/>
              </w:rPr>
              <w:t xml:space="preserve">              -   </w:t>
            </w:r>
          </w:p>
        </w:tc>
        <w:tc>
          <w:tcPr>
            <w:tcW w:w="920" w:type="dxa"/>
            <w:tcBorders>
              <w:top w:val="nil"/>
              <w:left w:val="nil"/>
              <w:bottom w:val="single" w:sz="4" w:space="0" w:color="000000"/>
              <w:right w:val="single" w:sz="4" w:space="0" w:color="000000"/>
            </w:tcBorders>
            <w:shd w:val="clear" w:color="auto" w:fill="auto"/>
            <w:noWrap/>
            <w:vAlign w:val="center"/>
          </w:tcPr>
          <w:p w14:paraId="28F92C43" w14:textId="77777777" w:rsidR="000F1FA3" w:rsidRPr="006A727F" w:rsidRDefault="000F1FA3" w:rsidP="00FB7F11">
            <w:pPr>
              <w:rPr>
                <w:rFonts w:ascii="Arial Narrow" w:eastAsia="Times New Roman" w:hAnsi="Arial Narrow" w:cs="Arial"/>
                <w:b/>
                <w:bCs/>
                <w:color w:val="000000"/>
                <w:sz w:val="16"/>
                <w:szCs w:val="16"/>
                <w:highlight w:val="yellow"/>
                <w:lang w:eastAsia="es-CO"/>
              </w:rPr>
            </w:pPr>
            <w:r>
              <w:rPr>
                <w:rFonts w:ascii="Arial Narrow" w:hAnsi="Arial Narrow" w:cs="Arial"/>
                <w:b/>
                <w:bCs/>
                <w:color w:val="000000"/>
                <w:sz w:val="16"/>
                <w:szCs w:val="16"/>
              </w:rPr>
              <w:t xml:space="preserve">  10.340.369 </w:t>
            </w:r>
          </w:p>
        </w:tc>
        <w:tc>
          <w:tcPr>
            <w:tcW w:w="920" w:type="dxa"/>
            <w:tcBorders>
              <w:top w:val="nil"/>
              <w:left w:val="nil"/>
              <w:bottom w:val="single" w:sz="4" w:space="0" w:color="000000"/>
              <w:right w:val="single" w:sz="4" w:space="0" w:color="000000"/>
            </w:tcBorders>
            <w:shd w:val="clear" w:color="auto" w:fill="auto"/>
            <w:noWrap/>
            <w:vAlign w:val="center"/>
          </w:tcPr>
          <w:p w14:paraId="7A23C594" w14:textId="77777777" w:rsidR="000F1FA3" w:rsidRPr="006A727F" w:rsidRDefault="000F1FA3" w:rsidP="00FB7F11">
            <w:pPr>
              <w:rPr>
                <w:rFonts w:ascii="Arial Narrow" w:eastAsia="Times New Roman" w:hAnsi="Arial Narrow" w:cs="Arial"/>
                <w:b/>
                <w:bCs/>
                <w:color w:val="000000"/>
                <w:sz w:val="16"/>
                <w:szCs w:val="16"/>
                <w:highlight w:val="yellow"/>
                <w:lang w:eastAsia="es-CO"/>
              </w:rPr>
            </w:pPr>
            <w:r>
              <w:rPr>
                <w:rFonts w:ascii="Arial Narrow" w:hAnsi="Arial Narrow" w:cs="Arial"/>
                <w:b/>
                <w:bCs/>
                <w:color w:val="000000"/>
                <w:sz w:val="16"/>
                <w:szCs w:val="16"/>
              </w:rPr>
              <w:t xml:space="preserve">  10.340.369 </w:t>
            </w:r>
          </w:p>
        </w:tc>
      </w:tr>
    </w:tbl>
    <w:p w14:paraId="76E7EC10" w14:textId="77777777" w:rsidR="000F1FA3" w:rsidRDefault="000F1FA3" w:rsidP="000F1FA3">
      <w:pPr>
        <w:jc w:val="both"/>
        <w:rPr>
          <w:rFonts w:cs="Arial"/>
        </w:rPr>
      </w:pPr>
    </w:p>
    <w:p w14:paraId="3A58228A" w14:textId="39B5C4D2" w:rsidR="000F1FA3" w:rsidRDefault="000F1FA3" w:rsidP="000F1FA3">
      <w:pPr>
        <w:jc w:val="both"/>
        <w:rPr>
          <w:rFonts w:cs="Arial"/>
        </w:rPr>
      </w:pPr>
      <w:r w:rsidRPr="00D3417F">
        <w:rPr>
          <w:rFonts w:cs="Arial"/>
        </w:rPr>
        <w:t xml:space="preserve">Con respecto a la relación remitida por </w:t>
      </w:r>
      <w:r w:rsidR="005A1565">
        <w:rPr>
          <w:rFonts w:cs="Arial"/>
        </w:rPr>
        <w:t>la Subdirección de Gestión Corporativa</w:t>
      </w:r>
      <w:r w:rsidRPr="00D3417F">
        <w:rPr>
          <w:rFonts w:cs="Arial"/>
        </w:rPr>
        <w:t xml:space="preserve">, cuya fuente es el aplicativo de nómina Milenium y SIIGO, se identifica que el valor de </w:t>
      </w:r>
      <w:r w:rsidR="005A1565">
        <w:rPr>
          <w:rFonts w:cs="Arial"/>
        </w:rPr>
        <w:t xml:space="preserve">indemnización de </w:t>
      </w:r>
      <w:r w:rsidRPr="00D3417F">
        <w:rPr>
          <w:rFonts w:cs="Arial"/>
        </w:rPr>
        <w:t>vacaciones para el caso de Gladys Sierra Linares no corresponde con la información de la resolución No. 000718 de 17-12-2021 por medio de la cual se reconoce y ordena el pago de unas prestaciones sociales a esta ex servidora del IDPC. En la relación presentada el valor es de $8.969.096 y en la resolución es de $1.793.811.</w:t>
      </w:r>
    </w:p>
    <w:p w14:paraId="0895FCD3" w14:textId="77777777" w:rsidR="00347C21" w:rsidRDefault="00347C21" w:rsidP="006E0894">
      <w:pPr>
        <w:jc w:val="both"/>
        <w:rPr>
          <w:rFonts w:cs="Arial"/>
        </w:rPr>
      </w:pPr>
    </w:p>
    <w:p w14:paraId="17F68BB1" w14:textId="77777777" w:rsidR="00422C2D" w:rsidRDefault="00422C2D" w:rsidP="00422C2D">
      <w:pPr>
        <w:jc w:val="both"/>
        <w:rPr>
          <w:rFonts w:cs="Arial"/>
          <w:color w:val="4472C4" w:themeColor="accent1"/>
        </w:rPr>
      </w:pPr>
      <w:r w:rsidRPr="00422C2D">
        <w:rPr>
          <w:rFonts w:cs="Arial"/>
          <w:b/>
          <w:bCs/>
          <w:i/>
          <w:iCs/>
          <w:color w:val="4472C4" w:themeColor="accent1"/>
          <w:u w:val="single"/>
        </w:rPr>
        <w:t>Respuesta proceso:</w:t>
      </w:r>
    </w:p>
    <w:p w14:paraId="42A11C09" w14:textId="6859B2A1" w:rsidR="00422C2D" w:rsidRPr="00422C2D" w:rsidRDefault="00422C2D" w:rsidP="00422C2D">
      <w:pPr>
        <w:jc w:val="both"/>
        <w:rPr>
          <w:rFonts w:cs="Arial"/>
          <w:color w:val="4472C4" w:themeColor="accent1"/>
        </w:rPr>
      </w:pPr>
      <w:r w:rsidRPr="00422C2D">
        <w:rPr>
          <w:rFonts w:cs="Arial"/>
          <w:color w:val="4472C4" w:themeColor="accent1"/>
        </w:rPr>
        <w:br/>
        <w:t>Frente a la Observación No. 3.4. La información remitida por la Subdirección de Gestión Corporativa respecto a indemnización por vacaciones, presenta un error en el valor correspondiente a Gladys Sierra Linares, registrándose $8.969.096, siendo el correcto $1.793.811.</w:t>
      </w:r>
      <w:r w:rsidRPr="00422C2D">
        <w:rPr>
          <w:rFonts w:cs="Arial"/>
          <w:color w:val="4472C4" w:themeColor="accent1"/>
        </w:rPr>
        <w:br/>
      </w:r>
      <w:r w:rsidRPr="00422C2D">
        <w:rPr>
          <w:rFonts w:cs="Arial"/>
          <w:color w:val="4472C4" w:themeColor="accent1"/>
        </w:rPr>
        <w:br/>
        <w:t>Respecto a esta, manifestamos que se presentó fue meramente un error de digitación, en virtud a que en la Resolución No. 000718 DE 17-12-2021, “Por medio de la cual se reconoce y ordena el pago de unas prestaciones sociales-a una ex servidora del –IDPC”, se describió correctamente en el artículo 2 la suma por concepto de indemnización de vacaciones de la señora Gladys Sierra Linares , así: “Reconocer y ordenar el pago de la suma de un millón setecientos noventa y tres mil ochocientos once pesos ($ 1.793.811), equivalentes a seis (6) días calendario por concepto de Indemnización de Vacaciones, por los servicios prestados en el periodo comprendido entre el 14 de agosto al 30 de noviembre de 2021 (…)”.</w:t>
      </w:r>
      <w:r w:rsidRPr="00422C2D">
        <w:rPr>
          <w:rFonts w:cs="Arial"/>
          <w:color w:val="4472C4" w:themeColor="accent1"/>
        </w:rPr>
        <w:br/>
      </w:r>
      <w:r w:rsidRPr="00422C2D">
        <w:rPr>
          <w:rFonts w:cs="Arial"/>
          <w:color w:val="4472C4" w:themeColor="accent1"/>
        </w:rPr>
        <w:br/>
        <w:t>Así mismo, en el documento Nómina adicional N° 14. Pago indemnización de prestaciones sociales de la ex servidora Gladys Sierra Linares, con radicado 20215200191423, se estableció correctamente en el ítem de Prima de vacaciones el valor correspondiente a la misma, esto es, $1.793.811. Se adjunta como evidencia Resolución No. 000718 DE 17-12-2021 y radicado 20215200191423.</w:t>
      </w:r>
    </w:p>
    <w:p w14:paraId="39BD5884" w14:textId="77777777" w:rsidR="00422C2D" w:rsidRPr="00117848" w:rsidRDefault="00422C2D" w:rsidP="00422C2D">
      <w:pPr>
        <w:jc w:val="both"/>
        <w:rPr>
          <w:rFonts w:cs="Arial"/>
          <w:sz w:val="18"/>
        </w:rPr>
      </w:pPr>
    </w:p>
    <w:p w14:paraId="2FF9923A" w14:textId="77777777" w:rsidR="00422C2D" w:rsidRPr="00422C2D" w:rsidRDefault="00422C2D" w:rsidP="00422C2D">
      <w:pPr>
        <w:jc w:val="both"/>
        <w:rPr>
          <w:rFonts w:cs="Arial"/>
          <w:color w:val="C45911" w:themeColor="accent2" w:themeShade="BF"/>
        </w:rPr>
      </w:pPr>
      <w:r w:rsidRPr="00422C2D">
        <w:rPr>
          <w:rFonts w:cs="Arial"/>
          <w:b/>
          <w:bCs/>
          <w:i/>
          <w:iCs/>
          <w:color w:val="C45911" w:themeColor="accent2" w:themeShade="BF"/>
          <w:u w:val="single"/>
        </w:rPr>
        <w:lastRenderedPageBreak/>
        <w:t>Valoración Respuesta:</w:t>
      </w:r>
    </w:p>
    <w:p w14:paraId="146B7F7C" w14:textId="77777777" w:rsidR="00422C2D" w:rsidRPr="00422C2D" w:rsidRDefault="00422C2D" w:rsidP="00422C2D">
      <w:pPr>
        <w:jc w:val="both"/>
        <w:rPr>
          <w:rFonts w:cs="Arial"/>
          <w:color w:val="C45911" w:themeColor="accent2" w:themeShade="BF"/>
        </w:rPr>
      </w:pPr>
    </w:p>
    <w:p w14:paraId="7B06654D" w14:textId="77777777" w:rsidR="00422C2D" w:rsidRPr="00422C2D" w:rsidRDefault="00422C2D" w:rsidP="00422C2D">
      <w:pPr>
        <w:jc w:val="both"/>
        <w:rPr>
          <w:rFonts w:cs="Arial"/>
          <w:color w:val="C45911" w:themeColor="accent2" w:themeShade="BF"/>
        </w:rPr>
      </w:pPr>
      <w:r w:rsidRPr="00422C2D">
        <w:rPr>
          <w:rFonts w:cs="Arial"/>
          <w:color w:val="C45911" w:themeColor="accent2" w:themeShade="BF"/>
        </w:rPr>
        <w:t>Si bien se evidencia que es un error de digitación estando bien la liquidación, se mantiene la observación, teniendo en cuenta que la información presentada a esta Asesoría de Control Interna contiene errores, situación que debe ser susceptible de mejora.</w:t>
      </w:r>
    </w:p>
    <w:p w14:paraId="6462D115" w14:textId="77777777" w:rsidR="00422C2D" w:rsidRDefault="00422C2D" w:rsidP="006E0894">
      <w:pPr>
        <w:jc w:val="both"/>
        <w:rPr>
          <w:rFonts w:cs="Arial"/>
        </w:rPr>
      </w:pPr>
    </w:p>
    <w:p w14:paraId="6231E45E" w14:textId="77777777" w:rsidR="000F1FA3" w:rsidRPr="00117848" w:rsidRDefault="000F1FA3" w:rsidP="006E0894">
      <w:pPr>
        <w:jc w:val="both"/>
        <w:rPr>
          <w:rFonts w:cs="Arial"/>
          <w:sz w:val="18"/>
        </w:rPr>
      </w:pPr>
    </w:p>
    <w:p w14:paraId="099FA6B6" w14:textId="3E61C2A0" w:rsidR="008D1378" w:rsidRDefault="008D1378" w:rsidP="00AA2B29">
      <w:pPr>
        <w:pStyle w:val="Prrafodelista"/>
        <w:numPr>
          <w:ilvl w:val="2"/>
          <w:numId w:val="5"/>
        </w:numPr>
        <w:jc w:val="both"/>
        <w:rPr>
          <w:rFonts w:cs="Arial"/>
          <w:b/>
        </w:rPr>
      </w:pPr>
      <w:r>
        <w:rPr>
          <w:rFonts w:cs="Arial"/>
          <w:b/>
        </w:rPr>
        <w:t>Artículo 6. Bono navideño</w:t>
      </w:r>
    </w:p>
    <w:p w14:paraId="47745010" w14:textId="77777777" w:rsidR="008D1378" w:rsidRDefault="008D1378" w:rsidP="008D1378">
      <w:pPr>
        <w:jc w:val="both"/>
        <w:rPr>
          <w:rFonts w:cs="Arial"/>
        </w:rPr>
      </w:pPr>
    </w:p>
    <w:p w14:paraId="711F59B0" w14:textId="615E256B" w:rsidR="008D1378" w:rsidRDefault="00E73E3C" w:rsidP="008D1378">
      <w:pPr>
        <w:jc w:val="both"/>
        <w:rPr>
          <w:rFonts w:cs="Arial"/>
        </w:rPr>
      </w:pPr>
      <w:r>
        <w:rPr>
          <w:rFonts w:cs="Arial"/>
        </w:rPr>
        <w:t>Se realizó entrega de bonos navideños a los hijos menores de 16 años de los funcionarios por un valor de $150.000</w:t>
      </w:r>
    </w:p>
    <w:p w14:paraId="73CE6EE8" w14:textId="77777777" w:rsidR="00E73E3C" w:rsidRDefault="00E73E3C" w:rsidP="008D1378">
      <w:pPr>
        <w:jc w:val="both"/>
        <w:rPr>
          <w:rFonts w:cs="Arial"/>
        </w:rPr>
      </w:pPr>
    </w:p>
    <w:p w14:paraId="5AC0B583" w14:textId="77777777" w:rsidR="008D1378" w:rsidRPr="00117848" w:rsidRDefault="008D1378" w:rsidP="008D1378">
      <w:pPr>
        <w:jc w:val="both"/>
        <w:rPr>
          <w:rFonts w:cs="Arial"/>
          <w:sz w:val="18"/>
        </w:rPr>
      </w:pPr>
    </w:p>
    <w:p w14:paraId="109DA304" w14:textId="1E7D2E3D" w:rsidR="008F6545" w:rsidRDefault="008F6545" w:rsidP="00AA2B29">
      <w:pPr>
        <w:pStyle w:val="Prrafodelista"/>
        <w:numPr>
          <w:ilvl w:val="2"/>
          <w:numId w:val="5"/>
        </w:numPr>
        <w:jc w:val="both"/>
        <w:rPr>
          <w:rFonts w:cs="Arial"/>
          <w:b/>
        </w:rPr>
      </w:pPr>
      <w:r w:rsidRPr="008F6545">
        <w:rPr>
          <w:rFonts w:cs="Arial"/>
          <w:b/>
        </w:rPr>
        <w:t>Artículo 7</w:t>
      </w:r>
      <w:r>
        <w:rPr>
          <w:rFonts w:cs="Arial"/>
          <w:b/>
        </w:rPr>
        <w:t>.</w:t>
      </w:r>
      <w:r w:rsidRPr="008F6545">
        <w:rPr>
          <w:rFonts w:cs="Arial"/>
          <w:b/>
        </w:rPr>
        <w:t xml:space="preserve"> Capacitación</w:t>
      </w:r>
    </w:p>
    <w:p w14:paraId="7D10D030" w14:textId="77777777" w:rsidR="00347C21" w:rsidRDefault="00347C21" w:rsidP="00347C21">
      <w:pPr>
        <w:ind w:left="-6"/>
        <w:jc w:val="both"/>
        <w:rPr>
          <w:rFonts w:cs="Arial"/>
        </w:rPr>
      </w:pPr>
    </w:p>
    <w:p w14:paraId="3081D674" w14:textId="7ED5A7A0" w:rsidR="00721DA7" w:rsidRPr="00E73E3C" w:rsidRDefault="00721DA7" w:rsidP="00721DA7">
      <w:pPr>
        <w:ind w:left="-6"/>
        <w:jc w:val="both"/>
        <w:rPr>
          <w:rFonts w:cs="Arial"/>
        </w:rPr>
      </w:pPr>
      <w:r w:rsidRPr="00E73E3C">
        <w:rPr>
          <w:rFonts w:cs="Arial"/>
        </w:rPr>
        <w:t xml:space="preserve">De acuerdo con el plan de capacitación publicado en la página Web del IDPC, para el </w:t>
      </w:r>
      <w:r w:rsidR="00E73E3C" w:rsidRPr="00E73E3C">
        <w:rPr>
          <w:rFonts w:cs="Arial"/>
        </w:rPr>
        <w:t>cuarto</w:t>
      </w:r>
      <w:r w:rsidR="00E05633" w:rsidRPr="00E73E3C">
        <w:rPr>
          <w:rFonts w:cs="Arial"/>
        </w:rPr>
        <w:t xml:space="preserve"> </w:t>
      </w:r>
      <w:r w:rsidRPr="00E73E3C">
        <w:rPr>
          <w:rFonts w:cs="Arial"/>
        </w:rPr>
        <w:t xml:space="preserve">trimestre se encuentran programadas las </w:t>
      </w:r>
      <w:r w:rsidR="00A31D15" w:rsidRPr="00E73E3C">
        <w:rPr>
          <w:rFonts w:cs="Arial"/>
        </w:rPr>
        <w:t>capacitaciones que se relacionan a continuación</w:t>
      </w:r>
      <w:r w:rsidRPr="00E73E3C">
        <w:rPr>
          <w:rFonts w:cs="Arial"/>
        </w:rPr>
        <w:t>:</w:t>
      </w:r>
    </w:p>
    <w:p w14:paraId="09808AA8" w14:textId="2C991538" w:rsidR="00721DA7" w:rsidRPr="00E73E3C" w:rsidRDefault="00E73E3C" w:rsidP="00AA2B29">
      <w:pPr>
        <w:pStyle w:val="Prrafodelista"/>
        <w:numPr>
          <w:ilvl w:val="0"/>
          <w:numId w:val="7"/>
        </w:numPr>
        <w:jc w:val="both"/>
        <w:rPr>
          <w:rFonts w:cs="Arial"/>
        </w:rPr>
      </w:pPr>
      <w:r w:rsidRPr="00E73E3C">
        <w:rPr>
          <w:rFonts w:cs="Arial"/>
        </w:rPr>
        <w:t>Seguridad de la Información</w:t>
      </w:r>
    </w:p>
    <w:p w14:paraId="4DFEA639" w14:textId="77777777" w:rsidR="00E73E3C" w:rsidRPr="00E73E3C" w:rsidRDefault="00E73E3C" w:rsidP="00AA2B29">
      <w:pPr>
        <w:pStyle w:val="Prrafodelista"/>
        <w:numPr>
          <w:ilvl w:val="0"/>
          <w:numId w:val="7"/>
        </w:numPr>
        <w:jc w:val="both"/>
        <w:rPr>
          <w:rFonts w:cs="Arial"/>
        </w:rPr>
      </w:pPr>
      <w:r w:rsidRPr="00E73E3C">
        <w:rPr>
          <w:rFonts w:cs="Arial"/>
        </w:rPr>
        <w:t xml:space="preserve">Gobernanza para la paz </w:t>
      </w:r>
    </w:p>
    <w:p w14:paraId="26B62D41" w14:textId="7A903B91" w:rsidR="007107C6" w:rsidRPr="00E73E3C" w:rsidRDefault="00E73E3C" w:rsidP="00AA2B29">
      <w:pPr>
        <w:pStyle w:val="Prrafodelista"/>
        <w:numPr>
          <w:ilvl w:val="0"/>
          <w:numId w:val="7"/>
        </w:numPr>
        <w:jc w:val="both"/>
        <w:rPr>
          <w:rFonts w:cs="Arial"/>
        </w:rPr>
      </w:pPr>
      <w:r w:rsidRPr="00E73E3C">
        <w:rPr>
          <w:rFonts w:cs="Arial"/>
        </w:rPr>
        <w:t xml:space="preserve">Creación de Valor Publico </w:t>
      </w:r>
    </w:p>
    <w:p w14:paraId="1AFBC593" w14:textId="77777777" w:rsidR="00E73E3C" w:rsidRPr="00E73E3C" w:rsidRDefault="00E73E3C" w:rsidP="00AA2B29">
      <w:pPr>
        <w:pStyle w:val="Prrafodelista"/>
        <w:numPr>
          <w:ilvl w:val="0"/>
          <w:numId w:val="7"/>
        </w:numPr>
        <w:jc w:val="both"/>
        <w:rPr>
          <w:rFonts w:cs="Arial"/>
        </w:rPr>
      </w:pPr>
      <w:r w:rsidRPr="00E73E3C">
        <w:rPr>
          <w:rFonts w:cs="Arial"/>
        </w:rPr>
        <w:t xml:space="preserve">Temas estadísticos </w:t>
      </w:r>
    </w:p>
    <w:p w14:paraId="4E3E7124" w14:textId="47D74B6E" w:rsidR="00721DA7" w:rsidRPr="00E73E3C" w:rsidRDefault="00E73E3C" w:rsidP="00AA2B29">
      <w:pPr>
        <w:pStyle w:val="Prrafodelista"/>
        <w:numPr>
          <w:ilvl w:val="0"/>
          <w:numId w:val="7"/>
        </w:numPr>
        <w:jc w:val="both"/>
        <w:rPr>
          <w:rFonts w:cs="Arial"/>
        </w:rPr>
      </w:pPr>
      <w:r w:rsidRPr="00E73E3C">
        <w:rPr>
          <w:rFonts w:cs="Arial"/>
        </w:rPr>
        <w:t>Probidad y Ética de lo público</w:t>
      </w:r>
    </w:p>
    <w:p w14:paraId="29758930" w14:textId="72EBA029" w:rsidR="00E73E3C" w:rsidRPr="00E73E3C" w:rsidRDefault="00E73E3C" w:rsidP="00AA2B29">
      <w:pPr>
        <w:pStyle w:val="Prrafodelista"/>
        <w:numPr>
          <w:ilvl w:val="0"/>
          <w:numId w:val="7"/>
        </w:numPr>
        <w:jc w:val="both"/>
        <w:rPr>
          <w:rFonts w:cs="Arial"/>
        </w:rPr>
      </w:pPr>
      <w:r w:rsidRPr="00E73E3C">
        <w:rPr>
          <w:rFonts w:cs="Arial"/>
        </w:rPr>
        <w:t>Defensa Jurídica</w:t>
      </w:r>
    </w:p>
    <w:p w14:paraId="3260F06E" w14:textId="77777777" w:rsidR="00E73E3C" w:rsidRPr="00E73E3C" w:rsidRDefault="00E73E3C" w:rsidP="00A31D15">
      <w:pPr>
        <w:jc w:val="both"/>
        <w:rPr>
          <w:rFonts w:cs="Arial"/>
        </w:rPr>
      </w:pPr>
    </w:p>
    <w:p w14:paraId="22BCF0EF" w14:textId="2DC79168" w:rsidR="00A31D15" w:rsidRPr="00E73E3C" w:rsidRDefault="00A31D15" w:rsidP="00A31D15">
      <w:pPr>
        <w:jc w:val="both"/>
        <w:rPr>
          <w:rFonts w:cs="Arial"/>
        </w:rPr>
      </w:pPr>
      <w:r w:rsidRPr="00E73E3C">
        <w:rPr>
          <w:rFonts w:cs="Arial"/>
        </w:rPr>
        <w:t>De acuerdo con el seguimiento reportado por la Subdirección de Ges</w:t>
      </w:r>
      <w:r w:rsidR="007107C6" w:rsidRPr="00E73E3C">
        <w:rPr>
          <w:rFonts w:cs="Arial"/>
        </w:rPr>
        <w:t>tión Corporativa se r</w:t>
      </w:r>
      <w:r w:rsidR="00E73E3C" w:rsidRPr="00E73E3C">
        <w:rPr>
          <w:rFonts w:cs="Arial"/>
        </w:rPr>
        <w:t>ealizaron 4</w:t>
      </w:r>
      <w:r w:rsidR="007107C6" w:rsidRPr="00E73E3C">
        <w:rPr>
          <w:rFonts w:cs="Arial"/>
        </w:rPr>
        <w:t xml:space="preserve"> de las 6</w:t>
      </w:r>
      <w:r w:rsidRPr="00E73E3C">
        <w:rPr>
          <w:rFonts w:cs="Arial"/>
        </w:rPr>
        <w:t xml:space="preserve"> capacitaciones programadas, </w:t>
      </w:r>
      <w:r w:rsidR="00E73E3C" w:rsidRPr="00E73E3C">
        <w:rPr>
          <w:rFonts w:cs="Arial"/>
        </w:rPr>
        <w:t>quedando pendientes Gobernanza para la paz, así como, Probidad y Ética de lo público.</w:t>
      </w:r>
    </w:p>
    <w:p w14:paraId="4DF948D5" w14:textId="77777777" w:rsidR="009C351D" w:rsidRPr="008D1378" w:rsidRDefault="009C351D" w:rsidP="00A31D15">
      <w:pPr>
        <w:jc w:val="both"/>
        <w:rPr>
          <w:rFonts w:cs="Arial"/>
          <w:highlight w:val="yellow"/>
        </w:rPr>
      </w:pPr>
    </w:p>
    <w:p w14:paraId="6F6C00D9" w14:textId="599EABC1" w:rsidR="009C351D" w:rsidRPr="00E73E3C" w:rsidRDefault="009C351D" w:rsidP="00A31D15">
      <w:pPr>
        <w:jc w:val="both"/>
        <w:rPr>
          <w:rFonts w:cs="Arial"/>
        </w:rPr>
      </w:pPr>
      <w:r w:rsidRPr="00E73E3C">
        <w:rPr>
          <w:rFonts w:cs="Arial"/>
        </w:rPr>
        <w:t>Es importante resaltar, que no se realiz</w:t>
      </w:r>
      <w:r w:rsidR="00E73E3C" w:rsidRPr="00E73E3C">
        <w:rPr>
          <w:rFonts w:cs="Arial"/>
        </w:rPr>
        <w:t>ó</w:t>
      </w:r>
      <w:r w:rsidRPr="00E73E3C">
        <w:rPr>
          <w:rFonts w:cs="Arial"/>
        </w:rPr>
        <w:t xml:space="preserve"> la capacitación correspondiente a Redacción y ortografía, la cual se encontraba programada para el mes de junio.</w:t>
      </w:r>
    </w:p>
    <w:p w14:paraId="462E4DD0" w14:textId="77777777" w:rsidR="00A31D15" w:rsidRPr="00E73E3C" w:rsidRDefault="00A31D15" w:rsidP="00A31D15">
      <w:pPr>
        <w:jc w:val="both"/>
        <w:rPr>
          <w:rFonts w:cs="Arial"/>
        </w:rPr>
      </w:pPr>
    </w:p>
    <w:p w14:paraId="20FAF16B" w14:textId="617BEC47" w:rsidR="00347C21" w:rsidRPr="00E73E3C" w:rsidRDefault="00721DA7" w:rsidP="00721DA7">
      <w:pPr>
        <w:ind w:left="-6"/>
        <w:jc w:val="both"/>
        <w:rPr>
          <w:rFonts w:cs="Arial"/>
        </w:rPr>
      </w:pPr>
      <w:r w:rsidRPr="00E73E3C">
        <w:rPr>
          <w:rFonts w:cs="Arial"/>
        </w:rPr>
        <w:t>Teniendo en cuenta la emergencia sanitaria, estas actividades se desarrollaron de manera virtual, por lo cual no requirió el uso de espacios ni de papelería, ni se dieron refrigerios.</w:t>
      </w:r>
    </w:p>
    <w:p w14:paraId="6CB96450" w14:textId="77777777" w:rsidR="00721DA7" w:rsidRPr="00E73E3C" w:rsidRDefault="00721DA7" w:rsidP="00721DA7">
      <w:pPr>
        <w:ind w:left="-6"/>
        <w:jc w:val="both"/>
        <w:rPr>
          <w:rFonts w:cs="Arial"/>
        </w:rPr>
      </w:pPr>
    </w:p>
    <w:p w14:paraId="7EDDAB7C" w14:textId="4DA0463D" w:rsidR="00721DA7" w:rsidRPr="00A31D15" w:rsidRDefault="00721DA7" w:rsidP="00721DA7">
      <w:pPr>
        <w:ind w:left="-6"/>
        <w:jc w:val="both"/>
        <w:rPr>
          <w:rFonts w:cs="Arial"/>
        </w:rPr>
      </w:pPr>
      <w:r w:rsidRPr="00E73E3C">
        <w:rPr>
          <w:rFonts w:cs="Arial"/>
        </w:rPr>
        <w:t>De acuerdo con lo establecido en el documento general del PIC en el numeral 7, literal c, "De manera interinstitucional, se buscarán alianzas con entidades como la ESAP, SENA, DASCD (Oferta Circular Externa 038 de 2019), Secretaría Jurídica, y otras instituciones y entidades que faciliten el desarrollo y ejecución del PIC", dando cumplimiento a lo establecido en este a</w:t>
      </w:r>
      <w:r w:rsidR="00C23768" w:rsidRPr="00E73E3C">
        <w:rPr>
          <w:rFonts w:cs="Arial"/>
        </w:rPr>
        <w:t>rtículo.</w:t>
      </w:r>
    </w:p>
    <w:p w14:paraId="7385A788" w14:textId="77777777" w:rsidR="00721DA7" w:rsidRDefault="00721DA7" w:rsidP="00A31D15">
      <w:pPr>
        <w:jc w:val="both"/>
        <w:rPr>
          <w:rFonts w:cs="Arial"/>
        </w:rPr>
      </w:pPr>
    </w:p>
    <w:p w14:paraId="13079F30" w14:textId="77777777" w:rsidR="00422C2D" w:rsidRPr="00422C2D" w:rsidRDefault="00422C2D" w:rsidP="00422C2D">
      <w:pPr>
        <w:jc w:val="both"/>
        <w:rPr>
          <w:rFonts w:cs="Arial"/>
          <w:color w:val="4472C4" w:themeColor="accent1"/>
        </w:rPr>
      </w:pPr>
      <w:r w:rsidRPr="00422C2D">
        <w:rPr>
          <w:rFonts w:cs="Arial"/>
          <w:b/>
          <w:bCs/>
          <w:i/>
          <w:iCs/>
          <w:color w:val="4472C4" w:themeColor="accent1"/>
          <w:u w:val="single"/>
        </w:rPr>
        <w:t>Respuesta proceso:</w:t>
      </w:r>
    </w:p>
    <w:p w14:paraId="0ED59CE4" w14:textId="26729DBA" w:rsidR="00422C2D" w:rsidRPr="00422C2D" w:rsidRDefault="00422C2D" w:rsidP="00422C2D">
      <w:pPr>
        <w:jc w:val="both"/>
        <w:rPr>
          <w:rFonts w:cs="Arial"/>
          <w:color w:val="4472C4" w:themeColor="accent1"/>
        </w:rPr>
      </w:pPr>
      <w:r w:rsidRPr="00422C2D">
        <w:rPr>
          <w:rFonts w:cs="Arial"/>
          <w:color w:val="4472C4" w:themeColor="accent1"/>
        </w:rPr>
        <w:br/>
        <w:t>Respecto de la Observación No. 3.5. No fueron ejecutadas en su totalidad las actividades del Plan de Bienestar y Plan de Capacitación, manifestamos que respecto de la ejecución del PIC si bien la capacitación en ortografía y redacción se encontraba programada para el mes de junio de 2021, ésta sí se realizó el 14 de julio de 2021, a través de la capacitación “Tips de Comprensión de Lectura”, en la cual se abordaron aspectos precisos de la comprensión de textos a partir de la redacción efectiva de los mismos.</w:t>
      </w:r>
    </w:p>
    <w:p w14:paraId="33F08330" w14:textId="77777777" w:rsidR="00422C2D" w:rsidRPr="00422C2D" w:rsidRDefault="00422C2D" w:rsidP="00422C2D">
      <w:pPr>
        <w:jc w:val="both"/>
        <w:rPr>
          <w:rFonts w:cs="Arial"/>
          <w:color w:val="4472C4" w:themeColor="accent1"/>
        </w:rPr>
      </w:pPr>
      <w:r w:rsidRPr="00422C2D">
        <w:rPr>
          <w:rFonts w:cs="Arial"/>
          <w:color w:val="4472C4" w:themeColor="accent1"/>
        </w:rPr>
        <w:br/>
        <w:t xml:space="preserve">Así mismo, la planeación y programación de las capacitaciones se hace contando con </w:t>
      </w:r>
      <w:r w:rsidRPr="00422C2D">
        <w:rPr>
          <w:rFonts w:cs="Arial"/>
          <w:color w:val="4472C4" w:themeColor="accent1"/>
        </w:rPr>
        <w:lastRenderedPageBreak/>
        <w:t>ofertas de otras Instituciones, por lo que la gestión de la subdirección está enfocada a realizar la invitación a participar en dichos cursos de capacitación a sus servidores. Es el caso de las capacitaciones en Gobernanza para la Paz y Ética y Probidad en lo Público, en la que se extendió la invitación a los funcionarios públicos del IDPC, de las cuales se adjuntan las evidencias correspondientes.</w:t>
      </w:r>
    </w:p>
    <w:p w14:paraId="2CE5904C" w14:textId="77777777" w:rsidR="00422C2D" w:rsidRPr="00422C2D" w:rsidRDefault="00422C2D" w:rsidP="00422C2D">
      <w:pPr>
        <w:jc w:val="both"/>
        <w:rPr>
          <w:rFonts w:cs="Arial"/>
        </w:rPr>
      </w:pPr>
    </w:p>
    <w:p w14:paraId="7DDD6E80" w14:textId="77777777" w:rsidR="00422C2D" w:rsidRPr="00422C2D" w:rsidRDefault="00422C2D" w:rsidP="00422C2D">
      <w:pPr>
        <w:jc w:val="both"/>
        <w:rPr>
          <w:rFonts w:cs="Arial"/>
          <w:color w:val="C45911" w:themeColor="accent2" w:themeShade="BF"/>
        </w:rPr>
      </w:pPr>
      <w:r w:rsidRPr="00422C2D">
        <w:rPr>
          <w:rFonts w:cs="Arial"/>
          <w:b/>
          <w:bCs/>
          <w:i/>
          <w:iCs/>
          <w:color w:val="C45911" w:themeColor="accent2" w:themeShade="BF"/>
          <w:u w:val="single"/>
        </w:rPr>
        <w:t>Valoración Respuesta:</w:t>
      </w:r>
    </w:p>
    <w:p w14:paraId="32E51BDD" w14:textId="77777777" w:rsidR="00422C2D" w:rsidRPr="00422C2D" w:rsidRDefault="00422C2D" w:rsidP="00422C2D">
      <w:pPr>
        <w:jc w:val="both"/>
        <w:rPr>
          <w:rFonts w:cs="Arial"/>
          <w:color w:val="C45911" w:themeColor="accent2" w:themeShade="BF"/>
        </w:rPr>
      </w:pPr>
    </w:p>
    <w:p w14:paraId="1A6AAE67" w14:textId="77777777" w:rsidR="00422C2D" w:rsidRPr="00422C2D" w:rsidRDefault="00422C2D" w:rsidP="00422C2D">
      <w:pPr>
        <w:jc w:val="both"/>
        <w:rPr>
          <w:rFonts w:cs="Arial"/>
          <w:color w:val="C45911" w:themeColor="accent2" w:themeShade="BF"/>
        </w:rPr>
      </w:pPr>
      <w:r w:rsidRPr="00422C2D">
        <w:rPr>
          <w:rFonts w:cs="Arial"/>
          <w:color w:val="C45911" w:themeColor="accent2" w:themeShade="BF"/>
        </w:rPr>
        <w:t>La evaluación del Plan de Bienestar y del PIC, fue realizada con base en lo reportado por la segunda línea de defensa, de igual manera, fue la remitida con la evaluación a la gestión por dependencias, que fue enviada a los procesos finalizando el mes de enero y de la cual no se recibió ninguna observación, por lo cual se mantuvo. Es importante, que se revisen y objeten los informes de manera oportuna, ya que esta aclaración genera una diferencia entre lo reportado en un informe y en otro. Por otro lado, al revisar el reporte del proceso, como primera línea de defensa, se observa que no se reportó avance cuantitativo en ninguna de estas actividades, de igual manera, para el caso de la capacitación en ortografía y redacción, no se reporta avance cualitativo.</w:t>
      </w:r>
    </w:p>
    <w:p w14:paraId="09B152FA" w14:textId="77777777" w:rsidR="00422C2D" w:rsidRPr="00422C2D" w:rsidRDefault="00422C2D" w:rsidP="00422C2D">
      <w:pPr>
        <w:jc w:val="both"/>
        <w:rPr>
          <w:rFonts w:cs="Arial"/>
          <w:color w:val="C45911" w:themeColor="accent2" w:themeShade="BF"/>
        </w:rPr>
      </w:pPr>
    </w:p>
    <w:p w14:paraId="72C90514" w14:textId="77777777" w:rsidR="00422C2D" w:rsidRPr="00422C2D" w:rsidRDefault="00422C2D" w:rsidP="00422C2D">
      <w:pPr>
        <w:jc w:val="both"/>
        <w:rPr>
          <w:rFonts w:cs="Arial"/>
          <w:color w:val="C45911" w:themeColor="accent2" w:themeShade="BF"/>
        </w:rPr>
      </w:pPr>
      <w:r w:rsidRPr="00422C2D">
        <w:rPr>
          <w:rFonts w:cs="Arial"/>
          <w:color w:val="C45911" w:themeColor="accent2" w:themeShade="BF"/>
        </w:rPr>
        <w:t>Teniendo en cuenta lo anterior, y que no se presentaron observaciones referentes al plan de bienestar, se mantiene la observación con las aclaraciones correspondientes.</w:t>
      </w:r>
    </w:p>
    <w:p w14:paraId="576ABB2E" w14:textId="77777777" w:rsidR="00422C2D" w:rsidRDefault="00422C2D" w:rsidP="00A31D15">
      <w:pPr>
        <w:jc w:val="both"/>
        <w:rPr>
          <w:rFonts w:cs="Arial"/>
        </w:rPr>
      </w:pPr>
    </w:p>
    <w:p w14:paraId="30EC87C5" w14:textId="77777777" w:rsidR="00721DA7" w:rsidRPr="00117848" w:rsidRDefault="00721DA7" w:rsidP="00347C21">
      <w:pPr>
        <w:ind w:left="-6"/>
        <w:jc w:val="both"/>
        <w:rPr>
          <w:rFonts w:cs="Arial"/>
          <w:sz w:val="20"/>
        </w:rPr>
      </w:pPr>
    </w:p>
    <w:p w14:paraId="43639128" w14:textId="37FF101E" w:rsidR="008F6545" w:rsidRDefault="008F6545" w:rsidP="00AA2B29">
      <w:pPr>
        <w:pStyle w:val="Prrafodelista"/>
        <w:numPr>
          <w:ilvl w:val="2"/>
          <w:numId w:val="5"/>
        </w:numPr>
        <w:jc w:val="both"/>
        <w:rPr>
          <w:rFonts w:cs="Arial"/>
          <w:b/>
        </w:rPr>
      </w:pPr>
      <w:r w:rsidRPr="008F6545">
        <w:rPr>
          <w:rFonts w:cs="Arial"/>
          <w:b/>
        </w:rPr>
        <w:t>Artículo 8</w:t>
      </w:r>
      <w:r>
        <w:rPr>
          <w:rFonts w:cs="Arial"/>
          <w:b/>
        </w:rPr>
        <w:t>.</w:t>
      </w:r>
      <w:r w:rsidRPr="008F6545">
        <w:rPr>
          <w:rFonts w:cs="Arial"/>
          <w:b/>
        </w:rPr>
        <w:t xml:space="preserve"> Bienestar</w:t>
      </w:r>
    </w:p>
    <w:p w14:paraId="4F70D36D" w14:textId="77777777" w:rsidR="00A305DE" w:rsidRPr="00A305DE" w:rsidRDefault="00A305DE" w:rsidP="00A305DE">
      <w:pPr>
        <w:ind w:left="-6"/>
        <w:jc w:val="both"/>
        <w:rPr>
          <w:rFonts w:cs="Arial"/>
        </w:rPr>
      </w:pPr>
    </w:p>
    <w:p w14:paraId="6EDB36D7" w14:textId="77777777" w:rsidR="00A305DE" w:rsidRPr="008E16F6" w:rsidRDefault="00A305DE" w:rsidP="00A305DE">
      <w:pPr>
        <w:ind w:left="-6"/>
        <w:jc w:val="both"/>
        <w:rPr>
          <w:rFonts w:cs="Arial"/>
        </w:rPr>
      </w:pPr>
      <w:r w:rsidRPr="008E16F6">
        <w:rPr>
          <w:rFonts w:cs="Arial"/>
        </w:rPr>
        <w:t>Una vez revisado el Plan de Bienestar e Incentivos se evidencia que en el mismo se incluye la oferta realizada por el DASCD; de acuerdo con la programación para el período evaluado y lo reportado por Talento Humano, se desarrollaron las siguientes actividades:</w:t>
      </w:r>
    </w:p>
    <w:p w14:paraId="6FB8FEB2" w14:textId="77777777" w:rsidR="00A305DE" w:rsidRPr="008D1378" w:rsidRDefault="00A305DE" w:rsidP="00A305DE">
      <w:pPr>
        <w:ind w:left="-6"/>
        <w:jc w:val="both"/>
        <w:rPr>
          <w:rFonts w:cs="Arial"/>
          <w:highlight w:val="yellow"/>
        </w:rPr>
      </w:pPr>
    </w:p>
    <w:p w14:paraId="7D934E1C" w14:textId="77777777" w:rsidR="008E16F6" w:rsidRPr="008E16F6" w:rsidRDefault="00DC210E" w:rsidP="00AA2B29">
      <w:pPr>
        <w:pStyle w:val="Prrafodelista"/>
        <w:numPr>
          <w:ilvl w:val="1"/>
          <w:numId w:val="1"/>
        </w:numPr>
        <w:ind w:left="426"/>
        <w:jc w:val="both"/>
        <w:rPr>
          <w:rFonts w:cs="Arial"/>
        </w:rPr>
      </w:pPr>
      <w:r w:rsidRPr="008E16F6">
        <w:rPr>
          <w:rFonts w:cs="Arial"/>
        </w:rPr>
        <w:t>Ofertas de Bancos, EPS, Caja de compensación y demás promociones de interés para los colaboradores del IDPC, de Instituciones públicas o privadas</w:t>
      </w:r>
      <w:r w:rsidR="00A305DE" w:rsidRPr="008E16F6">
        <w:rPr>
          <w:rFonts w:cs="Arial"/>
        </w:rPr>
        <w:t xml:space="preserve">: </w:t>
      </w:r>
      <w:r w:rsidR="00373B33" w:rsidRPr="008E16F6">
        <w:rPr>
          <w:rFonts w:cs="Arial"/>
        </w:rPr>
        <w:t xml:space="preserve">Con el apoyo del DASCD, Caja de Compensación y demás se ha invitado a los colaboradores del IDPC a participar de los eventos y promociones ofertados por ellos. </w:t>
      </w:r>
    </w:p>
    <w:p w14:paraId="23ECFDF6" w14:textId="77777777" w:rsidR="008E16F6" w:rsidRPr="008E16F6" w:rsidRDefault="008E16F6" w:rsidP="00AA2B29">
      <w:pPr>
        <w:pStyle w:val="Prrafodelista"/>
        <w:numPr>
          <w:ilvl w:val="1"/>
          <w:numId w:val="1"/>
        </w:numPr>
        <w:ind w:left="426"/>
        <w:jc w:val="both"/>
        <w:rPr>
          <w:rFonts w:cs="Arial"/>
        </w:rPr>
      </w:pPr>
      <w:r w:rsidRPr="008E16F6">
        <w:rPr>
          <w:rFonts w:cs="Arial"/>
        </w:rPr>
        <w:t>Actividades de vacaciones Recreativas con hijos de servidores</w:t>
      </w:r>
      <w:r w:rsidR="00373B33" w:rsidRPr="008E16F6">
        <w:rPr>
          <w:rFonts w:cs="Arial"/>
        </w:rPr>
        <w:t xml:space="preserve">: </w:t>
      </w:r>
      <w:r w:rsidRPr="008E16F6">
        <w:rPr>
          <w:rFonts w:cs="Arial"/>
        </w:rPr>
        <w:t>En la semana de receso escolar se llevaron a cabo las vacaciones recreativas, se evidencia la invitación y fotos.</w:t>
      </w:r>
    </w:p>
    <w:p w14:paraId="3DFF8C3F" w14:textId="77777777" w:rsidR="008E16F6" w:rsidRPr="008E16F6" w:rsidRDefault="00DC210E" w:rsidP="00AA2B29">
      <w:pPr>
        <w:pStyle w:val="Prrafodelista"/>
        <w:numPr>
          <w:ilvl w:val="1"/>
          <w:numId w:val="1"/>
        </w:numPr>
        <w:ind w:left="426"/>
        <w:jc w:val="both"/>
        <w:rPr>
          <w:rFonts w:cs="Arial"/>
        </w:rPr>
      </w:pPr>
      <w:r w:rsidRPr="008E16F6">
        <w:rPr>
          <w:rFonts w:cs="Arial"/>
        </w:rPr>
        <w:t>Realizar actividades de recreación y esparcimiento laboral:</w:t>
      </w:r>
      <w:r w:rsidR="001B40B2" w:rsidRPr="008E16F6">
        <w:rPr>
          <w:rFonts w:cs="Arial"/>
        </w:rPr>
        <w:t xml:space="preserve"> </w:t>
      </w:r>
      <w:r w:rsidR="008E16F6" w:rsidRPr="008E16F6">
        <w:rPr>
          <w:rFonts w:cs="Arial"/>
        </w:rPr>
        <w:t>Se realizaron actividades de esparcimiento y actividades de estiramiento muscular y pausas activas.</w:t>
      </w:r>
    </w:p>
    <w:p w14:paraId="5ECA87D2" w14:textId="0FB430B2" w:rsidR="008E16F6" w:rsidRPr="008E16F6" w:rsidRDefault="008E16F6" w:rsidP="00AA2B29">
      <w:pPr>
        <w:pStyle w:val="Prrafodelista"/>
        <w:numPr>
          <w:ilvl w:val="1"/>
          <w:numId w:val="1"/>
        </w:numPr>
        <w:ind w:left="426"/>
        <w:jc w:val="both"/>
        <w:rPr>
          <w:rFonts w:cs="Arial"/>
        </w:rPr>
      </w:pPr>
      <w:r w:rsidRPr="008E16F6">
        <w:rPr>
          <w:rFonts w:cs="Arial"/>
        </w:rPr>
        <w:t>Realizar actividades para la celebración de la navidad: En coordinación con la Dirección General, se llevó a cabo la campaña "¡En esta navidad, comparte una noche inolvidable con los niños y las niñas del barrio Las Cruces!", se evidencia correo de invitación y foto de los regalos recogidos.</w:t>
      </w:r>
    </w:p>
    <w:p w14:paraId="39AAAD88" w14:textId="77777777" w:rsidR="008E16F6" w:rsidRPr="008E16F6" w:rsidRDefault="00373B33" w:rsidP="00AA2B29">
      <w:pPr>
        <w:pStyle w:val="Prrafodelista"/>
        <w:numPr>
          <w:ilvl w:val="1"/>
          <w:numId w:val="1"/>
        </w:numPr>
        <w:ind w:left="426"/>
        <w:jc w:val="both"/>
        <w:rPr>
          <w:rFonts w:cs="Arial"/>
        </w:rPr>
      </w:pPr>
      <w:r w:rsidRPr="008E16F6">
        <w:rPr>
          <w:rFonts w:cs="Arial"/>
        </w:rPr>
        <w:t>Juegos deportivos distritales (sujeto a la programación del DASCD): No se presenta ejecución.</w:t>
      </w:r>
    </w:p>
    <w:p w14:paraId="26E52C58" w14:textId="77777777" w:rsidR="008E16F6" w:rsidRDefault="008E16F6" w:rsidP="00AA2B29">
      <w:pPr>
        <w:pStyle w:val="Prrafodelista"/>
        <w:numPr>
          <w:ilvl w:val="1"/>
          <w:numId w:val="1"/>
        </w:numPr>
        <w:ind w:left="426"/>
        <w:jc w:val="both"/>
        <w:rPr>
          <w:rFonts w:cs="Arial"/>
        </w:rPr>
      </w:pPr>
      <w:r w:rsidRPr="008E16F6">
        <w:rPr>
          <w:rFonts w:cs="Arial"/>
        </w:rPr>
        <w:t>Celebración día de la familia en coordinación con la Caja de Compensación: A través de comunicación interna No. 20215200181353, se impartieron lineamientos para la jornada de disfrute de los servidores con sus familias, segundo semestre de 2021</w:t>
      </w:r>
    </w:p>
    <w:p w14:paraId="1638C9EE" w14:textId="40E2F014" w:rsidR="00373B33" w:rsidRPr="008E16F6" w:rsidRDefault="008E16F6" w:rsidP="00AA2B29">
      <w:pPr>
        <w:pStyle w:val="Prrafodelista"/>
        <w:numPr>
          <w:ilvl w:val="1"/>
          <w:numId w:val="1"/>
        </w:numPr>
        <w:ind w:left="426"/>
        <w:jc w:val="both"/>
        <w:rPr>
          <w:rFonts w:cs="Arial"/>
        </w:rPr>
      </w:pPr>
      <w:r w:rsidRPr="008E16F6">
        <w:rPr>
          <w:rFonts w:cs="Arial"/>
        </w:rPr>
        <w:t>Reuniones del equipo directivo y estratégico del IDPC para hacer seguimiento al clima organizacional</w:t>
      </w:r>
      <w:r w:rsidR="00D50EA7" w:rsidRPr="008E16F6">
        <w:rPr>
          <w:rFonts w:cs="Arial"/>
        </w:rPr>
        <w:t xml:space="preserve">: </w:t>
      </w:r>
      <w:r w:rsidRPr="008E16F6">
        <w:rPr>
          <w:rFonts w:cs="Arial"/>
        </w:rPr>
        <w:t>El 23 y 24 de noviembre se llevó a cabo la reunión denominada "Apuestas conceptuales y metodologías IDPC 2022"</w:t>
      </w:r>
    </w:p>
    <w:p w14:paraId="10FBFEAA" w14:textId="77777777" w:rsidR="008E16F6" w:rsidRDefault="008E16F6" w:rsidP="00AA2B29">
      <w:pPr>
        <w:pStyle w:val="Prrafodelista"/>
        <w:numPr>
          <w:ilvl w:val="1"/>
          <w:numId w:val="1"/>
        </w:numPr>
        <w:ind w:left="426"/>
        <w:jc w:val="both"/>
        <w:rPr>
          <w:rFonts w:cs="Arial"/>
        </w:rPr>
      </w:pPr>
      <w:r w:rsidRPr="008E16F6">
        <w:rPr>
          <w:rFonts w:cs="Arial"/>
        </w:rPr>
        <w:t>Cierre de Gestión</w:t>
      </w:r>
      <w:r w:rsidR="00D50EA7" w:rsidRPr="008E16F6">
        <w:rPr>
          <w:rFonts w:cs="Arial"/>
        </w:rPr>
        <w:t xml:space="preserve">: </w:t>
      </w:r>
      <w:r w:rsidRPr="008E16F6">
        <w:rPr>
          <w:rFonts w:cs="Arial"/>
        </w:rPr>
        <w:t>No se presenta ejecución.</w:t>
      </w:r>
    </w:p>
    <w:p w14:paraId="275AD9CD" w14:textId="2E6580CC" w:rsidR="00D50EA7" w:rsidRPr="008E16F6" w:rsidRDefault="008E16F6" w:rsidP="00AA2B29">
      <w:pPr>
        <w:pStyle w:val="Prrafodelista"/>
        <w:numPr>
          <w:ilvl w:val="1"/>
          <w:numId w:val="1"/>
        </w:numPr>
        <w:ind w:left="426"/>
        <w:jc w:val="both"/>
        <w:rPr>
          <w:rFonts w:cs="Arial"/>
        </w:rPr>
      </w:pPr>
      <w:r w:rsidRPr="008E16F6">
        <w:rPr>
          <w:rFonts w:cs="Arial"/>
        </w:rPr>
        <w:lastRenderedPageBreak/>
        <w:t>Desvinculación asistida de provisionales: El 16 de noviembre de 2021 con el apoyo del DASCD se llevó a cabo el "Taller de Oportunidades para crecer"</w:t>
      </w:r>
    </w:p>
    <w:p w14:paraId="34E8232F" w14:textId="77777777" w:rsidR="00D50EA7" w:rsidRPr="008D1378" w:rsidRDefault="00D50EA7" w:rsidP="00DC4252">
      <w:pPr>
        <w:ind w:left="-6"/>
        <w:jc w:val="both"/>
        <w:rPr>
          <w:rFonts w:cs="Arial"/>
          <w:highlight w:val="yellow"/>
        </w:rPr>
      </w:pPr>
    </w:p>
    <w:p w14:paraId="7E88AE7F" w14:textId="1CA97BCE" w:rsidR="00373B33" w:rsidRPr="00E73E3C" w:rsidRDefault="00373B33" w:rsidP="00DC4252">
      <w:pPr>
        <w:ind w:left="-6"/>
        <w:jc w:val="both"/>
        <w:rPr>
          <w:rFonts w:cs="Arial"/>
        </w:rPr>
      </w:pPr>
      <w:r w:rsidRPr="00E73E3C">
        <w:rPr>
          <w:rFonts w:cs="Arial"/>
        </w:rPr>
        <w:t>Es importante resaltar que la</w:t>
      </w:r>
      <w:r w:rsidR="00034623" w:rsidRPr="00E73E3C">
        <w:rPr>
          <w:rFonts w:cs="Arial"/>
        </w:rPr>
        <w:t>s</w:t>
      </w:r>
      <w:r w:rsidRPr="00E73E3C">
        <w:rPr>
          <w:rFonts w:cs="Arial"/>
        </w:rPr>
        <w:t xml:space="preserve"> actividad</w:t>
      </w:r>
      <w:r w:rsidR="00034623" w:rsidRPr="00E73E3C">
        <w:rPr>
          <w:rFonts w:cs="Arial"/>
        </w:rPr>
        <w:t>es</w:t>
      </w:r>
      <w:r w:rsidRPr="00E73E3C">
        <w:rPr>
          <w:rFonts w:cs="Arial"/>
        </w:rPr>
        <w:t xml:space="preserve"> </w:t>
      </w:r>
      <w:r w:rsidR="00034623" w:rsidRPr="00E73E3C">
        <w:rPr>
          <w:rFonts w:cs="Arial"/>
        </w:rPr>
        <w:t>Juegos deportivos distritales y Cierre de Gestión</w:t>
      </w:r>
      <w:r w:rsidR="00E73E3C" w:rsidRPr="00E73E3C">
        <w:rPr>
          <w:rFonts w:cs="Arial"/>
        </w:rPr>
        <w:t>, no se desarrollar</w:t>
      </w:r>
      <w:r w:rsidRPr="00E73E3C">
        <w:rPr>
          <w:rFonts w:cs="Arial"/>
        </w:rPr>
        <w:t>o</w:t>
      </w:r>
      <w:r w:rsidR="00E73E3C" w:rsidRPr="00E73E3C">
        <w:rPr>
          <w:rFonts w:cs="Arial"/>
        </w:rPr>
        <w:t>n en la vigencia 2021</w:t>
      </w:r>
      <w:r w:rsidRPr="00E73E3C">
        <w:rPr>
          <w:rFonts w:cs="Arial"/>
        </w:rPr>
        <w:t>, estando programada</w:t>
      </w:r>
      <w:r w:rsidR="00E73E3C" w:rsidRPr="00E73E3C">
        <w:rPr>
          <w:rFonts w:cs="Arial"/>
        </w:rPr>
        <w:t>s</w:t>
      </w:r>
      <w:r w:rsidRPr="00E73E3C">
        <w:rPr>
          <w:rFonts w:cs="Arial"/>
        </w:rPr>
        <w:t>.</w:t>
      </w:r>
    </w:p>
    <w:p w14:paraId="12168025" w14:textId="77777777" w:rsidR="00373B33" w:rsidRPr="008D1378" w:rsidRDefault="00373B33" w:rsidP="00DC4252">
      <w:pPr>
        <w:ind w:left="-6"/>
        <w:jc w:val="both"/>
        <w:rPr>
          <w:rFonts w:cs="Arial"/>
          <w:highlight w:val="yellow"/>
        </w:rPr>
      </w:pPr>
    </w:p>
    <w:p w14:paraId="4B149585" w14:textId="691EE6C9" w:rsidR="00A305DE" w:rsidRDefault="00A305DE" w:rsidP="00DC4252">
      <w:pPr>
        <w:ind w:left="-6"/>
        <w:jc w:val="both"/>
        <w:rPr>
          <w:rFonts w:cs="Arial"/>
        </w:rPr>
      </w:pPr>
      <w:r w:rsidRPr="00E73E3C">
        <w:rPr>
          <w:rFonts w:cs="Arial"/>
        </w:rPr>
        <w:t>De acuerdo con el seguimiento se evidencia que para la ejecución del Plan de Bienestar se tiene en cuenta la oferta de otros entes, como el DASCD, con quien se coordina la celebración del día de la secretaría, del conductor y capacitación a pre pensionados. Así mismo, con el apoyo de la Caja de Co</w:t>
      </w:r>
      <w:r w:rsidR="00373B33" w:rsidRPr="00E73E3C">
        <w:rPr>
          <w:rFonts w:cs="Arial"/>
        </w:rPr>
        <w:t>mpensación Familiar – COMPENSAR</w:t>
      </w:r>
      <w:r w:rsidRPr="00E73E3C">
        <w:rPr>
          <w:rFonts w:cs="Arial"/>
        </w:rPr>
        <w:t>.</w:t>
      </w:r>
    </w:p>
    <w:p w14:paraId="12043AFF" w14:textId="77777777" w:rsidR="00D50EA7" w:rsidRDefault="00D50EA7" w:rsidP="00C65777">
      <w:pPr>
        <w:jc w:val="both"/>
        <w:rPr>
          <w:rFonts w:cs="Arial"/>
        </w:rPr>
      </w:pPr>
    </w:p>
    <w:p w14:paraId="7CB42C25" w14:textId="77777777" w:rsidR="00D50EA7" w:rsidRPr="00347C21" w:rsidRDefault="00D50EA7" w:rsidP="00347C21">
      <w:pPr>
        <w:ind w:left="-6"/>
        <w:jc w:val="both"/>
        <w:rPr>
          <w:rFonts w:cs="Arial"/>
        </w:rPr>
      </w:pPr>
    </w:p>
    <w:p w14:paraId="164E88E6" w14:textId="77777777" w:rsidR="008F6545" w:rsidRDefault="008F6545" w:rsidP="00AA2B29">
      <w:pPr>
        <w:pStyle w:val="Prrafodelista"/>
        <w:numPr>
          <w:ilvl w:val="2"/>
          <w:numId w:val="5"/>
        </w:numPr>
        <w:jc w:val="both"/>
        <w:rPr>
          <w:rFonts w:cs="Arial"/>
          <w:b/>
        </w:rPr>
      </w:pPr>
      <w:r w:rsidRPr="008F6545">
        <w:rPr>
          <w:rFonts w:cs="Arial"/>
          <w:b/>
        </w:rPr>
        <w:t>Artículo 11</w:t>
      </w:r>
      <w:r>
        <w:rPr>
          <w:rFonts w:cs="Arial"/>
          <w:b/>
        </w:rPr>
        <w:t>.</w:t>
      </w:r>
      <w:r w:rsidRPr="008F6545">
        <w:rPr>
          <w:rFonts w:cs="Arial"/>
          <w:b/>
        </w:rPr>
        <w:t xml:space="preserve"> Concursos públicos abiertos de méritos</w:t>
      </w:r>
    </w:p>
    <w:p w14:paraId="08767A9C" w14:textId="77777777" w:rsidR="00347C21" w:rsidRDefault="00347C21" w:rsidP="00347C21">
      <w:pPr>
        <w:ind w:left="-6"/>
        <w:jc w:val="both"/>
        <w:rPr>
          <w:rFonts w:cs="Arial"/>
        </w:rPr>
      </w:pPr>
    </w:p>
    <w:p w14:paraId="3FECF4C4" w14:textId="725BF4D3" w:rsidR="003B4A6F" w:rsidRDefault="002E21D0" w:rsidP="002E21D0">
      <w:pPr>
        <w:autoSpaceDE w:val="0"/>
        <w:autoSpaceDN w:val="0"/>
        <w:adjustRightInd w:val="0"/>
        <w:jc w:val="both"/>
        <w:rPr>
          <w:rFonts w:ascii="LiberationSans" w:hAnsi="LiberationSans" w:cs="LiberationSans"/>
          <w:color w:val="00000A"/>
          <w:szCs w:val="22"/>
        </w:rPr>
      </w:pPr>
      <w:r>
        <w:rPr>
          <w:rFonts w:ascii="LiberationSans" w:hAnsi="LiberationSans" w:cs="LiberationSans"/>
          <w:color w:val="00000A"/>
          <w:szCs w:val="22"/>
        </w:rPr>
        <w:t>De acuerdo con lo informado por la Subdirección de Gestión Corporativa, el Instituto conjuntamente con la Comisión Nacional del Servicio Civil, mediante Acuerdo No. CNSC - 20201000003976 del 30 de diciembre de 2020, convocó a concurso público de méritos para proveer definitivamente las vacantes pertenecientes al Sistema General de Carrera Administrativa del Instituto Distrital de Patrimonio Cultural - IDPC, Procesos de Selección 1462 a 1492 y 1546 de 2020, correspondientes a la “Convocatoria Distrito Capital 4”. El cual para el cuarto trimestre de la vigencia 2021 se encontraba en ejecución.</w:t>
      </w:r>
    </w:p>
    <w:p w14:paraId="4CCC2C3A" w14:textId="77777777" w:rsidR="002E21D0" w:rsidRPr="002E21D0" w:rsidRDefault="002E21D0" w:rsidP="002E21D0">
      <w:pPr>
        <w:autoSpaceDE w:val="0"/>
        <w:autoSpaceDN w:val="0"/>
        <w:adjustRightInd w:val="0"/>
        <w:jc w:val="both"/>
        <w:rPr>
          <w:rFonts w:ascii="LiberationSans" w:hAnsi="LiberationSans" w:cs="LiberationSans"/>
          <w:color w:val="00000A"/>
          <w:szCs w:val="22"/>
        </w:rPr>
      </w:pPr>
    </w:p>
    <w:p w14:paraId="47382CE3" w14:textId="77777777" w:rsidR="00480A69" w:rsidRPr="00347C21" w:rsidRDefault="00480A69" w:rsidP="00480A69">
      <w:pPr>
        <w:jc w:val="both"/>
        <w:rPr>
          <w:rFonts w:cs="Arial"/>
        </w:rPr>
      </w:pPr>
    </w:p>
    <w:p w14:paraId="45D7405B" w14:textId="6435212E" w:rsidR="00C65777" w:rsidRDefault="00C65777" w:rsidP="00AA2B29">
      <w:pPr>
        <w:pStyle w:val="Prrafodelista"/>
        <w:numPr>
          <w:ilvl w:val="2"/>
          <w:numId w:val="5"/>
        </w:numPr>
        <w:jc w:val="both"/>
        <w:rPr>
          <w:rFonts w:cs="Arial"/>
          <w:b/>
        </w:rPr>
      </w:pPr>
      <w:r w:rsidRPr="00C65777">
        <w:rPr>
          <w:rFonts w:cs="Arial"/>
          <w:b/>
        </w:rPr>
        <w:t>Artículo 13 Parámetros para contratar servicios administrativos</w:t>
      </w:r>
    </w:p>
    <w:p w14:paraId="6546C896" w14:textId="77777777" w:rsidR="00C65777" w:rsidRDefault="00C65777" w:rsidP="00C65777">
      <w:pPr>
        <w:jc w:val="both"/>
        <w:rPr>
          <w:rFonts w:cs="Arial"/>
        </w:rPr>
      </w:pPr>
    </w:p>
    <w:p w14:paraId="7C799AE4" w14:textId="40BACC7C" w:rsidR="00C65777" w:rsidRDefault="0048399E" w:rsidP="0048399E">
      <w:pPr>
        <w:autoSpaceDE w:val="0"/>
        <w:autoSpaceDN w:val="0"/>
        <w:adjustRightInd w:val="0"/>
        <w:jc w:val="both"/>
        <w:rPr>
          <w:rFonts w:ascii="LiberationSans" w:hAnsi="LiberationSans" w:cs="LiberationSans"/>
          <w:color w:val="00000A"/>
          <w:szCs w:val="22"/>
        </w:rPr>
      </w:pPr>
      <w:r>
        <w:rPr>
          <w:rFonts w:ascii="LiberationSans" w:hAnsi="LiberationSans" w:cs="LiberationSans"/>
          <w:color w:val="00000A"/>
          <w:szCs w:val="22"/>
        </w:rPr>
        <w:t>De acuerdo con lo informado por la Subdirección de Gestión Corporativa, para el cuarto trimestre de la vigencia 2021 se generó el contrato IDPC-PS-522-2021 cuyo objeto es “(Cód. 316) Contratar el arrendamiento de equipos de fotocopiado multifuncional, incluido el mantenimiento y soporte técnico preventivo y correctivo programado, con suministro de tóner permanente, así como soporte técnico extraordinario cada vez que se requiera.”, del cual se adjunta el estudio de ventajas y desventajas realizados para el alquiler de equipos de fotocopiado.</w:t>
      </w:r>
    </w:p>
    <w:p w14:paraId="59437B26" w14:textId="77777777" w:rsidR="0048399E" w:rsidRDefault="0048399E" w:rsidP="0048399E">
      <w:pPr>
        <w:autoSpaceDE w:val="0"/>
        <w:autoSpaceDN w:val="0"/>
        <w:adjustRightInd w:val="0"/>
        <w:jc w:val="both"/>
        <w:rPr>
          <w:rFonts w:ascii="LiberationSans" w:hAnsi="LiberationSans" w:cs="LiberationSans"/>
          <w:color w:val="00000A"/>
          <w:szCs w:val="22"/>
        </w:rPr>
      </w:pPr>
    </w:p>
    <w:p w14:paraId="1E1B5929" w14:textId="45228137" w:rsidR="00D02A83" w:rsidRDefault="0048399E" w:rsidP="0048399E">
      <w:pPr>
        <w:autoSpaceDE w:val="0"/>
        <w:autoSpaceDN w:val="0"/>
        <w:adjustRightInd w:val="0"/>
        <w:jc w:val="both"/>
        <w:rPr>
          <w:rFonts w:ascii="LiberationSans" w:hAnsi="LiberationSans" w:cs="LiberationSans"/>
          <w:color w:val="00000A"/>
          <w:szCs w:val="22"/>
        </w:rPr>
      </w:pPr>
      <w:r>
        <w:rPr>
          <w:rFonts w:ascii="LiberationSans" w:hAnsi="LiberationSans" w:cs="LiberationSans"/>
          <w:color w:val="00000A"/>
          <w:szCs w:val="22"/>
        </w:rPr>
        <w:t xml:space="preserve">No obstante lo anterior, al verificar el contrato en el SECOP se evidencia que el documento de ventajas y desventajas fue cargado el 17 de febrero de 2022, es decir, posterior a la solicitud de la Asesoría de Control Interno, </w:t>
      </w:r>
      <w:r w:rsidR="00FB7F11">
        <w:rPr>
          <w:rFonts w:ascii="LiberationSans" w:hAnsi="LiberationSans" w:cs="LiberationSans"/>
          <w:color w:val="00000A"/>
          <w:szCs w:val="22"/>
        </w:rPr>
        <w:t>aun</w:t>
      </w:r>
      <w:r>
        <w:rPr>
          <w:rFonts w:ascii="LiberationSans" w:hAnsi="LiberationSans" w:cs="LiberationSans"/>
          <w:color w:val="00000A"/>
          <w:szCs w:val="22"/>
        </w:rPr>
        <w:t xml:space="preserve"> cuando el contrato fue suscrito el 18 de noviembre de 2021.</w:t>
      </w:r>
      <w:r w:rsidR="00D02A83">
        <w:rPr>
          <w:rFonts w:ascii="LiberationSans" w:hAnsi="LiberationSans" w:cs="LiberationSans"/>
          <w:color w:val="00000A"/>
          <w:szCs w:val="22"/>
        </w:rPr>
        <w:t xml:space="preserve"> Adicional a esto, el documento no cuenta con radicado, lo cual no permite garantizar que el mismo haya sido emitido previo a la contratación respectiva.</w:t>
      </w:r>
    </w:p>
    <w:p w14:paraId="7AC6896F" w14:textId="77777777" w:rsidR="00D02A83" w:rsidRDefault="00D02A83" w:rsidP="0048399E">
      <w:pPr>
        <w:autoSpaceDE w:val="0"/>
        <w:autoSpaceDN w:val="0"/>
        <w:adjustRightInd w:val="0"/>
        <w:jc w:val="both"/>
        <w:rPr>
          <w:rFonts w:ascii="LiberationSans" w:hAnsi="LiberationSans" w:cs="LiberationSans"/>
          <w:color w:val="00000A"/>
          <w:szCs w:val="22"/>
        </w:rPr>
      </w:pPr>
    </w:p>
    <w:p w14:paraId="0CD8534C" w14:textId="1A383E9B" w:rsidR="0048399E" w:rsidRDefault="0048399E" w:rsidP="0048399E">
      <w:pPr>
        <w:autoSpaceDE w:val="0"/>
        <w:autoSpaceDN w:val="0"/>
        <w:adjustRightInd w:val="0"/>
        <w:jc w:val="both"/>
        <w:rPr>
          <w:rFonts w:ascii="LiberationSans" w:hAnsi="LiberationSans" w:cs="LiberationSans"/>
          <w:color w:val="00000A"/>
          <w:szCs w:val="22"/>
        </w:rPr>
      </w:pPr>
      <w:r>
        <w:rPr>
          <w:rFonts w:ascii="LiberationSans" w:hAnsi="LiberationSans" w:cs="LiberationSans"/>
          <w:color w:val="00000A"/>
          <w:szCs w:val="22"/>
        </w:rPr>
        <w:t xml:space="preserve">De igual manera, esta debilidad ya había sido advertida por esta oficina en ocasiones anteriores. </w:t>
      </w:r>
    </w:p>
    <w:p w14:paraId="19F8B069" w14:textId="77777777" w:rsidR="0048399E" w:rsidRDefault="0048399E" w:rsidP="0048399E">
      <w:pPr>
        <w:autoSpaceDE w:val="0"/>
        <w:autoSpaceDN w:val="0"/>
        <w:adjustRightInd w:val="0"/>
        <w:jc w:val="both"/>
        <w:rPr>
          <w:rFonts w:cs="Arial"/>
        </w:rPr>
      </w:pPr>
    </w:p>
    <w:p w14:paraId="603813E3" w14:textId="77777777" w:rsidR="00C65777" w:rsidRPr="00117848" w:rsidRDefault="00C65777" w:rsidP="00C65777">
      <w:pPr>
        <w:jc w:val="both"/>
        <w:rPr>
          <w:rFonts w:cs="Arial"/>
          <w:sz w:val="20"/>
        </w:rPr>
      </w:pPr>
    </w:p>
    <w:p w14:paraId="1254D0D0" w14:textId="77777777" w:rsidR="008F6545" w:rsidRPr="00DD174E" w:rsidRDefault="008F6545" w:rsidP="00AA2B29">
      <w:pPr>
        <w:pStyle w:val="Prrafodelista"/>
        <w:numPr>
          <w:ilvl w:val="2"/>
          <w:numId w:val="5"/>
        </w:numPr>
        <w:jc w:val="both"/>
        <w:rPr>
          <w:rFonts w:cs="Arial"/>
          <w:b/>
        </w:rPr>
      </w:pPr>
      <w:r w:rsidRPr="00DD174E">
        <w:rPr>
          <w:rFonts w:cs="Arial"/>
          <w:b/>
        </w:rPr>
        <w:t>Artículo 14. Telefonía celular</w:t>
      </w:r>
    </w:p>
    <w:p w14:paraId="2E78316A" w14:textId="77777777" w:rsidR="00347C21" w:rsidRPr="00117848" w:rsidRDefault="00347C21" w:rsidP="00347C21">
      <w:pPr>
        <w:ind w:left="-6"/>
        <w:jc w:val="both"/>
        <w:rPr>
          <w:rFonts w:cs="Arial"/>
          <w:sz w:val="18"/>
        </w:rPr>
      </w:pPr>
    </w:p>
    <w:p w14:paraId="6C7145B8" w14:textId="6DD0C213" w:rsidR="00F56829" w:rsidRPr="003B4A6F" w:rsidRDefault="00F56829" w:rsidP="00F56829">
      <w:pPr>
        <w:pStyle w:val="Prrafodelista"/>
        <w:ind w:left="0"/>
        <w:jc w:val="both"/>
        <w:rPr>
          <w:rFonts w:cs="Arial"/>
          <w:b/>
          <w:color w:val="000000"/>
        </w:rPr>
      </w:pPr>
      <w:r w:rsidRPr="00FB7F11">
        <w:rPr>
          <w:rFonts w:cs="Arial"/>
          <w:color w:val="000000"/>
        </w:rPr>
        <w:t>Se evidencian pagos por concepto de telefonía móvil</w:t>
      </w:r>
      <w:r w:rsidR="00B35C16" w:rsidRPr="00FB7F11">
        <w:rPr>
          <w:rFonts w:cs="Arial"/>
          <w:color w:val="000000"/>
        </w:rPr>
        <w:t xml:space="preserve"> y fija</w:t>
      </w:r>
      <w:r w:rsidRPr="00FB7F11">
        <w:rPr>
          <w:rFonts w:cs="Arial"/>
          <w:color w:val="000000"/>
        </w:rPr>
        <w:t xml:space="preserve"> por valor de </w:t>
      </w:r>
      <w:r w:rsidRPr="00FB7F11">
        <w:rPr>
          <w:rFonts w:cs="Arial"/>
          <w:b/>
          <w:bCs/>
          <w:color w:val="000000"/>
        </w:rPr>
        <w:t>$</w:t>
      </w:r>
      <w:r w:rsidR="00FB7F11" w:rsidRPr="00FB7F11">
        <w:rPr>
          <w:rFonts w:cs="Arial"/>
          <w:b/>
          <w:color w:val="000000"/>
        </w:rPr>
        <w:t>2</w:t>
      </w:r>
      <w:r w:rsidR="00DA41CC" w:rsidRPr="00FB7F11">
        <w:rPr>
          <w:rFonts w:cs="Arial"/>
          <w:b/>
          <w:color w:val="000000"/>
        </w:rPr>
        <w:t>.</w:t>
      </w:r>
      <w:r w:rsidR="00FB7F11" w:rsidRPr="00FB7F11">
        <w:rPr>
          <w:rFonts w:cs="Arial"/>
          <w:b/>
          <w:color w:val="000000"/>
        </w:rPr>
        <w:t>689</w:t>
      </w:r>
      <w:r w:rsidR="00B35C16" w:rsidRPr="00FB7F11">
        <w:rPr>
          <w:rFonts w:cs="Arial"/>
          <w:b/>
          <w:color w:val="000000"/>
        </w:rPr>
        <w:t>.</w:t>
      </w:r>
      <w:r w:rsidR="00FB7F11" w:rsidRPr="00FB7F11">
        <w:rPr>
          <w:rFonts w:cs="Arial"/>
          <w:b/>
          <w:color w:val="000000"/>
        </w:rPr>
        <w:t>7</w:t>
      </w:r>
      <w:r w:rsidR="00480A69" w:rsidRPr="00FB7F11">
        <w:rPr>
          <w:rFonts w:cs="Arial"/>
          <w:b/>
          <w:color w:val="000000"/>
        </w:rPr>
        <w:t>2</w:t>
      </w:r>
      <w:r w:rsidR="00FB7F11" w:rsidRPr="00FB7F11">
        <w:rPr>
          <w:rFonts w:cs="Arial"/>
          <w:b/>
          <w:color w:val="000000"/>
        </w:rPr>
        <w:t>8</w:t>
      </w:r>
      <w:r w:rsidRPr="00FB7F11">
        <w:rPr>
          <w:rFonts w:cs="Arial"/>
          <w:color w:val="000000"/>
        </w:rPr>
        <w:t>, evidenciando un</w:t>
      </w:r>
      <w:r w:rsidR="00480A69" w:rsidRPr="00FB7F11">
        <w:rPr>
          <w:rFonts w:cs="Arial"/>
          <w:color w:val="000000"/>
        </w:rPr>
        <w:t>a</w:t>
      </w:r>
      <w:r w:rsidR="009C52A4" w:rsidRPr="00FB7F11">
        <w:rPr>
          <w:rFonts w:cs="Arial"/>
          <w:color w:val="000000"/>
        </w:rPr>
        <w:t xml:space="preserve"> </w:t>
      </w:r>
      <w:r w:rsidR="00480A69" w:rsidRPr="00FB7F11">
        <w:rPr>
          <w:rFonts w:cs="Arial"/>
          <w:color w:val="000000"/>
        </w:rPr>
        <w:t>disminución</w:t>
      </w:r>
      <w:r w:rsidRPr="00FB7F11">
        <w:rPr>
          <w:rFonts w:cs="Arial"/>
          <w:color w:val="000000"/>
        </w:rPr>
        <w:t xml:space="preserve"> del </w:t>
      </w:r>
      <w:r w:rsidR="00FB7F11" w:rsidRPr="00FB7F11">
        <w:rPr>
          <w:rFonts w:cs="Arial"/>
          <w:b/>
          <w:color w:val="00B050"/>
        </w:rPr>
        <w:t>80</w:t>
      </w:r>
      <w:r w:rsidRPr="00FB7F11">
        <w:rPr>
          <w:rFonts w:cs="Arial"/>
          <w:b/>
          <w:color w:val="00B050"/>
        </w:rPr>
        <w:t>,</w:t>
      </w:r>
      <w:r w:rsidR="00FB7F11" w:rsidRPr="00FB7F11">
        <w:rPr>
          <w:rFonts w:cs="Arial"/>
          <w:b/>
          <w:color w:val="00B050"/>
        </w:rPr>
        <w:t>24</w:t>
      </w:r>
      <w:r w:rsidRPr="00FB7F11">
        <w:rPr>
          <w:rFonts w:cs="Arial"/>
          <w:b/>
          <w:color w:val="00B050"/>
        </w:rPr>
        <w:t>%</w:t>
      </w:r>
      <w:r w:rsidRPr="00FB7F11">
        <w:rPr>
          <w:rFonts w:cs="Arial"/>
          <w:color w:val="00B050"/>
        </w:rPr>
        <w:t xml:space="preserve"> </w:t>
      </w:r>
      <w:r w:rsidRPr="00FB7F11">
        <w:rPr>
          <w:rFonts w:cs="Arial"/>
          <w:color w:val="000000"/>
        </w:rPr>
        <w:t xml:space="preserve">por valor de </w:t>
      </w:r>
      <w:r w:rsidR="00FB7F11" w:rsidRPr="00FB7F11">
        <w:rPr>
          <w:rFonts w:cs="Arial"/>
          <w:b/>
          <w:color w:val="000000"/>
        </w:rPr>
        <w:t>$10.</w:t>
      </w:r>
      <w:r w:rsidR="00480A69" w:rsidRPr="00FB7F11">
        <w:rPr>
          <w:rFonts w:cs="Arial"/>
          <w:b/>
          <w:color w:val="000000"/>
        </w:rPr>
        <w:t>9</w:t>
      </w:r>
      <w:r w:rsidR="00FB7F11" w:rsidRPr="00FB7F11">
        <w:rPr>
          <w:rFonts w:cs="Arial"/>
          <w:b/>
          <w:color w:val="000000"/>
        </w:rPr>
        <w:t>24</w:t>
      </w:r>
      <w:r w:rsidR="00B35C16" w:rsidRPr="00FB7F11">
        <w:rPr>
          <w:rFonts w:cs="Arial"/>
          <w:b/>
          <w:color w:val="000000"/>
        </w:rPr>
        <w:t>.</w:t>
      </w:r>
      <w:r w:rsidR="00FB7F11" w:rsidRPr="00FB7F11">
        <w:rPr>
          <w:rFonts w:cs="Arial"/>
          <w:b/>
          <w:color w:val="000000"/>
        </w:rPr>
        <w:t>074</w:t>
      </w:r>
      <w:r w:rsidRPr="00FB7F11">
        <w:rPr>
          <w:rFonts w:cs="Arial"/>
          <w:color w:val="000000"/>
        </w:rPr>
        <w:t>, con respecto al mismo período de la vigencia anterior.</w:t>
      </w:r>
    </w:p>
    <w:p w14:paraId="508CA7A4" w14:textId="77777777" w:rsidR="00F56829" w:rsidRPr="003B4A6F" w:rsidRDefault="00F56829" w:rsidP="00F56829">
      <w:pPr>
        <w:jc w:val="both"/>
        <w:rPr>
          <w:rFonts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93"/>
        <w:gridCol w:w="834"/>
        <w:gridCol w:w="834"/>
        <w:gridCol w:w="834"/>
        <w:gridCol w:w="797"/>
        <w:gridCol w:w="798"/>
        <w:gridCol w:w="812"/>
        <w:gridCol w:w="834"/>
        <w:gridCol w:w="834"/>
        <w:gridCol w:w="958"/>
      </w:tblGrid>
      <w:tr w:rsidR="009C52A4" w:rsidRPr="003B4A6F" w14:paraId="212F63D9" w14:textId="77777777" w:rsidTr="00FB7F11">
        <w:trPr>
          <w:trHeight w:val="255"/>
          <w:tblHeader/>
        </w:trPr>
        <w:tc>
          <w:tcPr>
            <w:tcW w:w="732" w:type="pct"/>
            <w:vMerge w:val="restart"/>
            <w:shd w:val="clear" w:color="F2F2F2" w:fill="F2F2F2"/>
            <w:vAlign w:val="center"/>
            <w:hideMark/>
          </w:tcPr>
          <w:p w14:paraId="3ABA9868" w14:textId="77777777" w:rsidR="001A43FD" w:rsidRPr="003B4A6F" w:rsidRDefault="001A43FD">
            <w:pPr>
              <w:jc w:val="center"/>
              <w:rPr>
                <w:rFonts w:ascii="Arial Narrow" w:hAnsi="Arial Narrow" w:cs="Arial"/>
                <w:b/>
                <w:bCs/>
                <w:color w:val="000000"/>
                <w:sz w:val="16"/>
                <w:szCs w:val="16"/>
              </w:rPr>
            </w:pPr>
            <w:r w:rsidRPr="003B4A6F">
              <w:rPr>
                <w:rFonts w:ascii="Arial Narrow" w:hAnsi="Arial Narrow" w:cs="Arial"/>
                <w:b/>
                <w:bCs/>
                <w:color w:val="000000"/>
                <w:sz w:val="16"/>
                <w:szCs w:val="16"/>
              </w:rPr>
              <w:lastRenderedPageBreak/>
              <w:t>RUBRO</w:t>
            </w:r>
          </w:p>
        </w:tc>
        <w:tc>
          <w:tcPr>
            <w:tcW w:w="1417" w:type="pct"/>
            <w:gridSpan w:val="3"/>
            <w:shd w:val="clear" w:color="F2F2F2" w:fill="F2F2F2"/>
            <w:noWrap/>
            <w:vAlign w:val="center"/>
            <w:hideMark/>
          </w:tcPr>
          <w:p w14:paraId="237593B1" w14:textId="280ED257" w:rsidR="001A43FD" w:rsidRPr="003B4A6F" w:rsidRDefault="00DA41CC">
            <w:pPr>
              <w:jc w:val="center"/>
              <w:rPr>
                <w:rFonts w:ascii="Arial Narrow" w:hAnsi="Arial Narrow" w:cs="Arial"/>
                <w:b/>
                <w:bCs/>
                <w:color w:val="000000"/>
                <w:sz w:val="16"/>
                <w:szCs w:val="16"/>
              </w:rPr>
            </w:pPr>
            <w:r w:rsidRPr="003B4A6F">
              <w:rPr>
                <w:rFonts w:ascii="Arial Narrow" w:hAnsi="Arial Narrow" w:cs="Arial"/>
                <w:b/>
                <w:bCs/>
                <w:color w:val="000000"/>
                <w:sz w:val="16"/>
                <w:szCs w:val="16"/>
              </w:rPr>
              <w:t>2020</w:t>
            </w:r>
          </w:p>
        </w:tc>
        <w:tc>
          <w:tcPr>
            <w:tcW w:w="1417" w:type="pct"/>
            <w:gridSpan w:val="3"/>
            <w:shd w:val="clear" w:color="F2F2F2" w:fill="F2F2F2"/>
            <w:noWrap/>
            <w:vAlign w:val="center"/>
            <w:hideMark/>
          </w:tcPr>
          <w:p w14:paraId="70AFB2D5" w14:textId="58977D20" w:rsidR="001A43FD" w:rsidRPr="003B4A6F" w:rsidRDefault="00DA41CC">
            <w:pPr>
              <w:jc w:val="center"/>
              <w:rPr>
                <w:rFonts w:ascii="Arial Narrow" w:hAnsi="Arial Narrow" w:cs="Arial"/>
                <w:b/>
                <w:bCs/>
                <w:color w:val="000000"/>
                <w:sz w:val="16"/>
                <w:szCs w:val="16"/>
              </w:rPr>
            </w:pPr>
            <w:r w:rsidRPr="003B4A6F">
              <w:rPr>
                <w:rFonts w:ascii="Arial Narrow" w:hAnsi="Arial Narrow" w:cs="Arial"/>
                <w:b/>
                <w:bCs/>
                <w:color w:val="000000"/>
                <w:sz w:val="16"/>
                <w:szCs w:val="16"/>
              </w:rPr>
              <w:t>2021</w:t>
            </w:r>
          </w:p>
        </w:tc>
        <w:tc>
          <w:tcPr>
            <w:tcW w:w="1434" w:type="pct"/>
            <w:gridSpan w:val="3"/>
            <w:shd w:val="clear" w:color="F2F2F2" w:fill="F2F2F2"/>
            <w:noWrap/>
            <w:vAlign w:val="center"/>
            <w:hideMark/>
          </w:tcPr>
          <w:p w14:paraId="1F6C84CD" w14:textId="02E7FA88" w:rsidR="001A43FD" w:rsidRPr="003B4A6F" w:rsidRDefault="00DA41CC">
            <w:pPr>
              <w:jc w:val="center"/>
              <w:rPr>
                <w:rFonts w:ascii="Arial Narrow" w:hAnsi="Arial Narrow" w:cs="Arial"/>
                <w:b/>
                <w:bCs/>
                <w:color w:val="000000"/>
                <w:sz w:val="16"/>
                <w:szCs w:val="16"/>
              </w:rPr>
            </w:pPr>
            <w:r w:rsidRPr="003B4A6F">
              <w:rPr>
                <w:rFonts w:ascii="Arial Narrow" w:hAnsi="Arial Narrow" w:cs="Arial"/>
                <w:b/>
                <w:bCs/>
                <w:color w:val="000000"/>
                <w:sz w:val="16"/>
                <w:szCs w:val="16"/>
              </w:rPr>
              <w:t xml:space="preserve"> COMPARATIVO </w:t>
            </w:r>
            <w:r w:rsidR="009C52A4">
              <w:rPr>
                <w:rFonts w:ascii="Arial Narrow" w:hAnsi="Arial Narrow" w:cs="Arial"/>
                <w:b/>
                <w:bCs/>
                <w:color w:val="000000"/>
                <w:sz w:val="16"/>
                <w:szCs w:val="16"/>
              </w:rPr>
              <w:t>I</w:t>
            </w:r>
            <w:r w:rsidR="00FB7F11">
              <w:rPr>
                <w:rFonts w:ascii="Arial Narrow" w:hAnsi="Arial Narrow" w:cs="Arial"/>
                <w:b/>
                <w:bCs/>
                <w:color w:val="000000"/>
                <w:sz w:val="16"/>
                <w:szCs w:val="16"/>
              </w:rPr>
              <w:t>V</w:t>
            </w:r>
            <w:r w:rsidR="001A43FD" w:rsidRPr="003B4A6F">
              <w:rPr>
                <w:rFonts w:ascii="Arial Narrow" w:hAnsi="Arial Narrow" w:cs="Arial"/>
                <w:b/>
                <w:bCs/>
                <w:color w:val="000000"/>
                <w:sz w:val="16"/>
                <w:szCs w:val="16"/>
              </w:rPr>
              <w:t xml:space="preserve"> TRIMESTRE </w:t>
            </w:r>
          </w:p>
        </w:tc>
      </w:tr>
      <w:tr w:rsidR="00FB7F11" w:rsidRPr="003B4A6F" w14:paraId="460BF1E1" w14:textId="77777777" w:rsidTr="00FB7F11">
        <w:trPr>
          <w:trHeight w:val="255"/>
          <w:tblHeader/>
        </w:trPr>
        <w:tc>
          <w:tcPr>
            <w:tcW w:w="732" w:type="pct"/>
            <w:vMerge/>
            <w:vAlign w:val="center"/>
            <w:hideMark/>
          </w:tcPr>
          <w:p w14:paraId="3216383A" w14:textId="77777777" w:rsidR="00FB7F11" w:rsidRPr="003B4A6F" w:rsidRDefault="00FB7F11" w:rsidP="00FB7F11">
            <w:pPr>
              <w:rPr>
                <w:rFonts w:ascii="Arial Narrow" w:hAnsi="Arial Narrow" w:cs="Arial"/>
                <w:b/>
                <w:bCs/>
                <w:color w:val="000000"/>
                <w:sz w:val="16"/>
                <w:szCs w:val="16"/>
              </w:rPr>
            </w:pPr>
          </w:p>
        </w:tc>
        <w:tc>
          <w:tcPr>
            <w:tcW w:w="472" w:type="pct"/>
            <w:shd w:val="clear" w:color="F2F2F2" w:fill="F2F2F2"/>
            <w:vAlign w:val="center"/>
            <w:hideMark/>
          </w:tcPr>
          <w:p w14:paraId="1977CBFC" w14:textId="4C8A5F8D" w:rsidR="00FB7F11" w:rsidRPr="003B4A6F" w:rsidRDefault="00FB7F11"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OCT </w:t>
            </w:r>
          </w:p>
        </w:tc>
        <w:tc>
          <w:tcPr>
            <w:tcW w:w="472" w:type="pct"/>
            <w:shd w:val="clear" w:color="F2F2F2" w:fill="F2F2F2"/>
            <w:vAlign w:val="center"/>
            <w:hideMark/>
          </w:tcPr>
          <w:p w14:paraId="23D93DE4" w14:textId="22AAA669" w:rsidR="00FB7F11" w:rsidRPr="003B4A6F" w:rsidRDefault="00FB7F11"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NOV </w:t>
            </w:r>
          </w:p>
        </w:tc>
        <w:tc>
          <w:tcPr>
            <w:tcW w:w="472" w:type="pct"/>
            <w:shd w:val="clear" w:color="F2F2F2" w:fill="F2F2F2"/>
            <w:vAlign w:val="center"/>
            <w:hideMark/>
          </w:tcPr>
          <w:p w14:paraId="60282845" w14:textId="3DCD73CB" w:rsidR="00FB7F11" w:rsidRPr="003B4A6F" w:rsidRDefault="00FB7F11"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DIC </w:t>
            </w:r>
          </w:p>
        </w:tc>
        <w:tc>
          <w:tcPr>
            <w:tcW w:w="472" w:type="pct"/>
            <w:shd w:val="clear" w:color="F2F2F2" w:fill="F2F2F2"/>
            <w:vAlign w:val="center"/>
            <w:hideMark/>
          </w:tcPr>
          <w:p w14:paraId="7F9DD41A" w14:textId="6680B179" w:rsidR="00FB7F11" w:rsidRPr="003B4A6F" w:rsidRDefault="00FB7F11"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OCT </w:t>
            </w:r>
          </w:p>
        </w:tc>
        <w:tc>
          <w:tcPr>
            <w:tcW w:w="472" w:type="pct"/>
            <w:shd w:val="clear" w:color="F2F2F2" w:fill="F2F2F2"/>
            <w:vAlign w:val="center"/>
            <w:hideMark/>
          </w:tcPr>
          <w:p w14:paraId="64DEDF02" w14:textId="1F8E1BEF" w:rsidR="00FB7F11" w:rsidRPr="003B4A6F" w:rsidRDefault="00FB7F11"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NOV </w:t>
            </w:r>
          </w:p>
        </w:tc>
        <w:tc>
          <w:tcPr>
            <w:tcW w:w="472" w:type="pct"/>
            <w:shd w:val="clear" w:color="F2F2F2" w:fill="F2F2F2"/>
            <w:vAlign w:val="center"/>
            <w:hideMark/>
          </w:tcPr>
          <w:p w14:paraId="551E296A" w14:textId="0636F29D" w:rsidR="00FB7F11" w:rsidRPr="003B4A6F" w:rsidRDefault="00FB7F11"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DIC </w:t>
            </w:r>
          </w:p>
        </w:tc>
        <w:tc>
          <w:tcPr>
            <w:tcW w:w="472" w:type="pct"/>
            <w:shd w:val="clear" w:color="F2F2F2" w:fill="F2F2F2"/>
            <w:vAlign w:val="center"/>
            <w:hideMark/>
          </w:tcPr>
          <w:p w14:paraId="0127B19C" w14:textId="55CADD3F" w:rsidR="00FB7F11" w:rsidRPr="003B4A6F" w:rsidRDefault="00FB7F11"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IV TRIM 2020 </w:t>
            </w:r>
          </w:p>
        </w:tc>
        <w:tc>
          <w:tcPr>
            <w:tcW w:w="460" w:type="pct"/>
            <w:shd w:val="clear" w:color="F2F2F2" w:fill="F2F2F2"/>
            <w:vAlign w:val="center"/>
            <w:hideMark/>
          </w:tcPr>
          <w:p w14:paraId="6AD568F0" w14:textId="471E07B0" w:rsidR="00FB7F11" w:rsidRPr="003B4A6F" w:rsidRDefault="00FB7F11"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IV TRIM 2021 </w:t>
            </w:r>
          </w:p>
        </w:tc>
        <w:tc>
          <w:tcPr>
            <w:tcW w:w="501" w:type="pct"/>
            <w:shd w:val="clear" w:color="F2F2F2" w:fill="F2F2F2"/>
            <w:vAlign w:val="center"/>
            <w:hideMark/>
          </w:tcPr>
          <w:p w14:paraId="1827B308" w14:textId="06FD8831" w:rsidR="00FB7F11" w:rsidRPr="003B4A6F" w:rsidRDefault="00FB7F11" w:rsidP="00FB7F11">
            <w:pPr>
              <w:jc w:val="center"/>
              <w:rPr>
                <w:rFonts w:ascii="Arial Narrow" w:hAnsi="Arial Narrow" w:cs="Arial"/>
                <w:b/>
                <w:bCs/>
                <w:color w:val="000000"/>
                <w:sz w:val="16"/>
                <w:szCs w:val="16"/>
              </w:rPr>
            </w:pPr>
            <w:r>
              <w:rPr>
                <w:rFonts w:ascii="Arial Narrow" w:hAnsi="Arial Narrow" w:cs="Arial"/>
                <w:b/>
                <w:bCs/>
                <w:color w:val="000000"/>
                <w:sz w:val="16"/>
                <w:szCs w:val="16"/>
              </w:rPr>
              <w:t xml:space="preserve"> DIFEREN </w:t>
            </w:r>
          </w:p>
        </w:tc>
      </w:tr>
      <w:tr w:rsidR="00FB7F11" w:rsidRPr="003B4A6F" w14:paraId="61FA8FF4" w14:textId="77777777" w:rsidTr="00FB7F11">
        <w:trPr>
          <w:trHeight w:val="255"/>
        </w:trPr>
        <w:tc>
          <w:tcPr>
            <w:tcW w:w="732" w:type="pct"/>
            <w:shd w:val="clear" w:color="auto" w:fill="auto"/>
            <w:vAlign w:val="center"/>
            <w:hideMark/>
          </w:tcPr>
          <w:p w14:paraId="534B1283" w14:textId="77777777" w:rsidR="00FB7F11" w:rsidRPr="003B4A6F" w:rsidRDefault="00FB7F11" w:rsidP="00FB7F11">
            <w:pPr>
              <w:rPr>
                <w:rFonts w:ascii="Arial Narrow" w:hAnsi="Arial Narrow" w:cs="Arial"/>
                <w:color w:val="000000"/>
                <w:sz w:val="16"/>
                <w:szCs w:val="16"/>
              </w:rPr>
            </w:pPr>
            <w:r w:rsidRPr="003B4A6F">
              <w:rPr>
                <w:rFonts w:ascii="Arial Narrow" w:hAnsi="Arial Narrow" w:cs="Arial"/>
                <w:color w:val="000000"/>
                <w:sz w:val="16"/>
                <w:szCs w:val="16"/>
              </w:rPr>
              <w:t xml:space="preserve"> Servicios de telefonía fija </w:t>
            </w:r>
          </w:p>
        </w:tc>
        <w:tc>
          <w:tcPr>
            <w:tcW w:w="472" w:type="pct"/>
            <w:shd w:val="clear" w:color="DBE5F1" w:fill="DBE5F1"/>
            <w:noWrap/>
            <w:vAlign w:val="center"/>
            <w:hideMark/>
          </w:tcPr>
          <w:p w14:paraId="02121A43" w14:textId="709B40E0"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356.310 </w:t>
            </w:r>
          </w:p>
        </w:tc>
        <w:tc>
          <w:tcPr>
            <w:tcW w:w="472" w:type="pct"/>
            <w:shd w:val="clear" w:color="DBE5F1" w:fill="DBE5F1"/>
            <w:noWrap/>
            <w:vAlign w:val="center"/>
            <w:hideMark/>
          </w:tcPr>
          <w:p w14:paraId="0B863AAF" w14:textId="2DAD4172"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180.810 </w:t>
            </w:r>
          </w:p>
        </w:tc>
        <w:tc>
          <w:tcPr>
            <w:tcW w:w="472" w:type="pct"/>
            <w:shd w:val="clear" w:color="DBE5F1" w:fill="DBE5F1"/>
            <w:noWrap/>
            <w:vAlign w:val="center"/>
            <w:hideMark/>
          </w:tcPr>
          <w:p w14:paraId="378603D9" w14:textId="2AA394BA"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181.510 </w:t>
            </w:r>
          </w:p>
        </w:tc>
        <w:tc>
          <w:tcPr>
            <w:tcW w:w="472" w:type="pct"/>
            <w:shd w:val="clear" w:color="FDE9D9" w:fill="FDE9D9"/>
            <w:noWrap/>
            <w:vAlign w:val="center"/>
            <w:hideMark/>
          </w:tcPr>
          <w:p w14:paraId="2B4E761D" w14:textId="6D867502"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244.200 </w:t>
            </w:r>
          </w:p>
        </w:tc>
        <w:tc>
          <w:tcPr>
            <w:tcW w:w="472" w:type="pct"/>
            <w:shd w:val="clear" w:color="FDE9D9" w:fill="FDE9D9"/>
            <w:noWrap/>
            <w:vAlign w:val="center"/>
            <w:hideMark/>
          </w:tcPr>
          <w:p w14:paraId="7C15FC5D" w14:textId="726B19DB"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186.320 </w:t>
            </w:r>
          </w:p>
        </w:tc>
        <w:tc>
          <w:tcPr>
            <w:tcW w:w="472" w:type="pct"/>
            <w:shd w:val="clear" w:color="FDE9D9" w:fill="FDE9D9"/>
            <w:noWrap/>
            <w:vAlign w:val="center"/>
            <w:hideMark/>
          </w:tcPr>
          <w:p w14:paraId="727F8713" w14:textId="7FEA4E71"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53.580 </w:t>
            </w:r>
          </w:p>
        </w:tc>
        <w:tc>
          <w:tcPr>
            <w:tcW w:w="472" w:type="pct"/>
            <w:shd w:val="clear" w:color="auto" w:fill="auto"/>
            <w:noWrap/>
            <w:vAlign w:val="center"/>
            <w:hideMark/>
          </w:tcPr>
          <w:p w14:paraId="216DD785" w14:textId="003A802E"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718.630 </w:t>
            </w:r>
          </w:p>
        </w:tc>
        <w:tc>
          <w:tcPr>
            <w:tcW w:w="460" w:type="pct"/>
            <w:shd w:val="clear" w:color="auto" w:fill="auto"/>
            <w:noWrap/>
            <w:vAlign w:val="center"/>
            <w:hideMark/>
          </w:tcPr>
          <w:p w14:paraId="0DF1C749" w14:textId="35DDB5E2"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484.100 </w:t>
            </w:r>
          </w:p>
        </w:tc>
        <w:tc>
          <w:tcPr>
            <w:tcW w:w="501" w:type="pct"/>
            <w:shd w:val="clear" w:color="auto" w:fill="auto"/>
            <w:noWrap/>
            <w:vAlign w:val="center"/>
            <w:hideMark/>
          </w:tcPr>
          <w:p w14:paraId="0F76F751" w14:textId="6CBA41BB"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(234.530)</w:t>
            </w:r>
          </w:p>
        </w:tc>
      </w:tr>
      <w:tr w:rsidR="00FB7F11" w:rsidRPr="003B4A6F" w14:paraId="3CA43656" w14:textId="77777777" w:rsidTr="00FB7F11">
        <w:trPr>
          <w:trHeight w:val="255"/>
        </w:trPr>
        <w:tc>
          <w:tcPr>
            <w:tcW w:w="732" w:type="pct"/>
            <w:shd w:val="clear" w:color="auto" w:fill="auto"/>
            <w:vAlign w:val="center"/>
            <w:hideMark/>
          </w:tcPr>
          <w:p w14:paraId="64715FF3" w14:textId="77777777" w:rsidR="00FB7F11" w:rsidRPr="003B4A6F" w:rsidRDefault="00FB7F11" w:rsidP="00FB7F11">
            <w:pPr>
              <w:rPr>
                <w:rFonts w:ascii="Arial Narrow" w:hAnsi="Arial Narrow" w:cs="Arial"/>
                <w:color w:val="000000"/>
                <w:sz w:val="16"/>
                <w:szCs w:val="16"/>
              </w:rPr>
            </w:pPr>
            <w:r w:rsidRPr="003B4A6F">
              <w:rPr>
                <w:rFonts w:ascii="Arial Narrow" w:hAnsi="Arial Narrow" w:cs="Arial"/>
                <w:color w:val="000000"/>
                <w:sz w:val="16"/>
                <w:szCs w:val="16"/>
              </w:rPr>
              <w:t xml:space="preserve"> Servicios de telecomunicaciones móviles </w:t>
            </w:r>
          </w:p>
        </w:tc>
        <w:tc>
          <w:tcPr>
            <w:tcW w:w="472" w:type="pct"/>
            <w:shd w:val="clear" w:color="DBE5F1" w:fill="DBE5F1"/>
            <w:noWrap/>
            <w:vAlign w:val="center"/>
            <w:hideMark/>
          </w:tcPr>
          <w:p w14:paraId="6C7AE516" w14:textId="02525474"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472" w:type="pct"/>
            <w:shd w:val="clear" w:color="DBE5F1" w:fill="DBE5F1"/>
            <w:noWrap/>
            <w:vAlign w:val="center"/>
            <w:hideMark/>
          </w:tcPr>
          <w:p w14:paraId="41B367D7" w14:textId="302ED2B9"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472" w:type="pct"/>
            <w:shd w:val="clear" w:color="DBE5F1" w:fill="DBE5F1"/>
            <w:noWrap/>
            <w:vAlign w:val="center"/>
            <w:hideMark/>
          </w:tcPr>
          <w:p w14:paraId="1AA37DD9" w14:textId="12AFE3EE"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1.242.680 </w:t>
            </w:r>
          </w:p>
        </w:tc>
        <w:tc>
          <w:tcPr>
            <w:tcW w:w="472" w:type="pct"/>
            <w:shd w:val="clear" w:color="FDE9D9" w:fill="FDE9D9"/>
            <w:noWrap/>
            <w:vAlign w:val="center"/>
            <w:hideMark/>
          </w:tcPr>
          <w:p w14:paraId="0D1FA00A" w14:textId="6ED9BA5E"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700.806 </w:t>
            </w:r>
          </w:p>
        </w:tc>
        <w:tc>
          <w:tcPr>
            <w:tcW w:w="472" w:type="pct"/>
            <w:shd w:val="clear" w:color="FDE9D9" w:fill="FDE9D9"/>
            <w:noWrap/>
            <w:vAlign w:val="center"/>
            <w:hideMark/>
          </w:tcPr>
          <w:p w14:paraId="114B4793" w14:textId="31CF9E50"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694.201 </w:t>
            </w:r>
          </w:p>
        </w:tc>
        <w:tc>
          <w:tcPr>
            <w:tcW w:w="472" w:type="pct"/>
            <w:shd w:val="clear" w:color="FDE9D9" w:fill="FDE9D9"/>
            <w:noWrap/>
            <w:vAlign w:val="center"/>
            <w:hideMark/>
          </w:tcPr>
          <w:p w14:paraId="10057EC3" w14:textId="6577A00F"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694.201 </w:t>
            </w:r>
          </w:p>
        </w:tc>
        <w:tc>
          <w:tcPr>
            <w:tcW w:w="472" w:type="pct"/>
            <w:shd w:val="clear" w:color="auto" w:fill="auto"/>
            <w:noWrap/>
            <w:vAlign w:val="center"/>
            <w:hideMark/>
          </w:tcPr>
          <w:p w14:paraId="3DDCC6B2" w14:textId="0AF48AEF"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3.728.040 </w:t>
            </w:r>
          </w:p>
        </w:tc>
        <w:tc>
          <w:tcPr>
            <w:tcW w:w="460" w:type="pct"/>
            <w:shd w:val="clear" w:color="auto" w:fill="auto"/>
            <w:noWrap/>
            <w:vAlign w:val="center"/>
            <w:hideMark/>
          </w:tcPr>
          <w:p w14:paraId="59BF7BEB" w14:textId="4C2F473E"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2.089.208 </w:t>
            </w:r>
          </w:p>
        </w:tc>
        <w:tc>
          <w:tcPr>
            <w:tcW w:w="501" w:type="pct"/>
            <w:shd w:val="clear" w:color="auto" w:fill="auto"/>
            <w:noWrap/>
            <w:vAlign w:val="center"/>
            <w:hideMark/>
          </w:tcPr>
          <w:p w14:paraId="2201DDBC" w14:textId="5207FB7A"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(1.638.832)</w:t>
            </w:r>
          </w:p>
        </w:tc>
      </w:tr>
      <w:tr w:rsidR="00FB7F11" w:rsidRPr="003B4A6F" w14:paraId="14E3E7F2" w14:textId="77777777" w:rsidTr="00FB7F11">
        <w:trPr>
          <w:trHeight w:val="255"/>
        </w:trPr>
        <w:tc>
          <w:tcPr>
            <w:tcW w:w="732" w:type="pct"/>
            <w:shd w:val="clear" w:color="auto" w:fill="auto"/>
            <w:vAlign w:val="center"/>
            <w:hideMark/>
          </w:tcPr>
          <w:p w14:paraId="02C54E33" w14:textId="77777777" w:rsidR="00FB7F11" w:rsidRPr="003B4A6F" w:rsidRDefault="00FB7F11" w:rsidP="00FB7F11">
            <w:pPr>
              <w:rPr>
                <w:rFonts w:ascii="Arial Narrow" w:hAnsi="Arial Narrow" w:cs="Arial"/>
                <w:color w:val="000000"/>
                <w:sz w:val="16"/>
                <w:szCs w:val="16"/>
              </w:rPr>
            </w:pPr>
            <w:r w:rsidRPr="003B4A6F">
              <w:rPr>
                <w:rFonts w:ascii="Arial Narrow" w:hAnsi="Arial Narrow" w:cs="Arial"/>
                <w:color w:val="000000"/>
                <w:sz w:val="16"/>
                <w:szCs w:val="16"/>
              </w:rPr>
              <w:t xml:space="preserve"> Proyecto Fortalecimiento y desarrollo de la gestión institucional / Fortalecimiento de la gestión del Instituto Distrital de Patrimonio Cultural de Bogotá </w:t>
            </w:r>
          </w:p>
        </w:tc>
        <w:tc>
          <w:tcPr>
            <w:tcW w:w="472" w:type="pct"/>
            <w:shd w:val="clear" w:color="DBE5F1" w:fill="DBE5F1"/>
            <w:noWrap/>
            <w:vAlign w:val="center"/>
            <w:hideMark/>
          </w:tcPr>
          <w:p w14:paraId="66559C8B" w14:textId="161E6947"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4.583.566 </w:t>
            </w:r>
          </w:p>
        </w:tc>
        <w:tc>
          <w:tcPr>
            <w:tcW w:w="472" w:type="pct"/>
            <w:shd w:val="clear" w:color="DBE5F1" w:fill="DBE5F1"/>
            <w:noWrap/>
            <w:vAlign w:val="center"/>
            <w:hideMark/>
          </w:tcPr>
          <w:p w14:paraId="7D636C2B" w14:textId="148D55F6"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2.233.583 </w:t>
            </w:r>
          </w:p>
        </w:tc>
        <w:tc>
          <w:tcPr>
            <w:tcW w:w="472" w:type="pct"/>
            <w:shd w:val="clear" w:color="DBE5F1" w:fill="DBE5F1"/>
            <w:noWrap/>
            <w:vAlign w:val="center"/>
            <w:hideMark/>
          </w:tcPr>
          <w:p w14:paraId="6A399F23" w14:textId="264EE09E"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2.349.983 </w:t>
            </w:r>
          </w:p>
        </w:tc>
        <w:tc>
          <w:tcPr>
            <w:tcW w:w="472" w:type="pct"/>
            <w:shd w:val="clear" w:color="FDE9D9" w:fill="FDE9D9"/>
            <w:noWrap/>
            <w:vAlign w:val="center"/>
            <w:hideMark/>
          </w:tcPr>
          <w:p w14:paraId="3F9AE2BF" w14:textId="63A0F242"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   </w:t>
            </w:r>
          </w:p>
        </w:tc>
        <w:tc>
          <w:tcPr>
            <w:tcW w:w="472" w:type="pct"/>
            <w:shd w:val="clear" w:color="FDE9D9" w:fill="FDE9D9"/>
            <w:noWrap/>
            <w:vAlign w:val="center"/>
            <w:hideMark/>
          </w:tcPr>
          <w:p w14:paraId="33F99BD8" w14:textId="73881383"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58.210 </w:t>
            </w:r>
          </w:p>
        </w:tc>
        <w:tc>
          <w:tcPr>
            <w:tcW w:w="472" w:type="pct"/>
            <w:shd w:val="clear" w:color="FDE9D9" w:fill="FDE9D9"/>
            <w:noWrap/>
            <w:vAlign w:val="center"/>
            <w:hideMark/>
          </w:tcPr>
          <w:p w14:paraId="09DC7AE0" w14:textId="5DECD5FD"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58.210 </w:t>
            </w:r>
          </w:p>
        </w:tc>
        <w:tc>
          <w:tcPr>
            <w:tcW w:w="472" w:type="pct"/>
            <w:shd w:val="clear" w:color="auto" w:fill="auto"/>
            <w:noWrap/>
            <w:vAlign w:val="center"/>
            <w:hideMark/>
          </w:tcPr>
          <w:p w14:paraId="6A6288D6" w14:textId="0B5E6D4B"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9.167.132 </w:t>
            </w:r>
          </w:p>
        </w:tc>
        <w:tc>
          <w:tcPr>
            <w:tcW w:w="460" w:type="pct"/>
            <w:shd w:val="clear" w:color="auto" w:fill="auto"/>
            <w:noWrap/>
            <w:vAlign w:val="center"/>
            <w:hideMark/>
          </w:tcPr>
          <w:p w14:paraId="6128730D" w14:textId="76DAF297"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116.420 </w:t>
            </w:r>
          </w:p>
        </w:tc>
        <w:tc>
          <w:tcPr>
            <w:tcW w:w="501" w:type="pct"/>
            <w:shd w:val="clear" w:color="auto" w:fill="auto"/>
            <w:noWrap/>
            <w:vAlign w:val="center"/>
            <w:hideMark/>
          </w:tcPr>
          <w:p w14:paraId="67D2967B" w14:textId="46DFDFF5" w:rsidR="00FB7F11" w:rsidRPr="003B4A6F" w:rsidRDefault="00FB7F11" w:rsidP="00FB7F11">
            <w:pPr>
              <w:rPr>
                <w:rFonts w:ascii="Arial Narrow" w:hAnsi="Arial Narrow" w:cs="Arial"/>
                <w:color w:val="000000"/>
                <w:sz w:val="16"/>
                <w:szCs w:val="16"/>
              </w:rPr>
            </w:pPr>
            <w:r>
              <w:rPr>
                <w:rFonts w:ascii="Arial Narrow" w:hAnsi="Arial Narrow" w:cs="Arial"/>
                <w:color w:val="000000"/>
                <w:sz w:val="16"/>
                <w:szCs w:val="16"/>
              </w:rPr>
              <w:t xml:space="preserve">   (9.050.712)</w:t>
            </w:r>
          </w:p>
        </w:tc>
      </w:tr>
      <w:tr w:rsidR="00FB7F11" w:rsidRPr="003B4A6F" w14:paraId="59CE685F" w14:textId="77777777" w:rsidTr="00FB7F11">
        <w:trPr>
          <w:trHeight w:val="255"/>
        </w:trPr>
        <w:tc>
          <w:tcPr>
            <w:tcW w:w="732" w:type="pct"/>
            <w:shd w:val="clear" w:color="auto" w:fill="auto"/>
            <w:noWrap/>
            <w:vAlign w:val="center"/>
            <w:hideMark/>
          </w:tcPr>
          <w:p w14:paraId="0645DAAD" w14:textId="77777777" w:rsidR="00FB7F11" w:rsidRPr="003B4A6F" w:rsidRDefault="00FB7F11" w:rsidP="00FB7F11">
            <w:pPr>
              <w:rPr>
                <w:rFonts w:ascii="Arial Narrow" w:hAnsi="Arial Narrow" w:cs="Arial"/>
                <w:b/>
                <w:bCs/>
                <w:color w:val="000000"/>
                <w:sz w:val="16"/>
                <w:szCs w:val="16"/>
              </w:rPr>
            </w:pPr>
            <w:r w:rsidRPr="003B4A6F">
              <w:rPr>
                <w:rFonts w:ascii="Arial Narrow" w:hAnsi="Arial Narrow" w:cs="Arial"/>
                <w:b/>
                <w:bCs/>
                <w:color w:val="000000"/>
                <w:sz w:val="16"/>
                <w:szCs w:val="16"/>
              </w:rPr>
              <w:t>TOTAL</w:t>
            </w:r>
          </w:p>
        </w:tc>
        <w:tc>
          <w:tcPr>
            <w:tcW w:w="472" w:type="pct"/>
            <w:shd w:val="clear" w:color="DBE5F1" w:fill="DBE5F1"/>
            <w:noWrap/>
            <w:vAlign w:val="center"/>
            <w:hideMark/>
          </w:tcPr>
          <w:p w14:paraId="40E2D552" w14:textId="6D5272B9" w:rsidR="00FB7F11" w:rsidRPr="003B4A6F" w:rsidRDefault="00FB7F11" w:rsidP="00FB7F11">
            <w:pPr>
              <w:rPr>
                <w:rFonts w:ascii="Arial Narrow" w:hAnsi="Arial Narrow" w:cs="Arial"/>
                <w:b/>
                <w:bCs/>
                <w:color w:val="000000"/>
                <w:sz w:val="16"/>
                <w:szCs w:val="16"/>
              </w:rPr>
            </w:pPr>
            <w:r>
              <w:rPr>
                <w:rFonts w:ascii="Arial Narrow" w:hAnsi="Arial Narrow" w:cs="Arial"/>
                <w:b/>
                <w:bCs/>
                <w:color w:val="000000"/>
                <w:sz w:val="16"/>
                <w:szCs w:val="16"/>
              </w:rPr>
              <w:t xml:space="preserve"> 6.182.556 </w:t>
            </w:r>
          </w:p>
        </w:tc>
        <w:tc>
          <w:tcPr>
            <w:tcW w:w="472" w:type="pct"/>
            <w:shd w:val="clear" w:color="DBE5F1" w:fill="DBE5F1"/>
            <w:noWrap/>
            <w:vAlign w:val="center"/>
            <w:hideMark/>
          </w:tcPr>
          <w:p w14:paraId="591E86A6" w14:textId="67204EF5" w:rsidR="00FB7F11" w:rsidRPr="003B4A6F" w:rsidRDefault="00FB7F11" w:rsidP="00FB7F11">
            <w:pPr>
              <w:rPr>
                <w:rFonts w:ascii="Arial Narrow" w:hAnsi="Arial Narrow" w:cs="Arial"/>
                <w:b/>
                <w:bCs/>
                <w:color w:val="000000"/>
                <w:sz w:val="16"/>
                <w:szCs w:val="16"/>
              </w:rPr>
            </w:pPr>
            <w:r>
              <w:rPr>
                <w:rFonts w:ascii="Arial Narrow" w:hAnsi="Arial Narrow" w:cs="Arial"/>
                <w:b/>
                <w:bCs/>
                <w:color w:val="000000"/>
                <w:sz w:val="16"/>
                <w:szCs w:val="16"/>
              </w:rPr>
              <w:t xml:space="preserve"> 3.657.073 </w:t>
            </w:r>
          </w:p>
        </w:tc>
        <w:tc>
          <w:tcPr>
            <w:tcW w:w="472" w:type="pct"/>
            <w:shd w:val="clear" w:color="DBE5F1" w:fill="DBE5F1"/>
            <w:noWrap/>
            <w:vAlign w:val="center"/>
            <w:hideMark/>
          </w:tcPr>
          <w:p w14:paraId="032082AC" w14:textId="5A46EF6A" w:rsidR="00FB7F11" w:rsidRPr="003B4A6F" w:rsidRDefault="00FB7F11" w:rsidP="00FB7F11">
            <w:pPr>
              <w:rPr>
                <w:rFonts w:ascii="Arial Narrow" w:hAnsi="Arial Narrow" w:cs="Arial"/>
                <w:b/>
                <w:bCs/>
                <w:color w:val="000000"/>
                <w:sz w:val="16"/>
                <w:szCs w:val="16"/>
              </w:rPr>
            </w:pPr>
            <w:r>
              <w:rPr>
                <w:rFonts w:ascii="Arial Narrow" w:hAnsi="Arial Narrow" w:cs="Arial"/>
                <w:b/>
                <w:bCs/>
                <w:color w:val="000000"/>
                <w:sz w:val="16"/>
                <w:szCs w:val="16"/>
              </w:rPr>
              <w:t xml:space="preserve">  3.774.173 </w:t>
            </w:r>
          </w:p>
        </w:tc>
        <w:tc>
          <w:tcPr>
            <w:tcW w:w="472" w:type="pct"/>
            <w:shd w:val="clear" w:color="FDE9D9" w:fill="FDE9D9"/>
            <w:noWrap/>
            <w:vAlign w:val="center"/>
            <w:hideMark/>
          </w:tcPr>
          <w:p w14:paraId="1141B756" w14:textId="4F82B6C1" w:rsidR="00FB7F11" w:rsidRPr="003B4A6F" w:rsidRDefault="00FB7F11" w:rsidP="00FB7F11">
            <w:pPr>
              <w:rPr>
                <w:rFonts w:ascii="Arial Narrow" w:hAnsi="Arial Narrow" w:cs="Arial"/>
                <w:b/>
                <w:bCs/>
                <w:color w:val="000000"/>
                <w:sz w:val="16"/>
                <w:szCs w:val="16"/>
              </w:rPr>
            </w:pPr>
            <w:r>
              <w:rPr>
                <w:rFonts w:ascii="Arial Narrow" w:hAnsi="Arial Narrow" w:cs="Arial"/>
                <w:b/>
                <w:bCs/>
                <w:color w:val="000000"/>
                <w:sz w:val="16"/>
                <w:szCs w:val="16"/>
              </w:rPr>
              <w:t xml:space="preserve">    945.006 </w:t>
            </w:r>
          </w:p>
        </w:tc>
        <w:tc>
          <w:tcPr>
            <w:tcW w:w="472" w:type="pct"/>
            <w:shd w:val="clear" w:color="FDE9D9" w:fill="FDE9D9"/>
            <w:noWrap/>
            <w:vAlign w:val="center"/>
            <w:hideMark/>
          </w:tcPr>
          <w:p w14:paraId="21231039" w14:textId="3E0E5DEE" w:rsidR="00FB7F11" w:rsidRPr="003B4A6F" w:rsidRDefault="00FB7F11" w:rsidP="00FB7F11">
            <w:pPr>
              <w:rPr>
                <w:rFonts w:ascii="Arial Narrow" w:hAnsi="Arial Narrow" w:cs="Arial"/>
                <w:b/>
                <w:bCs/>
                <w:color w:val="000000"/>
                <w:sz w:val="16"/>
                <w:szCs w:val="16"/>
              </w:rPr>
            </w:pPr>
            <w:r>
              <w:rPr>
                <w:rFonts w:ascii="Arial Narrow" w:hAnsi="Arial Narrow" w:cs="Arial"/>
                <w:b/>
                <w:bCs/>
                <w:color w:val="000000"/>
                <w:sz w:val="16"/>
                <w:szCs w:val="16"/>
              </w:rPr>
              <w:t xml:space="preserve">    938.731 </w:t>
            </w:r>
          </w:p>
        </w:tc>
        <w:tc>
          <w:tcPr>
            <w:tcW w:w="472" w:type="pct"/>
            <w:shd w:val="clear" w:color="FDE9D9" w:fill="FDE9D9"/>
            <w:noWrap/>
            <w:vAlign w:val="center"/>
            <w:hideMark/>
          </w:tcPr>
          <w:p w14:paraId="59322B1B" w14:textId="6388B3F1" w:rsidR="00FB7F11" w:rsidRPr="003B4A6F" w:rsidRDefault="00FB7F11" w:rsidP="00FB7F11">
            <w:pPr>
              <w:rPr>
                <w:rFonts w:ascii="Arial Narrow" w:hAnsi="Arial Narrow" w:cs="Arial"/>
                <w:b/>
                <w:bCs/>
                <w:color w:val="000000"/>
                <w:sz w:val="16"/>
                <w:szCs w:val="16"/>
              </w:rPr>
            </w:pPr>
            <w:r>
              <w:rPr>
                <w:rFonts w:ascii="Arial Narrow" w:hAnsi="Arial Narrow" w:cs="Arial"/>
                <w:b/>
                <w:bCs/>
                <w:color w:val="000000"/>
                <w:sz w:val="16"/>
                <w:szCs w:val="16"/>
              </w:rPr>
              <w:t xml:space="preserve">    805.991 </w:t>
            </w:r>
          </w:p>
        </w:tc>
        <w:tc>
          <w:tcPr>
            <w:tcW w:w="472" w:type="pct"/>
            <w:shd w:val="clear" w:color="auto" w:fill="auto"/>
            <w:noWrap/>
            <w:vAlign w:val="center"/>
            <w:hideMark/>
          </w:tcPr>
          <w:p w14:paraId="74AC80D3" w14:textId="0E6BFDCB" w:rsidR="00FB7F11" w:rsidRPr="003B4A6F" w:rsidRDefault="00FB7F11" w:rsidP="00FB7F11">
            <w:pPr>
              <w:rPr>
                <w:rFonts w:ascii="Arial Narrow" w:hAnsi="Arial Narrow" w:cs="Arial"/>
                <w:b/>
                <w:bCs/>
                <w:color w:val="000000"/>
                <w:sz w:val="16"/>
                <w:szCs w:val="16"/>
              </w:rPr>
            </w:pPr>
            <w:r>
              <w:rPr>
                <w:rFonts w:ascii="Arial Narrow" w:hAnsi="Arial Narrow" w:cs="Arial"/>
                <w:b/>
                <w:bCs/>
                <w:color w:val="000000"/>
                <w:sz w:val="16"/>
                <w:szCs w:val="16"/>
              </w:rPr>
              <w:t xml:space="preserve">13.613.802 </w:t>
            </w:r>
          </w:p>
        </w:tc>
        <w:tc>
          <w:tcPr>
            <w:tcW w:w="460" w:type="pct"/>
            <w:shd w:val="clear" w:color="auto" w:fill="auto"/>
            <w:noWrap/>
            <w:vAlign w:val="center"/>
            <w:hideMark/>
          </w:tcPr>
          <w:p w14:paraId="18D70C93" w14:textId="03527F64" w:rsidR="00FB7F11" w:rsidRPr="003B4A6F" w:rsidRDefault="00FB7F11" w:rsidP="00FB7F11">
            <w:pPr>
              <w:rPr>
                <w:rFonts w:ascii="Arial Narrow" w:hAnsi="Arial Narrow" w:cs="Arial"/>
                <w:b/>
                <w:bCs/>
                <w:color w:val="000000"/>
                <w:sz w:val="16"/>
                <w:szCs w:val="16"/>
              </w:rPr>
            </w:pPr>
            <w:r>
              <w:rPr>
                <w:rFonts w:ascii="Arial Narrow" w:hAnsi="Arial Narrow" w:cs="Arial"/>
                <w:b/>
                <w:bCs/>
                <w:color w:val="000000"/>
                <w:sz w:val="16"/>
                <w:szCs w:val="16"/>
              </w:rPr>
              <w:t xml:space="preserve">  2.689.728 </w:t>
            </w:r>
          </w:p>
        </w:tc>
        <w:tc>
          <w:tcPr>
            <w:tcW w:w="501" w:type="pct"/>
            <w:shd w:val="clear" w:color="auto" w:fill="auto"/>
            <w:noWrap/>
            <w:vAlign w:val="center"/>
            <w:hideMark/>
          </w:tcPr>
          <w:p w14:paraId="0D0A28DD" w14:textId="545E1EC7" w:rsidR="00FB7F11" w:rsidRPr="003B4A6F" w:rsidRDefault="00FB7F11" w:rsidP="00FB7F11">
            <w:pPr>
              <w:rPr>
                <w:rFonts w:ascii="Arial Narrow" w:hAnsi="Arial Narrow" w:cs="Arial"/>
                <w:b/>
                <w:bCs/>
                <w:color w:val="000000"/>
                <w:sz w:val="16"/>
                <w:szCs w:val="16"/>
              </w:rPr>
            </w:pPr>
            <w:r>
              <w:rPr>
                <w:rFonts w:ascii="Arial Narrow" w:hAnsi="Arial Narrow" w:cs="Arial"/>
                <w:b/>
                <w:bCs/>
                <w:color w:val="000000"/>
                <w:sz w:val="16"/>
                <w:szCs w:val="16"/>
              </w:rPr>
              <w:t xml:space="preserve">  (10.924.074)</w:t>
            </w:r>
          </w:p>
        </w:tc>
      </w:tr>
    </w:tbl>
    <w:p w14:paraId="6BB93242" w14:textId="77777777" w:rsidR="00F56829" w:rsidRPr="003B4A6F" w:rsidRDefault="00F56829" w:rsidP="00F56829">
      <w:pPr>
        <w:jc w:val="both"/>
        <w:rPr>
          <w:rFonts w:cs="Arial"/>
          <w:color w:val="000000"/>
        </w:rPr>
      </w:pPr>
    </w:p>
    <w:p w14:paraId="1F83AB65" w14:textId="7DED201E" w:rsidR="00F56829" w:rsidRPr="00FB7F11" w:rsidRDefault="00F56829" w:rsidP="00F56829">
      <w:pPr>
        <w:jc w:val="both"/>
        <w:rPr>
          <w:rFonts w:cs="Arial"/>
          <w:color w:val="000000"/>
        </w:rPr>
      </w:pPr>
      <w:r w:rsidRPr="00FB7F11">
        <w:rPr>
          <w:rFonts w:cs="Arial"/>
          <w:color w:val="000000"/>
        </w:rPr>
        <w:t>En cuanto al pago de telefonía celular, se evi</w:t>
      </w:r>
      <w:r w:rsidR="002315A0" w:rsidRPr="00FB7F11">
        <w:rPr>
          <w:rFonts w:cs="Arial"/>
          <w:color w:val="000000"/>
        </w:rPr>
        <w:t>dencia que el IDPC cuenta con 21</w:t>
      </w:r>
      <w:r w:rsidRPr="00FB7F11">
        <w:rPr>
          <w:rFonts w:cs="Arial"/>
          <w:color w:val="000000"/>
        </w:rPr>
        <w:t xml:space="preserve"> celulares corporativos, de los cua</w:t>
      </w:r>
      <w:r w:rsidR="00FB7F11" w:rsidRPr="00FB7F11">
        <w:rPr>
          <w:rFonts w:cs="Arial"/>
          <w:color w:val="000000"/>
        </w:rPr>
        <w:t>les se encuentran en servicio 9</w:t>
      </w:r>
      <w:r w:rsidRPr="00FB7F11">
        <w:rPr>
          <w:rFonts w:cs="Arial"/>
          <w:color w:val="000000"/>
        </w:rPr>
        <w:t xml:space="preserve">, </w:t>
      </w:r>
      <w:r w:rsidR="00DA0059" w:rsidRPr="00FB7F11">
        <w:rPr>
          <w:rFonts w:cs="Arial"/>
          <w:color w:val="000000"/>
        </w:rPr>
        <w:t xml:space="preserve">así como </w:t>
      </w:r>
      <w:r w:rsidR="00FB0544" w:rsidRPr="00FB7F11">
        <w:rPr>
          <w:rFonts w:cs="Arial"/>
          <w:color w:val="000000"/>
        </w:rPr>
        <w:t>dos</w:t>
      </w:r>
      <w:r w:rsidR="00DA0059" w:rsidRPr="00FB7F11">
        <w:rPr>
          <w:rFonts w:cs="Arial"/>
          <w:color w:val="000000"/>
        </w:rPr>
        <w:t xml:space="preserve"> SIM card </w:t>
      </w:r>
      <w:r w:rsidRPr="00FB7F11">
        <w:rPr>
          <w:rFonts w:cs="Arial"/>
          <w:color w:val="000000"/>
        </w:rPr>
        <w:t>con</w:t>
      </w:r>
      <w:r w:rsidR="00DA0059" w:rsidRPr="00FB7F11">
        <w:rPr>
          <w:rFonts w:cs="Arial"/>
          <w:color w:val="000000"/>
        </w:rPr>
        <w:t xml:space="preserve"> </w:t>
      </w:r>
      <w:r w:rsidR="00FB7F11" w:rsidRPr="00FB7F11">
        <w:rPr>
          <w:rFonts w:cs="Arial"/>
          <w:color w:val="000000"/>
        </w:rPr>
        <w:t>plan de costo mensual fijo acordado en $57.743</w:t>
      </w:r>
    </w:p>
    <w:p w14:paraId="48C05F93" w14:textId="77777777" w:rsidR="00F56829" w:rsidRPr="00FB7F11" w:rsidRDefault="00F56829" w:rsidP="00F56829">
      <w:pPr>
        <w:jc w:val="both"/>
        <w:rPr>
          <w:rFonts w:cs="Arial"/>
          <w:color w:val="000000"/>
        </w:rPr>
      </w:pPr>
    </w:p>
    <w:p w14:paraId="171F631F" w14:textId="7702857F" w:rsidR="00F56829" w:rsidRPr="00DB7412" w:rsidRDefault="00F56829" w:rsidP="00F56829">
      <w:pPr>
        <w:jc w:val="both"/>
        <w:rPr>
          <w:rFonts w:cs="Arial"/>
          <w:color w:val="000000"/>
        </w:rPr>
      </w:pPr>
      <w:r w:rsidRPr="00DB7412">
        <w:rPr>
          <w:rFonts w:cs="Arial"/>
          <w:color w:val="000000"/>
        </w:rPr>
        <w:t xml:space="preserve">Tarifas máximas dentro de los topes establecidos en la normatividad vigente. </w:t>
      </w:r>
      <w:r w:rsidR="00FB0544" w:rsidRPr="00DB7412">
        <w:rPr>
          <w:rFonts w:cs="Arial"/>
          <w:color w:val="000000"/>
        </w:rPr>
        <w:t>Se resalta la atención de la recomendación en la revisión del plan.</w:t>
      </w:r>
    </w:p>
    <w:p w14:paraId="2A2A5223" w14:textId="77777777" w:rsidR="00F56829" w:rsidRPr="00DB7412" w:rsidRDefault="00F56829" w:rsidP="00F56829">
      <w:pPr>
        <w:jc w:val="both"/>
        <w:rPr>
          <w:rFonts w:cs="Arial"/>
          <w:color w:val="000000"/>
        </w:rPr>
      </w:pPr>
    </w:p>
    <w:p w14:paraId="1153A8B6" w14:textId="02FBC360" w:rsidR="00F56829" w:rsidRPr="00DB7412" w:rsidRDefault="00F56829" w:rsidP="00F56829">
      <w:pPr>
        <w:jc w:val="both"/>
        <w:rPr>
          <w:rFonts w:cs="Arial"/>
          <w:color w:val="000000"/>
        </w:rPr>
      </w:pPr>
      <w:r w:rsidRPr="00DB7412">
        <w:rPr>
          <w:rFonts w:cs="Arial"/>
          <w:color w:val="000000"/>
        </w:rPr>
        <w:t>Se evidencia que mediante Resolución 147 del 17 de abril de 2020 se justificó la necesidad de otorgar el uso de telefonía celular a funcionario</w:t>
      </w:r>
      <w:r w:rsidR="00DB7412" w:rsidRPr="00DB7412">
        <w:rPr>
          <w:rFonts w:cs="Arial"/>
          <w:color w:val="000000"/>
        </w:rPr>
        <w:t>s diferentes al nivel directivo.</w:t>
      </w:r>
      <w:r w:rsidRPr="00DB7412">
        <w:rPr>
          <w:rFonts w:cs="Arial"/>
          <w:color w:val="000000"/>
        </w:rPr>
        <w:t xml:space="preserve"> </w:t>
      </w:r>
    </w:p>
    <w:p w14:paraId="25BBEDC6" w14:textId="77777777" w:rsidR="00F56829" w:rsidRPr="00DB7412" w:rsidRDefault="00F56829" w:rsidP="00F56829">
      <w:pPr>
        <w:jc w:val="both"/>
        <w:rPr>
          <w:rFonts w:cs="Arial"/>
          <w:color w:val="000000"/>
        </w:rPr>
      </w:pPr>
    </w:p>
    <w:p w14:paraId="1F559EDF" w14:textId="5ACFD4A0" w:rsidR="00F56829" w:rsidRDefault="00F56829" w:rsidP="00FB0544">
      <w:pPr>
        <w:jc w:val="both"/>
        <w:rPr>
          <w:rFonts w:cs="Arial"/>
          <w:color w:val="000000"/>
        </w:rPr>
      </w:pPr>
      <w:r w:rsidRPr="00DB7412">
        <w:rPr>
          <w:rFonts w:cs="Arial"/>
          <w:color w:val="000000"/>
        </w:rPr>
        <w:t>En relación con el registro de estos equipos</w:t>
      </w:r>
      <w:r w:rsidR="00DA0059" w:rsidRPr="00DB7412">
        <w:rPr>
          <w:rFonts w:cs="Arial"/>
          <w:color w:val="000000"/>
        </w:rPr>
        <w:t xml:space="preserve"> y la SIM</w:t>
      </w:r>
      <w:r w:rsidRPr="00DB7412">
        <w:rPr>
          <w:rFonts w:cs="Arial"/>
          <w:color w:val="000000"/>
        </w:rPr>
        <w:t xml:space="preserve"> en el inventario de los funcionarios que lo tienen a su cargo, de acuerdo con lo reportado por la Subdirección de Gestión Corporativa se observa:</w:t>
      </w:r>
    </w:p>
    <w:p w14:paraId="79A50141" w14:textId="77777777" w:rsidR="00DB7412" w:rsidRPr="00117848" w:rsidRDefault="00DB7412" w:rsidP="00FB0544">
      <w:pPr>
        <w:jc w:val="both"/>
        <w:rPr>
          <w:rFonts w:cs="Arial"/>
          <w:color w:val="000000"/>
          <w:sz w:val="16"/>
        </w:rPr>
      </w:pPr>
    </w:p>
    <w:p w14:paraId="32BCA5C2" w14:textId="12F50199" w:rsidR="00F56829" w:rsidRPr="00A30620" w:rsidRDefault="00DB7412" w:rsidP="00DB7412">
      <w:pPr>
        <w:rPr>
          <w:rFonts w:cs="Arial"/>
          <w:color w:val="000000"/>
        </w:rPr>
      </w:pPr>
      <w:r>
        <w:rPr>
          <w:noProof/>
          <w:lang w:eastAsia="es-CO"/>
        </w:rPr>
        <w:drawing>
          <wp:inline distT="0" distB="0" distL="0" distR="0" wp14:anchorId="17D26C97" wp14:editId="7CE30B22">
            <wp:extent cx="5612130" cy="1876425"/>
            <wp:effectExtent l="0" t="0" r="762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6626"/>
                    <a:stretch/>
                  </pic:blipFill>
                  <pic:spPr bwMode="auto">
                    <a:xfrm>
                      <a:off x="0" y="0"/>
                      <a:ext cx="5612130" cy="1876425"/>
                    </a:xfrm>
                    <a:prstGeom prst="rect">
                      <a:avLst/>
                    </a:prstGeom>
                    <a:ln>
                      <a:noFill/>
                    </a:ln>
                    <a:extLst>
                      <a:ext uri="{53640926-AAD7-44D8-BBD7-CCE9431645EC}">
                        <a14:shadowObscured xmlns:a14="http://schemas.microsoft.com/office/drawing/2010/main"/>
                      </a:ext>
                    </a:extLst>
                  </pic:spPr>
                </pic:pic>
              </a:graphicData>
            </a:graphic>
          </wp:inline>
        </w:drawing>
      </w:r>
    </w:p>
    <w:p w14:paraId="68E159A2" w14:textId="7235B61A" w:rsidR="004F6625" w:rsidRPr="00117848" w:rsidRDefault="004F6625" w:rsidP="00F56829">
      <w:pPr>
        <w:jc w:val="both"/>
        <w:rPr>
          <w:rFonts w:cs="Arial"/>
          <w:sz w:val="16"/>
        </w:rPr>
      </w:pPr>
    </w:p>
    <w:p w14:paraId="4767C225" w14:textId="77777777" w:rsidR="00347C21" w:rsidRPr="00347C21" w:rsidRDefault="00347C21" w:rsidP="00347C21">
      <w:pPr>
        <w:ind w:left="-6"/>
        <w:jc w:val="both"/>
        <w:rPr>
          <w:rFonts w:cs="Arial"/>
        </w:rPr>
      </w:pPr>
    </w:p>
    <w:p w14:paraId="284E4E00" w14:textId="5ADB8644" w:rsidR="008F6545" w:rsidRDefault="008F6545" w:rsidP="00AA2B29">
      <w:pPr>
        <w:pStyle w:val="Prrafodelista"/>
        <w:numPr>
          <w:ilvl w:val="2"/>
          <w:numId w:val="5"/>
        </w:numPr>
        <w:jc w:val="both"/>
        <w:rPr>
          <w:rFonts w:cs="Arial"/>
          <w:b/>
        </w:rPr>
      </w:pPr>
      <w:r w:rsidRPr="008F6545">
        <w:rPr>
          <w:rFonts w:cs="Arial"/>
          <w:b/>
        </w:rPr>
        <w:t>Artículo 15. Telefonía fija</w:t>
      </w:r>
    </w:p>
    <w:p w14:paraId="728FEF76" w14:textId="77777777" w:rsidR="00347C21" w:rsidRDefault="00347C21" w:rsidP="00347C21">
      <w:pPr>
        <w:ind w:left="-6"/>
        <w:jc w:val="both"/>
        <w:rPr>
          <w:rFonts w:cs="Arial"/>
        </w:rPr>
      </w:pPr>
    </w:p>
    <w:p w14:paraId="37AB2384" w14:textId="4B1D5FC1" w:rsidR="00347C21" w:rsidRDefault="000E6BB7" w:rsidP="00347C21">
      <w:pPr>
        <w:ind w:left="-6"/>
        <w:jc w:val="both"/>
        <w:rPr>
          <w:rFonts w:cs="Arial"/>
        </w:rPr>
      </w:pPr>
      <w:r w:rsidRPr="00DB7412">
        <w:rPr>
          <w:rFonts w:cs="Arial"/>
        </w:rPr>
        <w:t>De acuerdo con lo informado por la Subdirección de Gestión Corporativa, ninguna lí</w:t>
      </w:r>
      <w:r w:rsidR="00DB7412" w:rsidRPr="00DB7412">
        <w:rPr>
          <w:rFonts w:cs="Arial"/>
        </w:rPr>
        <w:t>nea telefónica tiene habilitada</w:t>
      </w:r>
      <w:r w:rsidRPr="00DB7412">
        <w:rPr>
          <w:rFonts w:cs="Arial"/>
        </w:rPr>
        <w:t>s</w:t>
      </w:r>
      <w:r w:rsidR="00DB7412" w:rsidRPr="00DB7412">
        <w:rPr>
          <w:rFonts w:cs="Arial"/>
        </w:rPr>
        <w:t xml:space="preserve"> llamadas internacionales, nacionales y a teléfonos celulares</w:t>
      </w:r>
      <w:r w:rsidRPr="00DB7412">
        <w:rPr>
          <w:rFonts w:cs="Arial"/>
        </w:rPr>
        <w:t>, por lo cual no requiere de un control para el efecto.</w:t>
      </w:r>
    </w:p>
    <w:p w14:paraId="37B0BF06" w14:textId="77777777" w:rsidR="000E6BB7" w:rsidRDefault="000E6BB7" w:rsidP="00347C21">
      <w:pPr>
        <w:ind w:left="-6"/>
        <w:jc w:val="both"/>
        <w:rPr>
          <w:rFonts w:cs="Arial"/>
        </w:rPr>
      </w:pPr>
    </w:p>
    <w:p w14:paraId="2D2F007A" w14:textId="77777777" w:rsidR="00DB7412" w:rsidRPr="00347C21" w:rsidRDefault="00DB7412" w:rsidP="00347C21">
      <w:pPr>
        <w:ind w:left="-6"/>
        <w:jc w:val="both"/>
        <w:rPr>
          <w:rFonts w:cs="Arial"/>
        </w:rPr>
      </w:pPr>
    </w:p>
    <w:p w14:paraId="32BABC37" w14:textId="092FC564" w:rsidR="008F6545" w:rsidRDefault="008F6545" w:rsidP="00AA2B29">
      <w:pPr>
        <w:pStyle w:val="Prrafodelista"/>
        <w:numPr>
          <w:ilvl w:val="2"/>
          <w:numId w:val="5"/>
        </w:numPr>
        <w:jc w:val="both"/>
        <w:rPr>
          <w:rFonts w:cs="Arial"/>
          <w:b/>
        </w:rPr>
      </w:pPr>
      <w:r>
        <w:rPr>
          <w:rFonts w:cs="Arial"/>
          <w:b/>
        </w:rPr>
        <w:lastRenderedPageBreak/>
        <w:t>Artículo 16. Vehículos oficiales</w:t>
      </w:r>
    </w:p>
    <w:p w14:paraId="3B7E5559" w14:textId="77777777" w:rsidR="00347C21" w:rsidRDefault="00347C21" w:rsidP="00347C21">
      <w:pPr>
        <w:ind w:left="-6"/>
        <w:jc w:val="both"/>
        <w:rPr>
          <w:rFonts w:cs="Arial"/>
        </w:rPr>
      </w:pPr>
    </w:p>
    <w:p w14:paraId="35BA492D" w14:textId="77777777" w:rsidR="000F1FA3" w:rsidRPr="00A14B6C" w:rsidRDefault="000F1FA3" w:rsidP="000F1FA3">
      <w:pPr>
        <w:ind w:left="-6"/>
        <w:jc w:val="both"/>
        <w:rPr>
          <w:rFonts w:cs="Arial"/>
        </w:rPr>
      </w:pPr>
      <w:r w:rsidRPr="00A14B6C">
        <w:rPr>
          <w:rFonts w:cs="Arial"/>
        </w:rPr>
        <w:t xml:space="preserve">La Entidad cuenta con 3 vehículos oficiales, los cuales están destinados para el nivel directivo de la Entidad. Durante el período evaluado, de acuerdo con la información remitida por los responsables, los vehículos oficiales no salieron del perímetro </w:t>
      </w:r>
      <w:r>
        <w:rPr>
          <w:rFonts w:cs="Arial"/>
        </w:rPr>
        <w:t>del Distrital Capital.</w:t>
      </w:r>
    </w:p>
    <w:p w14:paraId="46961219" w14:textId="77777777" w:rsidR="000F1FA3" w:rsidRPr="000F1FA3" w:rsidRDefault="000F1FA3" w:rsidP="000F1FA3">
      <w:pPr>
        <w:jc w:val="both"/>
        <w:rPr>
          <w:rFonts w:cs="Arial"/>
        </w:rPr>
      </w:pPr>
    </w:p>
    <w:p w14:paraId="06411F41" w14:textId="775D68D9" w:rsidR="000F1FA3" w:rsidRPr="000F1FA3" w:rsidRDefault="000F1FA3" w:rsidP="000F1FA3">
      <w:pPr>
        <w:ind w:left="-6"/>
        <w:jc w:val="both"/>
        <w:rPr>
          <w:rFonts w:cs="Arial"/>
        </w:rPr>
      </w:pPr>
      <w:r w:rsidRPr="000F1FA3">
        <w:rPr>
          <w:rFonts w:cs="Arial"/>
        </w:rPr>
        <w:t xml:space="preserve">Durante el periodo se realizaron </w:t>
      </w:r>
      <w:r w:rsidR="00DB7412">
        <w:rPr>
          <w:rFonts w:cs="Arial"/>
        </w:rPr>
        <w:t xml:space="preserve">los </w:t>
      </w:r>
      <w:r w:rsidRPr="000F1FA3">
        <w:rPr>
          <w:rFonts w:cs="Arial"/>
        </w:rPr>
        <w:t xml:space="preserve">mantenimientos </w:t>
      </w:r>
      <w:r w:rsidR="00DB7412" w:rsidRPr="000F1FA3">
        <w:rPr>
          <w:rFonts w:cs="Arial"/>
        </w:rPr>
        <w:t xml:space="preserve">2 y 3 </w:t>
      </w:r>
      <w:r w:rsidRPr="000F1FA3">
        <w:rPr>
          <w:rFonts w:cs="Arial"/>
        </w:rPr>
        <w:t>a los vehículos OLN296 y OBH307, respectivamente.</w:t>
      </w:r>
    </w:p>
    <w:p w14:paraId="0B58AFBF" w14:textId="77777777" w:rsidR="000F1FA3" w:rsidRPr="000F1FA3" w:rsidRDefault="000F1FA3" w:rsidP="000F1FA3">
      <w:pPr>
        <w:jc w:val="both"/>
        <w:rPr>
          <w:rFonts w:cs="Arial"/>
          <w:color w:val="000000"/>
        </w:rPr>
      </w:pPr>
    </w:p>
    <w:p w14:paraId="645AEF87" w14:textId="30CC9855" w:rsidR="000F1FA3" w:rsidRPr="000F1FA3" w:rsidRDefault="000F1FA3" w:rsidP="000F1FA3">
      <w:pPr>
        <w:jc w:val="both"/>
        <w:rPr>
          <w:rFonts w:cs="Arial"/>
          <w:color w:val="000000"/>
        </w:rPr>
      </w:pPr>
      <w:r w:rsidRPr="000F1FA3">
        <w:rPr>
          <w:rFonts w:cs="Arial"/>
          <w:color w:val="000000"/>
        </w:rPr>
        <w:t xml:space="preserve">Se resalta que la Entidad ha establecido una plantilla de control de rutas de servicio de transporte, las cuales son diligenciadas para cada uno de los vehículos diariamente incluyendo información acerca del kilometraje, horas de salida y llegada, destinos y motivo de </w:t>
      </w:r>
      <w:r>
        <w:rPr>
          <w:rFonts w:cs="Arial"/>
          <w:color w:val="000000"/>
        </w:rPr>
        <w:t>la solicitud. De acuerdo con lo</w:t>
      </w:r>
      <w:r w:rsidRPr="000F1FA3">
        <w:rPr>
          <w:rFonts w:cs="Arial"/>
          <w:color w:val="000000"/>
        </w:rPr>
        <w:t xml:space="preserve"> verificado en las planillas entregadas, se observó lo siguiente:</w:t>
      </w:r>
    </w:p>
    <w:p w14:paraId="0FA3F047" w14:textId="77777777" w:rsidR="000F1FA3" w:rsidRPr="000F1FA3" w:rsidRDefault="000F1FA3" w:rsidP="00AA2B29">
      <w:pPr>
        <w:pStyle w:val="Prrafodelista"/>
        <w:numPr>
          <w:ilvl w:val="0"/>
          <w:numId w:val="9"/>
        </w:numPr>
        <w:jc w:val="both"/>
        <w:rPr>
          <w:rFonts w:cs="Arial"/>
          <w:color w:val="000000"/>
        </w:rPr>
      </w:pPr>
      <w:r w:rsidRPr="000F1FA3">
        <w:rPr>
          <w:rFonts w:cs="Arial"/>
          <w:color w:val="000000"/>
        </w:rPr>
        <w:t>A partir del 20 de diciembre de 2021, la información del kilometraje del vehículo con placa OBH307 no pudo ser incluida en el reporte debido a un daño.</w:t>
      </w:r>
    </w:p>
    <w:p w14:paraId="1F458C4B" w14:textId="77777777" w:rsidR="000F1FA3" w:rsidRPr="000F1FA3" w:rsidRDefault="000F1FA3" w:rsidP="00AA2B29">
      <w:pPr>
        <w:pStyle w:val="Prrafodelista"/>
        <w:numPr>
          <w:ilvl w:val="0"/>
          <w:numId w:val="9"/>
        </w:numPr>
        <w:jc w:val="both"/>
        <w:rPr>
          <w:rFonts w:cs="Arial"/>
          <w:color w:val="000000"/>
        </w:rPr>
      </w:pPr>
      <w:r w:rsidRPr="000F1FA3">
        <w:rPr>
          <w:rFonts w:cs="Arial"/>
          <w:color w:val="000000"/>
        </w:rPr>
        <w:t>El control de rutas correspondiente al vehículo placa OLN296 se presenta en formato excel sin incluir la información precisa sobre el kilometraje, de igual forma, no se evidencian las firmas correspondientes.</w:t>
      </w:r>
    </w:p>
    <w:p w14:paraId="4A23CB13" w14:textId="77777777" w:rsidR="000F1FA3" w:rsidRPr="000F1FA3" w:rsidRDefault="000F1FA3" w:rsidP="000F1FA3">
      <w:pPr>
        <w:jc w:val="both"/>
        <w:rPr>
          <w:rFonts w:cs="Arial"/>
          <w:color w:val="000000"/>
        </w:rPr>
      </w:pPr>
    </w:p>
    <w:p w14:paraId="5A3269B9" w14:textId="77777777" w:rsidR="000F1FA3" w:rsidRPr="000F1FA3" w:rsidRDefault="000F1FA3" w:rsidP="000F1FA3">
      <w:pPr>
        <w:jc w:val="both"/>
        <w:rPr>
          <w:rFonts w:cs="Arial"/>
          <w:color w:val="000000"/>
        </w:rPr>
      </w:pPr>
      <w:r w:rsidRPr="000F1FA3">
        <w:rPr>
          <w:rFonts w:cs="Arial"/>
          <w:color w:val="000000"/>
        </w:rPr>
        <w:t>Se recomienda diligenciar la información de todos los trayectos realizados, incluyendo las rutas hacia el parqueadero de forma tal que se pueda evidenciar la secuencia en el kilometraje.</w:t>
      </w:r>
    </w:p>
    <w:p w14:paraId="5B0EC588" w14:textId="77777777" w:rsidR="000F1FA3" w:rsidRPr="000F1FA3" w:rsidRDefault="000F1FA3" w:rsidP="000F1FA3">
      <w:pPr>
        <w:jc w:val="both"/>
        <w:rPr>
          <w:rFonts w:cs="Arial"/>
          <w:color w:val="000000"/>
        </w:rPr>
      </w:pPr>
    </w:p>
    <w:p w14:paraId="60BCDEC0" w14:textId="02FE1DD0" w:rsidR="000F1FA3" w:rsidRPr="000F1FA3" w:rsidRDefault="00DB7412" w:rsidP="000F1FA3">
      <w:pPr>
        <w:jc w:val="both"/>
        <w:rPr>
          <w:rFonts w:cs="Arial"/>
          <w:color w:val="000000"/>
        </w:rPr>
      </w:pPr>
      <w:r>
        <w:rPr>
          <w:rFonts w:cs="Arial"/>
          <w:color w:val="000000"/>
        </w:rPr>
        <w:t>Se evidencian mejor</w:t>
      </w:r>
      <w:r w:rsidR="000F1FA3" w:rsidRPr="000F1FA3">
        <w:rPr>
          <w:rFonts w:cs="Arial"/>
          <w:color w:val="000000"/>
        </w:rPr>
        <w:t>as en el diligenciamiento de las plantillas.</w:t>
      </w:r>
    </w:p>
    <w:p w14:paraId="7FAC066C" w14:textId="77777777" w:rsidR="00DD2009" w:rsidRDefault="00DD2009" w:rsidP="00393EE8">
      <w:pPr>
        <w:jc w:val="both"/>
        <w:rPr>
          <w:rFonts w:cs="Arial"/>
        </w:rPr>
      </w:pPr>
    </w:p>
    <w:p w14:paraId="2B03DFF7" w14:textId="77777777" w:rsidR="00347C21" w:rsidRPr="00347C21" w:rsidRDefault="00347C21" w:rsidP="00425EDA">
      <w:pPr>
        <w:jc w:val="both"/>
        <w:rPr>
          <w:rFonts w:cs="Arial"/>
        </w:rPr>
      </w:pPr>
    </w:p>
    <w:p w14:paraId="08B44F0B" w14:textId="030E2DA5" w:rsidR="008F6545" w:rsidRDefault="008F6545" w:rsidP="00AA2B29">
      <w:pPr>
        <w:pStyle w:val="Prrafodelista"/>
        <w:numPr>
          <w:ilvl w:val="2"/>
          <w:numId w:val="5"/>
        </w:numPr>
        <w:jc w:val="both"/>
        <w:rPr>
          <w:rFonts w:cs="Arial"/>
          <w:b/>
        </w:rPr>
      </w:pPr>
      <w:r w:rsidRPr="008F6545">
        <w:rPr>
          <w:rFonts w:cs="Arial"/>
          <w:b/>
        </w:rPr>
        <w:t>Artículo 18</w:t>
      </w:r>
      <w:r>
        <w:rPr>
          <w:rFonts w:cs="Arial"/>
          <w:b/>
        </w:rPr>
        <w:t>.</w:t>
      </w:r>
      <w:r w:rsidRPr="008F6545">
        <w:rPr>
          <w:rFonts w:cs="Arial"/>
          <w:b/>
        </w:rPr>
        <w:t xml:space="preserve"> Fotoco</w:t>
      </w:r>
      <w:r>
        <w:rPr>
          <w:rFonts w:cs="Arial"/>
          <w:b/>
        </w:rPr>
        <w:t>piado, multicopiado e impresión</w:t>
      </w:r>
    </w:p>
    <w:p w14:paraId="4EB3DC5F" w14:textId="77777777" w:rsidR="00347C21" w:rsidRDefault="00347C21" w:rsidP="00347C21">
      <w:pPr>
        <w:ind w:left="-6"/>
        <w:jc w:val="both"/>
        <w:rPr>
          <w:rFonts w:cs="Arial"/>
        </w:rPr>
      </w:pPr>
    </w:p>
    <w:p w14:paraId="0ADA3F52" w14:textId="77777777" w:rsidR="00767BCE" w:rsidRPr="00DB7412" w:rsidRDefault="00767BCE" w:rsidP="00767BCE">
      <w:pPr>
        <w:ind w:left="-6"/>
        <w:jc w:val="both"/>
        <w:rPr>
          <w:rFonts w:cs="Arial"/>
        </w:rPr>
      </w:pPr>
      <w:r w:rsidRPr="00DB7412">
        <w:rPr>
          <w:rFonts w:cs="Arial"/>
        </w:rPr>
        <w:t>De acuerdo con lo informado por la Subdirección de Gestión Corporativa, el uso de los equipos de fotocopiado de alquiler está configurado por usuario, con código de acceso y restricción a solo blanco y negro.</w:t>
      </w:r>
    </w:p>
    <w:p w14:paraId="71BBE00A" w14:textId="77777777" w:rsidR="00767BCE" w:rsidRPr="00DB7412" w:rsidRDefault="00767BCE" w:rsidP="00767BCE">
      <w:pPr>
        <w:ind w:left="-6"/>
        <w:jc w:val="both"/>
        <w:rPr>
          <w:rFonts w:cs="Arial"/>
        </w:rPr>
      </w:pPr>
    </w:p>
    <w:p w14:paraId="4F8EC2C3" w14:textId="77777777" w:rsidR="00767BCE" w:rsidRPr="00DB7412" w:rsidRDefault="00767BCE" w:rsidP="00767BCE">
      <w:pPr>
        <w:ind w:left="-6"/>
        <w:jc w:val="both"/>
        <w:rPr>
          <w:rFonts w:cs="Arial"/>
        </w:rPr>
      </w:pPr>
      <w:r w:rsidRPr="00DB7412">
        <w:rPr>
          <w:rFonts w:cs="Arial"/>
        </w:rPr>
        <w:t>De otra parte, las impresiones de color están centralizadas en un único usuario, con la autorización de la Subdirección de Gestión Corporativa.</w:t>
      </w:r>
    </w:p>
    <w:p w14:paraId="76D5A5FE" w14:textId="77777777" w:rsidR="00767BCE" w:rsidRPr="00DB7412" w:rsidRDefault="00767BCE" w:rsidP="00A2331B">
      <w:pPr>
        <w:jc w:val="both"/>
        <w:rPr>
          <w:rFonts w:cs="Arial"/>
        </w:rPr>
      </w:pPr>
    </w:p>
    <w:p w14:paraId="7D4E0B70" w14:textId="60111DD2" w:rsidR="00767BCE" w:rsidRPr="00DB7412" w:rsidRDefault="00767BCE" w:rsidP="00767BCE">
      <w:pPr>
        <w:ind w:left="-6"/>
        <w:jc w:val="both"/>
        <w:rPr>
          <w:rFonts w:cs="Arial"/>
        </w:rPr>
      </w:pPr>
      <w:r w:rsidRPr="00DB7412">
        <w:rPr>
          <w:rFonts w:cs="Arial"/>
        </w:rPr>
        <w:t>De acuerdo a la verificación en BogData no se han realizado gastos por este concepto.</w:t>
      </w:r>
    </w:p>
    <w:p w14:paraId="0BB1E745" w14:textId="77777777" w:rsidR="00767BCE" w:rsidRPr="00DB7412" w:rsidRDefault="00767BCE" w:rsidP="00DB7412">
      <w:pPr>
        <w:ind w:left="-6"/>
        <w:jc w:val="both"/>
        <w:rPr>
          <w:rFonts w:cs="Arial"/>
        </w:rPr>
      </w:pPr>
    </w:p>
    <w:p w14:paraId="7B73EC1A" w14:textId="77777777" w:rsidR="00DB7412" w:rsidRDefault="00767BCE" w:rsidP="00DB7412">
      <w:pPr>
        <w:autoSpaceDE w:val="0"/>
        <w:autoSpaceDN w:val="0"/>
        <w:adjustRightInd w:val="0"/>
        <w:jc w:val="both"/>
        <w:rPr>
          <w:rFonts w:cs="Arial"/>
        </w:rPr>
      </w:pPr>
      <w:r w:rsidRPr="00DB7412">
        <w:rPr>
          <w:rFonts w:cs="Arial"/>
        </w:rPr>
        <w:t xml:space="preserve">Las impresiones de las publicaciones realizadas en el IDPC son misionales. De acuerdo con lo informado por la Subdirección de Divulgación y Apropiación del Patrimonio, para el </w:t>
      </w:r>
      <w:r w:rsidR="00DB7412">
        <w:rPr>
          <w:rFonts w:cs="Arial"/>
        </w:rPr>
        <w:t>cuarto</w:t>
      </w:r>
      <w:r w:rsidRPr="00DB7412">
        <w:rPr>
          <w:rFonts w:cs="Arial"/>
        </w:rPr>
        <w:t xml:space="preserve"> trimestre de la presente vigencia, </w:t>
      </w:r>
      <w:r w:rsidR="0069365B" w:rsidRPr="00DB7412">
        <w:rPr>
          <w:rFonts w:cs="Arial"/>
        </w:rPr>
        <w:t xml:space="preserve">se realizó impresión de </w:t>
      </w:r>
      <w:r w:rsidR="00DB7412">
        <w:rPr>
          <w:rFonts w:cs="Arial"/>
        </w:rPr>
        <w:t xml:space="preserve">7 </w:t>
      </w:r>
      <w:r w:rsidR="0069365B" w:rsidRPr="00DB7412">
        <w:rPr>
          <w:rFonts w:cs="Arial"/>
        </w:rPr>
        <w:t>publicaciones</w:t>
      </w:r>
      <w:r w:rsidR="00DB7412">
        <w:rPr>
          <w:rFonts w:cs="Arial"/>
        </w:rPr>
        <w:t>:</w:t>
      </w:r>
    </w:p>
    <w:p w14:paraId="594DA237" w14:textId="1255023B" w:rsidR="00DB7412" w:rsidRDefault="00DB7412" w:rsidP="00DB7412">
      <w:pPr>
        <w:autoSpaceDE w:val="0"/>
        <w:autoSpaceDN w:val="0"/>
        <w:adjustRightInd w:val="0"/>
        <w:jc w:val="both"/>
        <w:rPr>
          <w:rFonts w:cs="Arial"/>
        </w:rPr>
      </w:pPr>
      <w:r>
        <w:rPr>
          <w:rFonts w:cs="Arial"/>
        </w:rPr>
        <w:t xml:space="preserve">- </w:t>
      </w:r>
      <w:r w:rsidRPr="00DB7412">
        <w:rPr>
          <w:rFonts w:cs="Arial"/>
        </w:rPr>
        <w:t xml:space="preserve">José Domingo Rodríguez. La tranquila expresión de </w:t>
      </w:r>
      <w:r>
        <w:rPr>
          <w:rFonts w:cs="Arial"/>
        </w:rPr>
        <w:t>una fe revolucionaria</w:t>
      </w:r>
    </w:p>
    <w:p w14:paraId="6543180F" w14:textId="77777777" w:rsidR="00DB7412" w:rsidRDefault="00DB7412" w:rsidP="00DB7412">
      <w:pPr>
        <w:autoSpaceDE w:val="0"/>
        <w:autoSpaceDN w:val="0"/>
        <w:adjustRightInd w:val="0"/>
        <w:jc w:val="both"/>
        <w:rPr>
          <w:rFonts w:cs="Arial"/>
        </w:rPr>
      </w:pPr>
      <w:r>
        <w:rPr>
          <w:rFonts w:cs="Arial"/>
        </w:rPr>
        <w:t xml:space="preserve">- </w:t>
      </w:r>
      <w:r w:rsidRPr="00DB7412">
        <w:rPr>
          <w:rFonts w:cs="Arial"/>
        </w:rPr>
        <w:t>Las Raíces del Sagú. Recorridos, r</w:t>
      </w:r>
      <w:r>
        <w:rPr>
          <w:rFonts w:cs="Arial"/>
        </w:rPr>
        <w:t>egocijos y amasijos</w:t>
      </w:r>
    </w:p>
    <w:p w14:paraId="4CF90AD0" w14:textId="23EE64AC" w:rsidR="00DB7412" w:rsidRDefault="00DB7412" w:rsidP="00DB7412">
      <w:pPr>
        <w:autoSpaceDE w:val="0"/>
        <w:autoSpaceDN w:val="0"/>
        <w:adjustRightInd w:val="0"/>
        <w:jc w:val="both"/>
        <w:rPr>
          <w:rFonts w:cs="Arial"/>
        </w:rPr>
      </w:pPr>
      <w:r>
        <w:rPr>
          <w:rFonts w:cs="Arial"/>
        </w:rPr>
        <w:t xml:space="preserve">- </w:t>
      </w:r>
      <w:r w:rsidRPr="00DB7412">
        <w:rPr>
          <w:rFonts w:cs="Arial"/>
        </w:rPr>
        <w:t>La Rueda de la Fortuna en Bogotá. 1910-1934. Parque de diversiones y renta urbana en</w:t>
      </w:r>
      <w:r>
        <w:rPr>
          <w:rFonts w:cs="Arial"/>
        </w:rPr>
        <w:t xml:space="preserve"> el lago Gaitán y el Luna Park</w:t>
      </w:r>
    </w:p>
    <w:p w14:paraId="30B462F5" w14:textId="77777777" w:rsidR="00DB7412" w:rsidRDefault="00DB7412" w:rsidP="00DB7412">
      <w:pPr>
        <w:autoSpaceDE w:val="0"/>
        <w:autoSpaceDN w:val="0"/>
        <w:adjustRightInd w:val="0"/>
        <w:jc w:val="both"/>
        <w:rPr>
          <w:rFonts w:ascii="LiberationSans" w:hAnsi="LiberationSans" w:cs="LiberationSans"/>
          <w:color w:val="00000A"/>
          <w:szCs w:val="22"/>
        </w:rPr>
      </w:pPr>
      <w:r>
        <w:rPr>
          <w:rFonts w:cs="Arial"/>
        </w:rPr>
        <w:t xml:space="preserve">- </w:t>
      </w:r>
      <w:r>
        <w:rPr>
          <w:rFonts w:ascii="LiberationSans" w:hAnsi="LiberationSans" w:cs="LiberationSans"/>
          <w:color w:val="00000A"/>
          <w:szCs w:val="22"/>
        </w:rPr>
        <w:t xml:space="preserve">Coser con un río. El parque Nacional Olaya Herrera en Bogotá. </w:t>
      </w:r>
    </w:p>
    <w:p w14:paraId="0597715B" w14:textId="77777777" w:rsidR="00DB7412" w:rsidRDefault="00DB7412" w:rsidP="00DB7412">
      <w:pPr>
        <w:autoSpaceDE w:val="0"/>
        <w:autoSpaceDN w:val="0"/>
        <w:adjustRightInd w:val="0"/>
        <w:jc w:val="both"/>
        <w:rPr>
          <w:rFonts w:ascii="LiberationSans" w:hAnsi="LiberationSans" w:cs="LiberationSans"/>
          <w:color w:val="00000A"/>
          <w:szCs w:val="22"/>
        </w:rPr>
      </w:pPr>
      <w:r>
        <w:rPr>
          <w:rFonts w:ascii="LiberationSans" w:hAnsi="LiberationSans" w:cs="LiberationSans"/>
          <w:color w:val="00000A"/>
          <w:szCs w:val="22"/>
        </w:rPr>
        <w:t>- Agenda Huertas urbanas en Bogotá</w:t>
      </w:r>
    </w:p>
    <w:p w14:paraId="06AF8206" w14:textId="77777777" w:rsidR="00DB7412" w:rsidRDefault="00DB7412" w:rsidP="00DB7412">
      <w:pPr>
        <w:autoSpaceDE w:val="0"/>
        <w:autoSpaceDN w:val="0"/>
        <w:adjustRightInd w:val="0"/>
        <w:jc w:val="both"/>
        <w:rPr>
          <w:rFonts w:ascii="LiberationSans" w:hAnsi="LiberationSans" w:cs="LiberationSans"/>
          <w:color w:val="00000A"/>
          <w:szCs w:val="22"/>
        </w:rPr>
      </w:pPr>
      <w:r>
        <w:rPr>
          <w:rFonts w:ascii="LiberationSans" w:hAnsi="LiberationSans" w:cs="LiberationSans"/>
          <w:color w:val="00000A"/>
          <w:szCs w:val="22"/>
        </w:rPr>
        <w:t>- ¡Cálcelo sin compromiso! El arte de la zapatería en el barrio Restrepo en Bogotá</w:t>
      </w:r>
    </w:p>
    <w:p w14:paraId="02C1B9F3" w14:textId="437CD23F" w:rsidR="00A2331B" w:rsidRPr="00DB7412" w:rsidRDefault="00DB7412" w:rsidP="00DB7412">
      <w:pPr>
        <w:autoSpaceDE w:val="0"/>
        <w:autoSpaceDN w:val="0"/>
        <w:adjustRightInd w:val="0"/>
        <w:jc w:val="both"/>
        <w:rPr>
          <w:rFonts w:ascii="LiberationSans" w:hAnsi="LiberationSans" w:cs="LiberationSans"/>
          <w:color w:val="00000A"/>
          <w:szCs w:val="22"/>
        </w:rPr>
      </w:pPr>
      <w:r>
        <w:rPr>
          <w:rFonts w:ascii="LiberationSans" w:hAnsi="LiberationSans" w:cs="LiberationSans"/>
          <w:color w:val="00000A"/>
          <w:szCs w:val="22"/>
        </w:rPr>
        <w:t>- Tejer y equilibrar</w:t>
      </w:r>
    </w:p>
    <w:p w14:paraId="192AE3C4" w14:textId="6A0B9232" w:rsidR="00A2331B" w:rsidRPr="00DB7412" w:rsidRDefault="00A2331B" w:rsidP="00767BCE">
      <w:pPr>
        <w:ind w:left="-6"/>
        <w:jc w:val="both"/>
        <w:rPr>
          <w:rFonts w:cs="Arial"/>
        </w:rPr>
      </w:pPr>
    </w:p>
    <w:p w14:paraId="0B91C3BC" w14:textId="7FF921A4" w:rsidR="00767BCE" w:rsidRDefault="00767BCE" w:rsidP="00767BCE">
      <w:pPr>
        <w:ind w:left="-6"/>
        <w:jc w:val="both"/>
        <w:rPr>
          <w:rFonts w:cs="Arial"/>
        </w:rPr>
      </w:pPr>
      <w:r w:rsidRPr="00DB7412">
        <w:rPr>
          <w:rFonts w:cs="Arial"/>
        </w:rPr>
        <w:lastRenderedPageBreak/>
        <w:t>Se cuenta con Resolución 372 de 2018, en la cual se establecen los costos de reprografía de la información solicitada por particulares.</w:t>
      </w:r>
    </w:p>
    <w:p w14:paraId="138C8EC3" w14:textId="77777777" w:rsidR="00767BCE" w:rsidRDefault="00767BCE" w:rsidP="00767BCE">
      <w:pPr>
        <w:ind w:left="-6"/>
        <w:jc w:val="both"/>
        <w:rPr>
          <w:rFonts w:cs="Arial"/>
        </w:rPr>
      </w:pPr>
    </w:p>
    <w:p w14:paraId="1090D3B1" w14:textId="77777777" w:rsidR="00347C21" w:rsidRPr="00347C21" w:rsidRDefault="00347C21" w:rsidP="00347C21">
      <w:pPr>
        <w:ind w:left="-6"/>
        <w:jc w:val="both"/>
        <w:rPr>
          <w:rFonts w:cs="Arial"/>
        </w:rPr>
      </w:pPr>
    </w:p>
    <w:p w14:paraId="51F9C7D7" w14:textId="5358315E" w:rsidR="008F6545" w:rsidRDefault="008F6545" w:rsidP="00AA2B29">
      <w:pPr>
        <w:pStyle w:val="Prrafodelista"/>
        <w:numPr>
          <w:ilvl w:val="2"/>
          <w:numId w:val="5"/>
        </w:numPr>
        <w:jc w:val="both"/>
        <w:rPr>
          <w:rFonts w:cs="Arial"/>
          <w:b/>
        </w:rPr>
      </w:pPr>
      <w:r w:rsidRPr="008F6545">
        <w:rPr>
          <w:rFonts w:cs="Arial"/>
          <w:b/>
        </w:rPr>
        <w:t>Artículo 19</w:t>
      </w:r>
      <w:r>
        <w:rPr>
          <w:rFonts w:cs="Arial"/>
          <w:b/>
        </w:rPr>
        <w:t>.</w:t>
      </w:r>
      <w:r w:rsidRPr="008F6545">
        <w:rPr>
          <w:rFonts w:cs="Arial"/>
          <w:b/>
        </w:rPr>
        <w:t xml:space="preserve"> Condiciones para contratar elementos de consumo</w:t>
      </w:r>
    </w:p>
    <w:p w14:paraId="1F15EB92" w14:textId="77777777" w:rsidR="00347C21" w:rsidRDefault="00347C21" w:rsidP="00347C21">
      <w:pPr>
        <w:ind w:left="-6"/>
        <w:jc w:val="both"/>
        <w:rPr>
          <w:rFonts w:cs="Arial"/>
        </w:rPr>
      </w:pPr>
    </w:p>
    <w:p w14:paraId="50284BA2" w14:textId="7E0A783D" w:rsidR="00823C43" w:rsidRPr="00B40A09" w:rsidRDefault="001E1DBE" w:rsidP="00347C21">
      <w:pPr>
        <w:ind w:left="-6"/>
        <w:jc w:val="both"/>
        <w:rPr>
          <w:rFonts w:cs="Arial"/>
        </w:rPr>
      </w:pPr>
      <w:r w:rsidRPr="00B40A09">
        <w:rPr>
          <w:rFonts w:cs="Arial"/>
        </w:rPr>
        <w:t>Se cuenta con contrato de suministro de bienes de consumo. De acuerdo con lo informado por el profesional de Almacén se realizan pedidos el primer viernes de cada mes después de la consolidación de necesidades de la Entidad pidiendo sólo un 10% adicional de papel, lápices y esferos para manejar un stock en el Almacén.</w:t>
      </w:r>
    </w:p>
    <w:p w14:paraId="72B3C115" w14:textId="77777777" w:rsidR="001E1DBE" w:rsidRPr="00B40A09" w:rsidRDefault="001E1DBE" w:rsidP="00347C21">
      <w:pPr>
        <w:ind w:left="-6"/>
        <w:jc w:val="both"/>
        <w:rPr>
          <w:rFonts w:cs="Arial"/>
        </w:rPr>
      </w:pPr>
    </w:p>
    <w:p w14:paraId="4591F471" w14:textId="77777777" w:rsidR="001E1DBE" w:rsidRPr="00B40A09" w:rsidRDefault="001E1DBE" w:rsidP="001E1DBE">
      <w:pPr>
        <w:ind w:left="-6"/>
        <w:jc w:val="both"/>
        <w:rPr>
          <w:rFonts w:cs="Arial"/>
        </w:rPr>
      </w:pPr>
      <w:r w:rsidRPr="00B40A09">
        <w:rPr>
          <w:rFonts w:cs="Arial"/>
        </w:rPr>
        <w:t xml:space="preserve">Se cuenta con Estrategia Uso Racional de Papel aprobada el 29 de julio de 2019 mediante acta del Comité Institucional de Gestión y Desempeño y publicada en el SIG. </w:t>
      </w:r>
    </w:p>
    <w:p w14:paraId="0B5B7CC8" w14:textId="77777777" w:rsidR="001E1DBE" w:rsidRPr="00B40A09" w:rsidRDefault="001E1DBE" w:rsidP="001E1DBE">
      <w:pPr>
        <w:ind w:left="-6"/>
        <w:jc w:val="both"/>
        <w:rPr>
          <w:rFonts w:cs="Arial"/>
        </w:rPr>
      </w:pPr>
    </w:p>
    <w:p w14:paraId="75032575" w14:textId="35A4921E" w:rsidR="001E1DBE" w:rsidRDefault="001E1DBE" w:rsidP="001E1DBE">
      <w:pPr>
        <w:ind w:left="-6"/>
        <w:jc w:val="both"/>
        <w:rPr>
          <w:rFonts w:cs="Arial"/>
        </w:rPr>
      </w:pPr>
      <w:r w:rsidRPr="00D93DDE">
        <w:rPr>
          <w:rFonts w:cs="Arial"/>
        </w:rPr>
        <w:t>De acuerdo con lo informado por la Oficina Asesora de Planeación se evidenc</w:t>
      </w:r>
      <w:r w:rsidR="00E74516" w:rsidRPr="00D93DDE">
        <w:rPr>
          <w:rFonts w:cs="Arial"/>
        </w:rPr>
        <w:t>ia un</w:t>
      </w:r>
      <w:r w:rsidR="00B40A09" w:rsidRPr="00D93DDE">
        <w:rPr>
          <w:rFonts w:cs="Arial"/>
        </w:rPr>
        <w:t>a disminución del</w:t>
      </w:r>
      <w:r w:rsidR="00E74516" w:rsidRPr="00D93DDE">
        <w:rPr>
          <w:rFonts w:cs="Arial"/>
        </w:rPr>
        <w:t xml:space="preserve"> </w:t>
      </w:r>
      <w:r w:rsidR="00D93DDE" w:rsidRPr="00D93DDE">
        <w:rPr>
          <w:rFonts w:cs="Arial"/>
          <w:b/>
          <w:color w:val="00B050"/>
        </w:rPr>
        <w:t>25.45</w:t>
      </w:r>
      <w:r w:rsidRPr="00D93DDE">
        <w:rPr>
          <w:rFonts w:cs="Arial"/>
          <w:b/>
          <w:color w:val="00B050"/>
        </w:rPr>
        <w:t>%</w:t>
      </w:r>
      <w:r w:rsidRPr="00D93DDE">
        <w:rPr>
          <w:rFonts w:cs="Arial"/>
          <w:color w:val="00B050"/>
        </w:rPr>
        <w:t xml:space="preserve"> </w:t>
      </w:r>
      <w:r w:rsidRPr="00D93DDE">
        <w:rPr>
          <w:rFonts w:cs="Arial"/>
        </w:rPr>
        <w:t xml:space="preserve">del consumo de papel con respecto al mismo </w:t>
      </w:r>
      <w:r w:rsidR="00E74516" w:rsidRPr="00D93DDE">
        <w:rPr>
          <w:rFonts w:cs="Arial"/>
        </w:rPr>
        <w:t>período de la vigencia anterior</w:t>
      </w:r>
      <w:r w:rsidRPr="00D93DDE">
        <w:rPr>
          <w:rFonts w:cs="Arial"/>
        </w:rPr>
        <w:t>.</w:t>
      </w:r>
    </w:p>
    <w:p w14:paraId="4694F7E1" w14:textId="77777777" w:rsidR="001E1DBE" w:rsidRDefault="001E1DBE" w:rsidP="001E1DBE">
      <w:pPr>
        <w:ind w:left="-6"/>
        <w:jc w:val="both"/>
        <w:rPr>
          <w:rFonts w:cs="Arial"/>
        </w:rPr>
      </w:pPr>
    </w:p>
    <w:p w14:paraId="10B0B58D" w14:textId="77777777" w:rsidR="00347C21" w:rsidRPr="00347C21" w:rsidRDefault="00347C21" w:rsidP="00347C21">
      <w:pPr>
        <w:ind w:left="-6"/>
        <w:jc w:val="both"/>
        <w:rPr>
          <w:rFonts w:cs="Arial"/>
        </w:rPr>
      </w:pPr>
    </w:p>
    <w:p w14:paraId="796AC96C" w14:textId="4AB1E0A0" w:rsidR="008F6545" w:rsidRDefault="00347C21" w:rsidP="00AA2B29">
      <w:pPr>
        <w:pStyle w:val="Prrafodelista"/>
        <w:numPr>
          <w:ilvl w:val="2"/>
          <w:numId w:val="5"/>
        </w:numPr>
        <w:jc w:val="both"/>
        <w:rPr>
          <w:rFonts w:cs="Arial"/>
          <w:b/>
        </w:rPr>
      </w:pPr>
      <w:r w:rsidRPr="00347C21">
        <w:rPr>
          <w:rFonts w:cs="Arial"/>
          <w:b/>
        </w:rPr>
        <w:t>Artículo 20</w:t>
      </w:r>
      <w:r>
        <w:rPr>
          <w:rFonts w:cs="Arial"/>
          <w:b/>
        </w:rPr>
        <w:t>.</w:t>
      </w:r>
      <w:r w:rsidRPr="00347C21">
        <w:rPr>
          <w:rFonts w:cs="Arial"/>
          <w:b/>
        </w:rPr>
        <w:t xml:space="preserve"> Cajas menores</w:t>
      </w:r>
    </w:p>
    <w:p w14:paraId="798865D6" w14:textId="77777777" w:rsidR="006209C5" w:rsidRDefault="006209C5" w:rsidP="006209C5">
      <w:pPr>
        <w:ind w:left="-6"/>
        <w:jc w:val="both"/>
        <w:rPr>
          <w:rFonts w:cs="Arial"/>
        </w:rPr>
      </w:pPr>
    </w:p>
    <w:p w14:paraId="5365D04C" w14:textId="56820A45" w:rsidR="000F1FA3" w:rsidRDefault="000F1FA3" w:rsidP="000F1FA3">
      <w:pPr>
        <w:jc w:val="both"/>
        <w:rPr>
          <w:rFonts w:cs="Arial"/>
          <w:color w:val="000000"/>
        </w:rPr>
      </w:pPr>
      <w:r w:rsidRPr="00F67C43">
        <w:rPr>
          <w:rFonts w:cs="Arial"/>
          <w:color w:val="000000"/>
        </w:rPr>
        <w:t xml:space="preserve">La Caja Menor en el IDPC fue constituida mediante Resolución 078 del 10 de marzo de 2021 por valor de $11.996.000, en este mismo acto </w:t>
      </w:r>
      <w:r w:rsidRPr="00A74FF7">
        <w:rPr>
          <w:rFonts w:cs="Arial"/>
          <w:color w:val="000000"/>
        </w:rPr>
        <w:t xml:space="preserve">administrativo se regula su funcionamiento. Para el </w:t>
      </w:r>
      <w:r w:rsidR="00DB7412" w:rsidRPr="00A74FF7">
        <w:rPr>
          <w:rFonts w:cs="Arial"/>
          <w:color w:val="000000"/>
        </w:rPr>
        <w:t>cuarto</w:t>
      </w:r>
      <w:r w:rsidR="00D93DDE" w:rsidRPr="00A74FF7">
        <w:rPr>
          <w:rFonts w:cs="Arial"/>
          <w:color w:val="000000"/>
        </w:rPr>
        <w:t xml:space="preserve"> trimestre se realiz</w:t>
      </w:r>
      <w:r w:rsidR="00A74FF7" w:rsidRPr="00A74FF7">
        <w:rPr>
          <w:rFonts w:cs="Arial"/>
          <w:color w:val="000000"/>
        </w:rPr>
        <w:t>aron</w:t>
      </w:r>
      <w:r w:rsidR="00D93DDE" w:rsidRPr="00A74FF7">
        <w:rPr>
          <w:rFonts w:cs="Arial"/>
          <w:color w:val="000000"/>
        </w:rPr>
        <w:t xml:space="preserve"> </w:t>
      </w:r>
      <w:r w:rsidR="00A74FF7" w:rsidRPr="00A74FF7">
        <w:rPr>
          <w:rFonts w:cs="Arial"/>
          <w:color w:val="000000"/>
        </w:rPr>
        <w:t>2</w:t>
      </w:r>
      <w:r w:rsidRPr="00A74FF7">
        <w:rPr>
          <w:rFonts w:cs="Arial"/>
          <w:color w:val="000000"/>
        </w:rPr>
        <w:t xml:space="preserve"> reemb</w:t>
      </w:r>
      <w:r w:rsidR="00D93DDE" w:rsidRPr="00A74FF7">
        <w:rPr>
          <w:rFonts w:cs="Arial"/>
          <w:color w:val="000000"/>
        </w:rPr>
        <w:t>olso</w:t>
      </w:r>
      <w:r w:rsidR="00A74FF7" w:rsidRPr="00A74FF7">
        <w:rPr>
          <w:rFonts w:cs="Arial"/>
          <w:color w:val="000000"/>
        </w:rPr>
        <w:t>s</w:t>
      </w:r>
      <w:r w:rsidR="00D93DDE" w:rsidRPr="00A74FF7">
        <w:rPr>
          <w:rFonts w:cs="Arial"/>
          <w:color w:val="000000"/>
        </w:rPr>
        <w:t>:</w:t>
      </w:r>
    </w:p>
    <w:p w14:paraId="5912AF30" w14:textId="77777777" w:rsidR="00D93DDE" w:rsidRDefault="00D93DDE" w:rsidP="000F1FA3">
      <w:pPr>
        <w:jc w:val="both"/>
        <w:rPr>
          <w:rFonts w:cs="Arial"/>
          <w:color w:val="000000"/>
        </w:rPr>
      </w:pPr>
    </w:p>
    <w:tbl>
      <w:tblPr>
        <w:tblW w:w="5721" w:type="pct"/>
        <w:tblInd w:w="-431" w:type="dxa"/>
        <w:tblCellMar>
          <w:left w:w="70" w:type="dxa"/>
          <w:right w:w="70" w:type="dxa"/>
        </w:tblCellMar>
        <w:tblLook w:val="04A0" w:firstRow="1" w:lastRow="0" w:firstColumn="1" w:lastColumn="0" w:noHBand="0" w:noVBand="1"/>
      </w:tblPr>
      <w:tblGrid>
        <w:gridCol w:w="2011"/>
        <w:gridCol w:w="1288"/>
        <w:gridCol w:w="870"/>
        <w:gridCol w:w="870"/>
        <w:gridCol w:w="870"/>
        <w:gridCol w:w="870"/>
        <w:gridCol w:w="871"/>
        <w:gridCol w:w="1307"/>
        <w:gridCol w:w="1144"/>
      </w:tblGrid>
      <w:tr w:rsidR="00A74FF7" w:rsidRPr="00A74FF7" w14:paraId="42599B55" w14:textId="77777777" w:rsidTr="00A74FF7">
        <w:trPr>
          <w:trHeight w:val="285"/>
          <w:tblHeader/>
        </w:trPr>
        <w:tc>
          <w:tcPr>
            <w:tcW w:w="996" w:type="pct"/>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5D822D08"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RUBRO</w:t>
            </w:r>
          </w:p>
        </w:tc>
        <w:tc>
          <w:tcPr>
            <w:tcW w:w="638" w:type="pct"/>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66067C39" w14:textId="74707D1C" w:rsidR="00A74FF7" w:rsidRPr="00A74FF7" w:rsidRDefault="00A74FF7" w:rsidP="00A74FF7">
            <w:pPr>
              <w:jc w:val="center"/>
              <w:rPr>
                <w:rFonts w:ascii="Arial Narrow" w:eastAsia="Times New Roman" w:hAnsi="Arial Narrow" w:cs="Arial"/>
                <w:b/>
                <w:bCs/>
                <w:color w:val="000000"/>
                <w:sz w:val="20"/>
                <w:szCs w:val="22"/>
                <w:lang w:eastAsia="es-CO"/>
              </w:rPr>
            </w:pPr>
            <w:r>
              <w:rPr>
                <w:rFonts w:ascii="Arial Narrow" w:eastAsia="Times New Roman" w:hAnsi="Arial Narrow" w:cs="Arial"/>
                <w:b/>
                <w:bCs/>
                <w:color w:val="000000"/>
                <w:sz w:val="20"/>
                <w:szCs w:val="22"/>
                <w:lang w:eastAsia="es-CO"/>
              </w:rPr>
              <w:t>CUANTÍA AUTORIZADA</w:t>
            </w:r>
          </w:p>
        </w:tc>
        <w:tc>
          <w:tcPr>
            <w:tcW w:w="2153" w:type="pct"/>
            <w:gridSpan w:val="5"/>
            <w:tcBorders>
              <w:top w:val="single" w:sz="4" w:space="0" w:color="000000"/>
              <w:left w:val="nil"/>
              <w:bottom w:val="single" w:sz="4" w:space="0" w:color="000000"/>
              <w:right w:val="nil"/>
            </w:tcBorders>
            <w:shd w:val="clear" w:color="CCC0D9" w:fill="CCC0D9"/>
            <w:vAlign w:val="center"/>
            <w:hideMark/>
          </w:tcPr>
          <w:p w14:paraId="21D87B43"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REEMBOLSOS</w:t>
            </w:r>
          </w:p>
        </w:tc>
        <w:tc>
          <w:tcPr>
            <w:tcW w:w="647" w:type="pct"/>
            <w:vMerge w:val="restar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08FD8A0B"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TOTAL REEMBOLSOS</w:t>
            </w:r>
          </w:p>
        </w:tc>
        <w:tc>
          <w:tcPr>
            <w:tcW w:w="566" w:type="pct"/>
            <w:vMerge w:val="restart"/>
            <w:tcBorders>
              <w:top w:val="single" w:sz="4" w:space="0" w:color="000000"/>
              <w:left w:val="single" w:sz="4" w:space="0" w:color="000000"/>
              <w:bottom w:val="single" w:sz="4" w:space="0" w:color="000000"/>
              <w:right w:val="single" w:sz="4" w:space="0" w:color="000000"/>
            </w:tcBorders>
            <w:shd w:val="clear" w:color="CCC0D9" w:fill="CCC0D9"/>
            <w:noWrap/>
            <w:vAlign w:val="center"/>
            <w:hideMark/>
          </w:tcPr>
          <w:p w14:paraId="01A56D2A"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SALDOS</w:t>
            </w:r>
          </w:p>
        </w:tc>
      </w:tr>
      <w:tr w:rsidR="00A74FF7" w:rsidRPr="00A74FF7" w14:paraId="68C51CE5" w14:textId="77777777" w:rsidTr="00A74FF7">
        <w:trPr>
          <w:trHeight w:val="285"/>
          <w:tblHeader/>
        </w:trPr>
        <w:tc>
          <w:tcPr>
            <w:tcW w:w="996" w:type="pct"/>
            <w:vMerge/>
            <w:tcBorders>
              <w:top w:val="single" w:sz="4" w:space="0" w:color="000000"/>
              <w:left w:val="single" w:sz="4" w:space="0" w:color="000000"/>
              <w:bottom w:val="single" w:sz="4" w:space="0" w:color="000000"/>
              <w:right w:val="single" w:sz="4" w:space="0" w:color="000000"/>
            </w:tcBorders>
            <w:vAlign w:val="center"/>
            <w:hideMark/>
          </w:tcPr>
          <w:p w14:paraId="02A8D2C4" w14:textId="77777777" w:rsidR="00A74FF7" w:rsidRPr="00A74FF7" w:rsidRDefault="00A74FF7" w:rsidP="00A74FF7">
            <w:pPr>
              <w:rPr>
                <w:rFonts w:ascii="Arial Narrow" w:eastAsia="Times New Roman" w:hAnsi="Arial Narrow" w:cs="Arial"/>
                <w:b/>
                <w:bCs/>
                <w:color w:val="000000"/>
                <w:sz w:val="20"/>
                <w:szCs w:val="22"/>
                <w:lang w:eastAsia="es-CO"/>
              </w:rPr>
            </w:pPr>
          </w:p>
        </w:tc>
        <w:tc>
          <w:tcPr>
            <w:tcW w:w="638" w:type="pct"/>
            <w:vMerge/>
            <w:tcBorders>
              <w:top w:val="single" w:sz="4" w:space="0" w:color="000000"/>
              <w:left w:val="single" w:sz="4" w:space="0" w:color="000000"/>
              <w:bottom w:val="single" w:sz="4" w:space="0" w:color="000000"/>
              <w:right w:val="single" w:sz="4" w:space="0" w:color="000000"/>
            </w:tcBorders>
            <w:vAlign w:val="center"/>
            <w:hideMark/>
          </w:tcPr>
          <w:p w14:paraId="21AA61B4" w14:textId="77777777" w:rsidR="00A74FF7" w:rsidRPr="00A74FF7" w:rsidRDefault="00A74FF7" w:rsidP="00A74FF7">
            <w:pPr>
              <w:rPr>
                <w:rFonts w:ascii="Arial Narrow" w:eastAsia="Times New Roman" w:hAnsi="Arial Narrow" w:cs="Arial"/>
                <w:b/>
                <w:bCs/>
                <w:color w:val="000000"/>
                <w:sz w:val="20"/>
                <w:szCs w:val="22"/>
                <w:lang w:eastAsia="es-CO"/>
              </w:rPr>
            </w:pPr>
          </w:p>
        </w:tc>
        <w:tc>
          <w:tcPr>
            <w:tcW w:w="431" w:type="pct"/>
            <w:tcBorders>
              <w:top w:val="nil"/>
              <w:left w:val="nil"/>
              <w:bottom w:val="single" w:sz="4" w:space="0" w:color="000000"/>
              <w:right w:val="single" w:sz="4" w:space="0" w:color="000000"/>
            </w:tcBorders>
            <w:shd w:val="clear" w:color="CCC0D9" w:fill="CCC0D9"/>
            <w:vAlign w:val="center"/>
            <w:hideMark/>
          </w:tcPr>
          <w:p w14:paraId="2072E839"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17/8/2021</w:t>
            </w:r>
          </w:p>
        </w:tc>
        <w:tc>
          <w:tcPr>
            <w:tcW w:w="431" w:type="pct"/>
            <w:tcBorders>
              <w:top w:val="nil"/>
              <w:left w:val="nil"/>
              <w:bottom w:val="single" w:sz="4" w:space="0" w:color="000000"/>
              <w:right w:val="single" w:sz="4" w:space="0" w:color="000000"/>
            </w:tcBorders>
            <w:shd w:val="clear" w:color="CCC0D9" w:fill="CCC0D9"/>
            <w:vAlign w:val="center"/>
            <w:hideMark/>
          </w:tcPr>
          <w:p w14:paraId="7343952A"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13/9/2021</w:t>
            </w:r>
          </w:p>
        </w:tc>
        <w:tc>
          <w:tcPr>
            <w:tcW w:w="431" w:type="pct"/>
            <w:tcBorders>
              <w:top w:val="nil"/>
              <w:left w:val="nil"/>
              <w:bottom w:val="single" w:sz="4" w:space="0" w:color="000000"/>
              <w:right w:val="single" w:sz="4" w:space="0" w:color="000000"/>
            </w:tcBorders>
            <w:shd w:val="clear" w:color="CCC0D9" w:fill="CCC0D9"/>
            <w:vAlign w:val="center"/>
            <w:hideMark/>
          </w:tcPr>
          <w:p w14:paraId="02BE70E3"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24/9/2021</w:t>
            </w:r>
          </w:p>
        </w:tc>
        <w:tc>
          <w:tcPr>
            <w:tcW w:w="431" w:type="pct"/>
            <w:tcBorders>
              <w:top w:val="nil"/>
              <w:left w:val="nil"/>
              <w:bottom w:val="single" w:sz="4" w:space="0" w:color="000000"/>
              <w:right w:val="single" w:sz="4" w:space="0" w:color="000000"/>
            </w:tcBorders>
            <w:shd w:val="clear" w:color="CCC0D9" w:fill="CCC0D9"/>
            <w:vAlign w:val="center"/>
            <w:hideMark/>
          </w:tcPr>
          <w:p w14:paraId="5EFD550F"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4/10/2021</w:t>
            </w:r>
          </w:p>
        </w:tc>
        <w:tc>
          <w:tcPr>
            <w:tcW w:w="431" w:type="pct"/>
            <w:tcBorders>
              <w:top w:val="nil"/>
              <w:left w:val="nil"/>
              <w:bottom w:val="single" w:sz="4" w:space="0" w:color="000000"/>
              <w:right w:val="single" w:sz="4" w:space="0" w:color="000000"/>
            </w:tcBorders>
            <w:shd w:val="clear" w:color="CCC0D9" w:fill="CCC0D9"/>
            <w:vAlign w:val="center"/>
            <w:hideMark/>
          </w:tcPr>
          <w:p w14:paraId="37B4FAD1"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4/11/2021</w:t>
            </w:r>
          </w:p>
        </w:tc>
        <w:tc>
          <w:tcPr>
            <w:tcW w:w="647" w:type="pct"/>
            <w:vMerge/>
            <w:tcBorders>
              <w:top w:val="single" w:sz="4" w:space="0" w:color="000000"/>
              <w:left w:val="single" w:sz="4" w:space="0" w:color="000000"/>
              <w:bottom w:val="single" w:sz="4" w:space="0" w:color="000000"/>
              <w:right w:val="single" w:sz="4" w:space="0" w:color="000000"/>
            </w:tcBorders>
            <w:vAlign w:val="center"/>
            <w:hideMark/>
          </w:tcPr>
          <w:p w14:paraId="3506F0A7" w14:textId="77777777" w:rsidR="00A74FF7" w:rsidRPr="00A74FF7" w:rsidRDefault="00A74FF7" w:rsidP="00A74FF7">
            <w:pPr>
              <w:rPr>
                <w:rFonts w:ascii="Arial Narrow" w:eastAsia="Times New Roman" w:hAnsi="Arial Narrow" w:cs="Arial"/>
                <w:b/>
                <w:bCs/>
                <w:color w:val="000000"/>
                <w:sz w:val="20"/>
                <w:szCs w:val="22"/>
                <w:lang w:eastAsia="es-CO"/>
              </w:rPr>
            </w:pPr>
          </w:p>
        </w:tc>
        <w:tc>
          <w:tcPr>
            <w:tcW w:w="566" w:type="pct"/>
            <w:vMerge/>
            <w:tcBorders>
              <w:top w:val="single" w:sz="4" w:space="0" w:color="000000"/>
              <w:left w:val="single" w:sz="4" w:space="0" w:color="000000"/>
              <w:bottom w:val="single" w:sz="4" w:space="0" w:color="000000"/>
              <w:right w:val="single" w:sz="4" w:space="0" w:color="000000"/>
            </w:tcBorders>
            <w:vAlign w:val="center"/>
            <w:hideMark/>
          </w:tcPr>
          <w:p w14:paraId="664B1081" w14:textId="77777777" w:rsidR="00A74FF7" w:rsidRPr="00A74FF7" w:rsidRDefault="00A74FF7" w:rsidP="00A74FF7">
            <w:pPr>
              <w:rPr>
                <w:rFonts w:ascii="Arial Narrow" w:eastAsia="Times New Roman" w:hAnsi="Arial Narrow" w:cs="Arial"/>
                <w:b/>
                <w:bCs/>
                <w:color w:val="000000"/>
                <w:sz w:val="20"/>
                <w:szCs w:val="22"/>
                <w:lang w:eastAsia="es-CO"/>
              </w:rPr>
            </w:pPr>
          </w:p>
        </w:tc>
      </w:tr>
      <w:tr w:rsidR="00A74FF7" w:rsidRPr="00A74FF7" w14:paraId="768A9381" w14:textId="77777777" w:rsidTr="00A74FF7">
        <w:trPr>
          <w:trHeight w:val="66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6CF27CF1"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Equipos de información, computación y telecomunicaciones TIC</w:t>
            </w:r>
          </w:p>
        </w:tc>
        <w:tc>
          <w:tcPr>
            <w:tcW w:w="638" w:type="pct"/>
            <w:tcBorders>
              <w:top w:val="nil"/>
              <w:left w:val="nil"/>
              <w:bottom w:val="single" w:sz="4" w:space="0" w:color="000000"/>
              <w:right w:val="single" w:sz="4" w:space="0" w:color="000000"/>
            </w:tcBorders>
            <w:shd w:val="clear" w:color="auto" w:fill="auto"/>
            <w:vAlign w:val="center"/>
            <w:hideMark/>
          </w:tcPr>
          <w:p w14:paraId="2DB01E24" w14:textId="6084363B"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1.000.000 </w:t>
            </w:r>
          </w:p>
        </w:tc>
        <w:tc>
          <w:tcPr>
            <w:tcW w:w="431" w:type="pct"/>
            <w:tcBorders>
              <w:top w:val="nil"/>
              <w:left w:val="nil"/>
              <w:bottom w:val="single" w:sz="4" w:space="0" w:color="000000"/>
              <w:right w:val="single" w:sz="4" w:space="0" w:color="000000"/>
            </w:tcBorders>
            <w:shd w:val="clear" w:color="auto" w:fill="auto"/>
            <w:vAlign w:val="center"/>
            <w:hideMark/>
          </w:tcPr>
          <w:p w14:paraId="588116D4" w14:textId="43E85385"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6B55B55B" w14:textId="279DF6E6"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521B44F1" w14:textId="194F7E79"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7B30A624" w14:textId="0443135F"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81.000 </w:t>
            </w:r>
          </w:p>
        </w:tc>
        <w:tc>
          <w:tcPr>
            <w:tcW w:w="431" w:type="pct"/>
            <w:tcBorders>
              <w:top w:val="nil"/>
              <w:left w:val="nil"/>
              <w:bottom w:val="single" w:sz="4" w:space="0" w:color="000000"/>
              <w:right w:val="single" w:sz="4" w:space="0" w:color="000000"/>
            </w:tcBorders>
            <w:shd w:val="clear" w:color="auto" w:fill="auto"/>
            <w:vAlign w:val="center"/>
            <w:hideMark/>
          </w:tcPr>
          <w:p w14:paraId="1462B60E" w14:textId="42FAD61D"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29EEFE0B" w14:textId="40A89968"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81.000 </w:t>
            </w:r>
          </w:p>
        </w:tc>
        <w:tc>
          <w:tcPr>
            <w:tcW w:w="566" w:type="pct"/>
            <w:tcBorders>
              <w:top w:val="nil"/>
              <w:left w:val="nil"/>
              <w:bottom w:val="single" w:sz="4" w:space="0" w:color="000000"/>
              <w:right w:val="single" w:sz="4" w:space="0" w:color="000000"/>
            </w:tcBorders>
            <w:shd w:val="clear" w:color="auto" w:fill="auto"/>
            <w:noWrap/>
            <w:vAlign w:val="center"/>
            <w:hideMark/>
          </w:tcPr>
          <w:p w14:paraId="5094C65C"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919.000 </w:t>
            </w:r>
          </w:p>
        </w:tc>
      </w:tr>
      <w:tr w:rsidR="00A74FF7" w:rsidRPr="00A74FF7" w14:paraId="7A6E4D6E" w14:textId="77777777" w:rsidTr="00A74FF7">
        <w:trPr>
          <w:trHeight w:val="66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3D49C522"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Otros productos químicos; fibras artificiales (o fibras industriales hechas por el hombre)</w:t>
            </w:r>
          </w:p>
        </w:tc>
        <w:tc>
          <w:tcPr>
            <w:tcW w:w="638" w:type="pct"/>
            <w:tcBorders>
              <w:top w:val="nil"/>
              <w:left w:val="nil"/>
              <w:bottom w:val="single" w:sz="4" w:space="0" w:color="000000"/>
              <w:right w:val="single" w:sz="4" w:space="0" w:color="000000"/>
            </w:tcBorders>
            <w:shd w:val="clear" w:color="auto" w:fill="auto"/>
            <w:vAlign w:val="center"/>
            <w:hideMark/>
          </w:tcPr>
          <w:p w14:paraId="521C7A33" w14:textId="287E8910"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500.000 </w:t>
            </w:r>
          </w:p>
        </w:tc>
        <w:tc>
          <w:tcPr>
            <w:tcW w:w="431" w:type="pct"/>
            <w:tcBorders>
              <w:top w:val="nil"/>
              <w:left w:val="nil"/>
              <w:bottom w:val="single" w:sz="4" w:space="0" w:color="000000"/>
              <w:right w:val="single" w:sz="4" w:space="0" w:color="000000"/>
            </w:tcBorders>
            <w:shd w:val="clear" w:color="auto" w:fill="auto"/>
            <w:vAlign w:val="center"/>
            <w:hideMark/>
          </w:tcPr>
          <w:p w14:paraId="2988CFFE" w14:textId="568A0020"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00A01879" w14:textId="65C028E6"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18D77B3A" w14:textId="1B3488B2"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w:t>
            </w: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1D9F2C6D" w14:textId="457C25EE"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7E781418" w14:textId="2CA8E63C"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5FA7D1A5" w14:textId="7012BC60"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566" w:type="pct"/>
            <w:tcBorders>
              <w:top w:val="nil"/>
              <w:left w:val="nil"/>
              <w:bottom w:val="single" w:sz="4" w:space="0" w:color="000000"/>
              <w:right w:val="single" w:sz="4" w:space="0" w:color="000000"/>
            </w:tcBorders>
            <w:shd w:val="clear" w:color="auto" w:fill="auto"/>
            <w:noWrap/>
            <w:vAlign w:val="center"/>
            <w:hideMark/>
          </w:tcPr>
          <w:p w14:paraId="44227EFB"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500.000 </w:t>
            </w:r>
          </w:p>
        </w:tc>
      </w:tr>
      <w:tr w:rsidR="00A74FF7" w:rsidRPr="00A74FF7" w14:paraId="2D2333D0" w14:textId="77777777" w:rsidTr="00A74FF7">
        <w:trPr>
          <w:trHeight w:val="33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749D6487"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Productos de caucho y plástico</w:t>
            </w:r>
          </w:p>
        </w:tc>
        <w:tc>
          <w:tcPr>
            <w:tcW w:w="638" w:type="pct"/>
            <w:tcBorders>
              <w:top w:val="nil"/>
              <w:left w:val="nil"/>
              <w:bottom w:val="single" w:sz="4" w:space="0" w:color="000000"/>
              <w:right w:val="single" w:sz="4" w:space="0" w:color="000000"/>
            </w:tcBorders>
            <w:shd w:val="clear" w:color="auto" w:fill="auto"/>
            <w:vAlign w:val="center"/>
            <w:hideMark/>
          </w:tcPr>
          <w:p w14:paraId="55267AB7" w14:textId="7849E687"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500.000 </w:t>
            </w:r>
          </w:p>
        </w:tc>
        <w:tc>
          <w:tcPr>
            <w:tcW w:w="431" w:type="pct"/>
            <w:tcBorders>
              <w:top w:val="nil"/>
              <w:left w:val="nil"/>
              <w:bottom w:val="single" w:sz="4" w:space="0" w:color="000000"/>
              <w:right w:val="single" w:sz="4" w:space="0" w:color="000000"/>
            </w:tcBorders>
            <w:shd w:val="clear" w:color="auto" w:fill="auto"/>
            <w:vAlign w:val="center"/>
            <w:hideMark/>
          </w:tcPr>
          <w:p w14:paraId="403E9912" w14:textId="3B76F863"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3C83122B" w14:textId="25A9454C"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91.950 </w:t>
            </w:r>
          </w:p>
        </w:tc>
        <w:tc>
          <w:tcPr>
            <w:tcW w:w="431" w:type="pct"/>
            <w:tcBorders>
              <w:top w:val="nil"/>
              <w:left w:val="nil"/>
              <w:bottom w:val="single" w:sz="4" w:space="0" w:color="000000"/>
              <w:right w:val="single" w:sz="4" w:space="0" w:color="000000"/>
            </w:tcBorders>
            <w:shd w:val="clear" w:color="auto" w:fill="auto"/>
            <w:vAlign w:val="center"/>
            <w:hideMark/>
          </w:tcPr>
          <w:p w14:paraId="0B5CD22B" w14:textId="4EF56E5E"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02F7673C" w14:textId="106959A1"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w:t>
            </w: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68401155" w14:textId="3B5A414A"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205.000 </w:t>
            </w:r>
          </w:p>
        </w:tc>
        <w:tc>
          <w:tcPr>
            <w:tcW w:w="647" w:type="pct"/>
            <w:tcBorders>
              <w:top w:val="nil"/>
              <w:left w:val="nil"/>
              <w:bottom w:val="single" w:sz="4" w:space="0" w:color="000000"/>
              <w:right w:val="single" w:sz="4" w:space="0" w:color="000000"/>
            </w:tcBorders>
            <w:shd w:val="clear" w:color="auto" w:fill="auto"/>
            <w:vAlign w:val="center"/>
            <w:hideMark/>
          </w:tcPr>
          <w:p w14:paraId="7CE5CDFB" w14:textId="58FCDF69"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296.950 </w:t>
            </w:r>
          </w:p>
        </w:tc>
        <w:tc>
          <w:tcPr>
            <w:tcW w:w="566" w:type="pct"/>
            <w:tcBorders>
              <w:top w:val="nil"/>
              <w:left w:val="nil"/>
              <w:bottom w:val="single" w:sz="4" w:space="0" w:color="000000"/>
              <w:right w:val="single" w:sz="4" w:space="0" w:color="000000"/>
            </w:tcBorders>
            <w:shd w:val="clear" w:color="auto" w:fill="auto"/>
            <w:noWrap/>
            <w:vAlign w:val="center"/>
            <w:hideMark/>
          </w:tcPr>
          <w:p w14:paraId="171C20CE"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203.050 </w:t>
            </w:r>
          </w:p>
        </w:tc>
      </w:tr>
      <w:tr w:rsidR="00A74FF7" w:rsidRPr="00A74FF7" w14:paraId="6857D1C5" w14:textId="77777777" w:rsidTr="00A74FF7">
        <w:trPr>
          <w:trHeight w:val="66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3A877626"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Vidrio y productos de vidrio y otros productos no metálicos n.c.p.</w:t>
            </w:r>
          </w:p>
        </w:tc>
        <w:tc>
          <w:tcPr>
            <w:tcW w:w="638" w:type="pct"/>
            <w:tcBorders>
              <w:top w:val="nil"/>
              <w:left w:val="nil"/>
              <w:bottom w:val="single" w:sz="4" w:space="0" w:color="000000"/>
              <w:right w:val="single" w:sz="4" w:space="0" w:color="000000"/>
            </w:tcBorders>
            <w:shd w:val="clear" w:color="auto" w:fill="auto"/>
            <w:vAlign w:val="center"/>
            <w:hideMark/>
          </w:tcPr>
          <w:p w14:paraId="79CC637F" w14:textId="28D092FC"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500.000 </w:t>
            </w:r>
          </w:p>
        </w:tc>
        <w:tc>
          <w:tcPr>
            <w:tcW w:w="431" w:type="pct"/>
            <w:tcBorders>
              <w:top w:val="nil"/>
              <w:left w:val="nil"/>
              <w:bottom w:val="single" w:sz="4" w:space="0" w:color="000000"/>
              <w:right w:val="single" w:sz="4" w:space="0" w:color="000000"/>
            </w:tcBorders>
            <w:shd w:val="clear" w:color="auto" w:fill="auto"/>
            <w:vAlign w:val="center"/>
            <w:hideMark/>
          </w:tcPr>
          <w:p w14:paraId="3111FB38" w14:textId="3DF2ED43"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32.000 </w:t>
            </w:r>
          </w:p>
        </w:tc>
        <w:tc>
          <w:tcPr>
            <w:tcW w:w="431" w:type="pct"/>
            <w:tcBorders>
              <w:top w:val="nil"/>
              <w:left w:val="nil"/>
              <w:bottom w:val="single" w:sz="4" w:space="0" w:color="000000"/>
              <w:right w:val="single" w:sz="4" w:space="0" w:color="000000"/>
            </w:tcBorders>
            <w:shd w:val="clear" w:color="auto" w:fill="auto"/>
            <w:vAlign w:val="center"/>
            <w:hideMark/>
          </w:tcPr>
          <w:p w14:paraId="19DF6565" w14:textId="7840F8D8"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110.000 </w:t>
            </w:r>
          </w:p>
        </w:tc>
        <w:tc>
          <w:tcPr>
            <w:tcW w:w="431" w:type="pct"/>
            <w:tcBorders>
              <w:top w:val="nil"/>
              <w:left w:val="nil"/>
              <w:bottom w:val="single" w:sz="4" w:space="0" w:color="000000"/>
              <w:right w:val="single" w:sz="4" w:space="0" w:color="000000"/>
            </w:tcBorders>
            <w:shd w:val="clear" w:color="auto" w:fill="auto"/>
            <w:vAlign w:val="center"/>
            <w:hideMark/>
          </w:tcPr>
          <w:p w14:paraId="2A418333" w14:textId="7E7470EE"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2E52F526" w14:textId="1D4E8261"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w:t>
            </w: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3F93806E" w14:textId="6B320BE0"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18B2DCB2" w14:textId="2FC19963"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142.000 </w:t>
            </w:r>
          </w:p>
        </w:tc>
        <w:tc>
          <w:tcPr>
            <w:tcW w:w="566" w:type="pct"/>
            <w:tcBorders>
              <w:top w:val="nil"/>
              <w:left w:val="nil"/>
              <w:bottom w:val="single" w:sz="4" w:space="0" w:color="000000"/>
              <w:right w:val="single" w:sz="4" w:space="0" w:color="000000"/>
            </w:tcBorders>
            <w:shd w:val="clear" w:color="auto" w:fill="auto"/>
            <w:noWrap/>
            <w:vAlign w:val="center"/>
            <w:hideMark/>
          </w:tcPr>
          <w:p w14:paraId="20C95F40"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358.000 </w:t>
            </w:r>
          </w:p>
        </w:tc>
      </w:tr>
      <w:tr w:rsidR="00A74FF7" w:rsidRPr="00A74FF7" w14:paraId="20C2C3AD" w14:textId="77777777" w:rsidTr="00A74FF7">
        <w:trPr>
          <w:trHeight w:val="33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0C176343"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Servicios de parqueaderos</w:t>
            </w:r>
          </w:p>
        </w:tc>
        <w:tc>
          <w:tcPr>
            <w:tcW w:w="638" w:type="pct"/>
            <w:tcBorders>
              <w:top w:val="nil"/>
              <w:left w:val="nil"/>
              <w:bottom w:val="single" w:sz="4" w:space="0" w:color="000000"/>
              <w:right w:val="single" w:sz="4" w:space="0" w:color="000000"/>
            </w:tcBorders>
            <w:shd w:val="clear" w:color="auto" w:fill="auto"/>
            <w:vAlign w:val="center"/>
            <w:hideMark/>
          </w:tcPr>
          <w:p w14:paraId="7847BC01" w14:textId="37B9743C"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489.000 </w:t>
            </w:r>
          </w:p>
        </w:tc>
        <w:tc>
          <w:tcPr>
            <w:tcW w:w="431" w:type="pct"/>
            <w:tcBorders>
              <w:top w:val="nil"/>
              <w:left w:val="nil"/>
              <w:bottom w:val="single" w:sz="4" w:space="0" w:color="000000"/>
              <w:right w:val="single" w:sz="4" w:space="0" w:color="000000"/>
            </w:tcBorders>
            <w:shd w:val="clear" w:color="auto" w:fill="auto"/>
            <w:vAlign w:val="center"/>
            <w:hideMark/>
          </w:tcPr>
          <w:p w14:paraId="73047B2E" w14:textId="0F7AD4D0"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0DF687A1" w14:textId="483A2CAA"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45BDDEF7" w14:textId="00B01765"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201F7B68" w14:textId="2CBC2E8F"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72CDF7CE" w14:textId="70D9A043"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62A88E6C" w14:textId="0B08AB38"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566" w:type="pct"/>
            <w:tcBorders>
              <w:top w:val="nil"/>
              <w:left w:val="nil"/>
              <w:bottom w:val="single" w:sz="4" w:space="0" w:color="000000"/>
              <w:right w:val="single" w:sz="4" w:space="0" w:color="000000"/>
            </w:tcBorders>
            <w:shd w:val="clear" w:color="auto" w:fill="auto"/>
            <w:noWrap/>
            <w:vAlign w:val="center"/>
            <w:hideMark/>
          </w:tcPr>
          <w:p w14:paraId="776CB759"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489.000 </w:t>
            </w:r>
          </w:p>
        </w:tc>
      </w:tr>
      <w:tr w:rsidR="00A74FF7" w:rsidRPr="00A74FF7" w14:paraId="1B83E7B1" w14:textId="77777777" w:rsidTr="00A74FF7">
        <w:trPr>
          <w:trHeight w:val="66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6AD97E84"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Servicios de documentación y certificación jurídica</w:t>
            </w:r>
          </w:p>
        </w:tc>
        <w:tc>
          <w:tcPr>
            <w:tcW w:w="638" w:type="pct"/>
            <w:tcBorders>
              <w:top w:val="nil"/>
              <w:left w:val="nil"/>
              <w:bottom w:val="single" w:sz="4" w:space="0" w:color="000000"/>
              <w:right w:val="single" w:sz="4" w:space="0" w:color="000000"/>
            </w:tcBorders>
            <w:shd w:val="clear" w:color="auto" w:fill="auto"/>
            <w:vAlign w:val="center"/>
            <w:hideMark/>
          </w:tcPr>
          <w:p w14:paraId="34D77069" w14:textId="6EAB75B5"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3.287.000 </w:t>
            </w:r>
          </w:p>
        </w:tc>
        <w:tc>
          <w:tcPr>
            <w:tcW w:w="431" w:type="pct"/>
            <w:tcBorders>
              <w:top w:val="nil"/>
              <w:left w:val="nil"/>
              <w:bottom w:val="single" w:sz="4" w:space="0" w:color="000000"/>
              <w:right w:val="single" w:sz="4" w:space="0" w:color="000000"/>
            </w:tcBorders>
            <w:shd w:val="clear" w:color="auto" w:fill="auto"/>
            <w:vAlign w:val="center"/>
            <w:hideMark/>
          </w:tcPr>
          <w:p w14:paraId="480039B2" w14:textId="5902D816"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4BB23B6E" w14:textId="55842B35"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20.300 </w:t>
            </w:r>
          </w:p>
        </w:tc>
        <w:tc>
          <w:tcPr>
            <w:tcW w:w="431" w:type="pct"/>
            <w:tcBorders>
              <w:top w:val="nil"/>
              <w:left w:val="nil"/>
              <w:bottom w:val="single" w:sz="4" w:space="0" w:color="000000"/>
              <w:right w:val="single" w:sz="4" w:space="0" w:color="000000"/>
            </w:tcBorders>
            <w:shd w:val="clear" w:color="auto" w:fill="auto"/>
            <w:vAlign w:val="center"/>
            <w:hideMark/>
          </w:tcPr>
          <w:p w14:paraId="0F9EB5AB" w14:textId="182FDFEC"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56AC1844" w14:textId="7DCC8CA7"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232BDCEB" w14:textId="56FE2DAC"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64C6F2A5" w14:textId="49B55168"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20.300 </w:t>
            </w:r>
          </w:p>
        </w:tc>
        <w:tc>
          <w:tcPr>
            <w:tcW w:w="566" w:type="pct"/>
            <w:tcBorders>
              <w:top w:val="nil"/>
              <w:left w:val="nil"/>
              <w:bottom w:val="single" w:sz="4" w:space="0" w:color="000000"/>
              <w:right w:val="single" w:sz="4" w:space="0" w:color="000000"/>
            </w:tcBorders>
            <w:shd w:val="clear" w:color="auto" w:fill="auto"/>
            <w:noWrap/>
            <w:vAlign w:val="center"/>
            <w:hideMark/>
          </w:tcPr>
          <w:p w14:paraId="3F578486"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3.266.700 </w:t>
            </w:r>
          </w:p>
        </w:tc>
      </w:tr>
      <w:tr w:rsidR="00A74FF7" w:rsidRPr="00A74FF7" w14:paraId="027B9763" w14:textId="77777777" w:rsidTr="00A74FF7">
        <w:trPr>
          <w:trHeight w:val="33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2E5C3111"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Servicios relacionados con la impresión</w:t>
            </w:r>
          </w:p>
        </w:tc>
        <w:tc>
          <w:tcPr>
            <w:tcW w:w="638" w:type="pct"/>
            <w:tcBorders>
              <w:top w:val="nil"/>
              <w:left w:val="nil"/>
              <w:bottom w:val="single" w:sz="4" w:space="0" w:color="000000"/>
              <w:right w:val="single" w:sz="4" w:space="0" w:color="000000"/>
            </w:tcBorders>
            <w:shd w:val="clear" w:color="auto" w:fill="auto"/>
            <w:vAlign w:val="center"/>
            <w:hideMark/>
          </w:tcPr>
          <w:p w14:paraId="21D322C2" w14:textId="7B3012BB"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475.000 </w:t>
            </w:r>
          </w:p>
        </w:tc>
        <w:tc>
          <w:tcPr>
            <w:tcW w:w="431" w:type="pct"/>
            <w:tcBorders>
              <w:top w:val="nil"/>
              <w:left w:val="nil"/>
              <w:bottom w:val="single" w:sz="4" w:space="0" w:color="000000"/>
              <w:right w:val="single" w:sz="4" w:space="0" w:color="000000"/>
            </w:tcBorders>
            <w:shd w:val="clear" w:color="auto" w:fill="auto"/>
            <w:vAlign w:val="center"/>
            <w:hideMark/>
          </w:tcPr>
          <w:p w14:paraId="3BE92E30" w14:textId="7B4821BA"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7B9DCCBD" w14:textId="7AF914A1"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6FC45EAD" w14:textId="1FEEA153"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5B7101F7" w14:textId="11F68EA8"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196548F5" w14:textId="52240DE5"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5DACABE1" w14:textId="7D824519"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w:t>
            </w: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566" w:type="pct"/>
            <w:tcBorders>
              <w:top w:val="nil"/>
              <w:left w:val="nil"/>
              <w:bottom w:val="single" w:sz="4" w:space="0" w:color="000000"/>
              <w:right w:val="single" w:sz="4" w:space="0" w:color="000000"/>
            </w:tcBorders>
            <w:shd w:val="clear" w:color="auto" w:fill="auto"/>
            <w:noWrap/>
            <w:vAlign w:val="center"/>
            <w:hideMark/>
          </w:tcPr>
          <w:p w14:paraId="444ABE84"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475.000 </w:t>
            </w:r>
          </w:p>
        </w:tc>
      </w:tr>
      <w:tr w:rsidR="00A74FF7" w:rsidRPr="00A74FF7" w14:paraId="30B4B5F2" w14:textId="77777777" w:rsidTr="00A74FF7">
        <w:trPr>
          <w:trHeight w:val="66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5A6B64BD"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Maquinaria de oficina, contabilidad e informática</w:t>
            </w:r>
          </w:p>
        </w:tc>
        <w:tc>
          <w:tcPr>
            <w:tcW w:w="638" w:type="pct"/>
            <w:tcBorders>
              <w:top w:val="nil"/>
              <w:left w:val="nil"/>
              <w:bottom w:val="single" w:sz="4" w:space="0" w:color="000000"/>
              <w:right w:val="single" w:sz="4" w:space="0" w:color="000000"/>
            </w:tcBorders>
            <w:shd w:val="clear" w:color="auto" w:fill="auto"/>
            <w:vAlign w:val="center"/>
            <w:hideMark/>
          </w:tcPr>
          <w:p w14:paraId="65049435" w14:textId="590BA556"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86.000 </w:t>
            </w:r>
          </w:p>
        </w:tc>
        <w:tc>
          <w:tcPr>
            <w:tcW w:w="431" w:type="pct"/>
            <w:tcBorders>
              <w:top w:val="nil"/>
              <w:left w:val="nil"/>
              <w:bottom w:val="single" w:sz="4" w:space="0" w:color="000000"/>
              <w:right w:val="single" w:sz="4" w:space="0" w:color="000000"/>
            </w:tcBorders>
            <w:shd w:val="clear" w:color="auto" w:fill="auto"/>
            <w:vAlign w:val="center"/>
            <w:hideMark/>
          </w:tcPr>
          <w:p w14:paraId="7BB69529" w14:textId="088745CD"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268532EB" w14:textId="79580F13"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5EFF1FEF" w14:textId="13B01D17"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7C79075C" w14:textId="274532DA"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4A1C5812" w14:textId="2AC36610"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3C6B89EC" w14:textId="6272032A"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w:t>
            </w: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566" w:type="pct"/>
            <w:tcBorders>
              <w:top w:val="nil"/>
              <w:left w:val="nil"/>
              <w:bottom w:val="single" w:sz="4" w:space="0" w:color="000000"/>
              <w:right w:val="single" w:sz="4" w:space="0" w:color="000000"/>
            </w:tcBorders>
            <w:shd w:val="clear" w:color="auto" w:fill="auto"/>
            <w:noWrap/>
            <w:vAlign w:val="center"/>
            <w:hideMark/>
          </w:tcPr>
          <w:p w14:paraId="04970558"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86.000 </w:t>
            </w:r>
          </w:p>
        </w:tc>
      </w:tr>
      <w:tr w:rsidR="00A74FF7" w:rsidRPr="00A74FF7" w14:paraId="0FBF57AB" w14:textId="77777777" w:rsidTr="00A74FF7">
        <w:trPr>
          <w:trHeight w:val="33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1FB4C880"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lastRenderedPageBreak/>
              <w:t>Maquinaria y aparatos eléctricos</w:t>
            </w:r>
          </w:p>
        </w:tc>
        <w:tc>
          <w:tcPr>
            <w:tcW w:w="638" w:type="pct"/>
            <w:tcBorders>
              <w:top w:val="nil"/>
              <w:left w:val="nil"/>
              <w:bottom w:val="single" w:sz="4" w:space="0" w:color="000000"/>
              <w:right w:val="single" w:sz="4" w:space="0" w:color="000000"/>
            </w:tcBorders>
            <w:shd w:val="clear" w:color="auto" w:fill="auto"/>
            <w:vAlign w:val="center"/>
            <w:hideMark/>
          </w:tcPr>
          <w:p w14:paraId="757CAA31" w14:textId="58D9D0DB"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71.000 </w:t>
            </w:r>
          </w:p>
        </w:tc>
        <w:tc>
          <w:tcPr>
            <w:tcW w:w="431" w:type="pct"/>
            <w:tcBorders>
              <w:top w:val="nil"/>
              <w:left w:val="nil"/>
              <w:bottom w:val="single" w:sz="4" w:space="0" w:color="000000"/>
              <w:right w:val="single" w:sz="4" w:space="0" w:color="000000"/>
            </w:tcBorders>
            <w:shd w:val="clear" w:color="auto" w:fill="auto"/>
            <w:vAlign w:val="center"/>
            <w:hideMark/>
          </w:tcPr>
          <w:p w14:paraId="4A9A15E2" w14:textId="3C685EDF"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14465127" w14:textId="5A87AE2D"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68A3F4AC" w14:textId="7A330196"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74EE4A77" w14:textId="16CCC99E"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74ABAB37" w14:textId="3D04AFAF"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78D46413" w14:textId="728D50C2"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   </w:t>
            </w:r>
          </w:p>
        </w:tc>
        <w:tc>
          <w:tcPr>
            <w:tcW w:w="566" w:type="pct"/>
            <w:tcBorders>
              <w:top w:val="nil"/>
              <w:left w:val="nil"/>
              <w:bottom w:val="single" w:sz="4" w:space="0" w:color="000000"/>
              <w:right w:val="single" w:sz="4" w:space="0" w:color="000000"/>
            </w:tcBorders>
            <w:shd w:val="clear" w:color="auto" w:fill="auto"/>
            <w:noWrap/>
            <w:vAlign w:val="center"/>
            <w:hideMark/>
          </w:tcPr>
          <w:p w14:paraId="071019ED"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71.000 </w:t>
            </w:r>
          </w:p>
        </w:tc>
      </w:tr>
      <w:tr w:rsidR="00A74FF7" w:rsidRPr="00A74FF7" w14:paraId="1743CED8" w14:textId="77777777" w:rsidTr="00A74FF7">
        <w:trPr>
          <w:trHeight w:val="33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3A92E1EF"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Servicios de transporte de pasajeros</w:t>
            </w:r>
          </w:p>
        </w:tc>
        <w:tc>
          <w:tcPr>
            <w:tcW w:w="638" w:type="pct"/>
            <w:tcBorders>
              <w:top w:val="nil"/>
              <w:left w:val="nil"/>
              <w:bottom w:val="single" w:sz="4" w:space="0" w:color="000000"/>
              <w:right w:val="single" w:sz="4" w:space="0" w:color="000000"/>
            </w:tcBorders>
            <w:shd w:val="clear" w:color="auto" w:fill="auto"/>
            <w:vAlign w:val="center"/>
            <w:hideMark/>
          </w:tcPr>
          <w:p w14:paraId="2FF26B1C" w14:textId="7C0886E5"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3.458.000 </w:t>
            </w:r>
          </w:p>
        </w:tc>
        <w:tc>
          <w:tcPr>
            <w:tcW w:w="431" w:type="pct"/>
            <w:tcBorders>
              <w:top w:val="nil"/>
              <w:left w:val="nil"/>
              <w:bottom w:val="single" w:sz="4" w:space="0" w:color="000000"/>
              <w:right w:val="single" w:sz="4" w:space="0" w:color="000000"/>
            </w:tcBorders>
            <w:shd w:val="clear" w:color="auto" w:fill="auto"/>
            <w:vAlign w:val="center"/>
            <w:hideMark/>
          </w:tcPr>
          <w:p w14:paraId="0203F07C" w14:textId="3AB1A314"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6C2D7A52" w14:textId="579E656E"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40.000 </w:t>
            </w:r>
          </w:p>
        </w:tc>
        <w:tc>
          <w:tcPr>
            <w:tcW w:w="431" w:type="pct"/>
            <w:tcBorders>
              <w:top w:val="nil"/>
              <w:left w:val="nil"/>
              <w:bottom w:val="single" w:sz="4" w:space="0" w:color="000000"/>
              <w:right w:val="single" w:sz="4" w:space="0" w:color="000000"/>
            </w:tcBorders>
            <w:shd w:val="clear" w:color="auto" w:fill="auto"/>
            <w:vAlign w:val="center"/>
            <w:hideMark/>
          </w:tcPr>
          <w:p w14:paraId="27BA7B40" w14:textId="019380CB"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3817208A" w14:textId="003F14B0"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6A482340" w14:textId="0FFDDE83"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6C7D3546" w14:textId="72AE28EF"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40.000 </w:t>
            </w:r>
          </w:p>
        </w:tc>
        <w:tc>
          <w:tcPr>
            <w:tcW w:w="566" w:type="pct"/>
            <w:tcBorders>
              <w:top w:val="nil"/>
              <w:left w:val="nil"/>
              <w:bottom w:val="single" w:sz="4" w:space="0" w:color="000000"/>
              <w:right w:val="single" w:sz="4" w:space="0" w:color="000000"/>
            </w:tcBorders>
            <w:shd w:val="clear" w:color="auto" w:fill="auto"/>
            <w:noWrap/>
            <w:vAlign w:val="center"/>
            <w:hideMark/>
          </w:tcPr>
          <w:p w14:paraId="1A71B545"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3.418.000 </w:t>
            </w:r>
          </w:p>
        </w:tc>
      </w:tr>
      <w:tr w:rsidR="00A74FF7" w:rsidRPr="00A74FF7" w14:paraId="3602041F" w14:textId="77777777" w:rsidTr="00A74FF7">
        <w:trPr>
          <w:trHeight w:val="330"/>
        </w:trPr>
        <w:tc>
          <w:tcPr>
            <w:tcW w:w="996" w:type="pct"/>
            <w:tcBorders>
              <w:top w:val="nil"/>
              <w:left w:val="single" w:sz="4" w:space="0" w:color="000000"/>
              <w:bottom w:val="single" w:sz="4" w:space="0" w:color="000000"/>
              <w:right w:val="single" w:sz="4" w:space="0" w:color="000000"/>
            </w:tcBorders>
            <w:shd w:val="clear" w:color="auto" w:fill="auto"/>
            <w:vAlign w:val="center"/>
            <w:hideMark/>
          </w:tcPr>
          <w:p w14:paraId="1F62DF7B"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Servicios de copia y reproducción</w:t>
            </w:r>
          </w:p>
        </w:tc>
        <w:tc>
          <w:tcPr>
            <w:tcW w:w="638" w:type="pct"/>
            <w:tcBorders>
              <w:top w:val="nil"/>
              <w:left w:val="nil"/>
              <w:bottom w:val="single" w:sz="4" w:space="0" w:color="000000"/>
              <w:right w:val="single" w:sz="4" w:space="0" w:color="000000"/>
            </w:tcBorders>
            <w:shd w:val="clear" w:color="auto" w:fill="auto"/>
            <w:vAlign w:val="center"/>
            <w:hideMark/>
          </w:tcPr>
          <w:p w14:paraId="2F242F33" w14:textId="00AB0299"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642.000 </w:t>
            </w:r>
          </w:p>
        </w:tc>
        <w:tc>
          <w:tcPr>
            <w:tcW w:w="431" w:type="pct"/>
            <w:tcBorders>
              <w:top w:val="nil"/>
              <w:left w:val="nil"/>
              <w:bottom w:val="single" w:sz="4" w:space="0" w:color="000000"/>
              <w:right w:val="single" w:sz="4" w:space="0" w:color="000000"/>
            </w:tcBorders>
            <w:shd w:val="clear" w:color="auto" w:fill="auto"/>
            <w:vAlign w:val="center"/>
            <w:hideMark/>
          </w:tcPr>
          <w:p w14:paraId="1A33963D" w14:textId="39303F16"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48176C6A" w14:textId="670852E9"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18.900 </w:t>
            </w:r>
          </w:p>
        </w:tc>
        <w:tc>
          <w:tcPr>
            <w:tcW w:w="431" w:type="pct"/>
            <w:tcBorders>
              <w:top w:val="nil"/>
              <w:left w:val="nil"/>
              <w:bottom w:val="single" w:sz="4" w:space="0" w:color="000000"/>
              <w:right w:val="single" w:sz="4" w:space="0" w:color="000000"/>
            </w:tcBorders>
            <w:shd w:val="clear" w:color="auto" w:fill="auto"/>
            <w:vAlign w:val="center"/>
            <w:hideMark/>
          </w:tcPr>
          <w:p w14:paraId="45A6F892" w14:textId="7B465DBE"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530.000 </w:t>
            </w:r>
          </w:p>
        </w:tc>
        <w:tc>
          <w:tcPr>
            <w:tcW w:w="431" w:type="pct"/>
            <w:tcBorders>
              <w:top w:val="nil"/>
              <w:left w:val="nil"/>
              <w:bottom w:val="single" w:sz="4" w:space="0" w:color="000000"/>
              <w:right w:val="single" w:sz="4" w:space="0" w:color="000000"/>
            </w:tcBorders>
            <w:shd w:val="clear" w:color="auto" w:fill="auto"/>
            <w:vAlign w:val="center"/>
            <w:hideMark/>
          </w:tcPr>
          <w:p w14:paraId="319ADF9E" w14:textId="651A076E"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1D817D6D" w14:textId="2570C843"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0BB58DF3" w14:textId="4057BBC5"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548.900 </w:t>
            </w:r>
          </w:p>
        </w:tc>
        <w:tc>
          <w:tcPr>
            <w:tcW w:w="566" w:type="pct"/>
            <w:tcBorders>
              <w:top w:val="nil"/>
              <w:left w:val="nil"/>
              <w:bottom w:val="single" w:sz="4" w:space="0" w:color="000000"/>
              <w:right w:val="single" w:sz="4" w:space="0" w:color="000000"/>
            </w:tcBorders>
            <w:shd w:val="clear" w:color="auto" w:fill="auto"/>
            <w:noWrap/>
            <w:vAlign w:val="center"/>
            <w:hideMark/>
          </w:tcPr>
          <w:p w14:paraId="4F136477"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93.100 </w:t>
            </w:r>
          </w:p>
        </w:tc>
      </w:tr>
      <w:tr w:rsidR="00A74FF7" w:rsidRPr="00A74FF7" w14:paraId="45319140" w14:textId="77777777" w:rsidTr="00A74FF7">
        <w:trPr>
          <w:trHeight w:val="660"/>
        </w:trPr>
        <w:tc>
          <w:tcPr>
            <w:tcW w:w="996" w:type="pct"/>
            <w:tcBorders>
              <w:top w:val="nil"/>
              <w:left w:val="single" w:sz="4" w:space="0" w:color="000000"/>
              <w:bottom w:val="nil"/>
              <w:right w:val="single" w:sz="4" w:space="0" w:color="000000"/>
            </w:tcBorders>
            <w:shd w:val="clear" w:color="auto" w:fill="auto"/>
            <w:vAlign w:val="center"/>
            <w:hideMark/>
          </w:tcPr>
          <w:p w14:paraId="0664D967"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Servicios de instalación de otros bienes n.c.p.</w:t>
            </w:r>
          </w:p>
        </w:tc>
        <w:tc>
          <w:tcPr>
            <w:tcW w:w="638" w:type="pct"/>
            <w:tcBorders>
              <w:top w:val="nil"/>
              <w:left w:val="nil"/>
              <w:bottom w:val="single" w:sz="4" w:space="0" w:color="000000"/>
              <w:right w:val="single" w:sz="4" w:space="0" w:color="000000"/>
            </w:tcBorders>
            <w:shd w:val="clear" w:color="auto" w:fill="auto"/>
            <w:vAlign w:val="center"/>
            <w:hideMark/>
          </w:tcPr>
          <w:p w14:paraId="65F50A79" w14:textId="240EB60B"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988.000 </w:t>
            </w:r>
          </w:p>
        </w:tc>
        <w:tc>
          <w:tcPr>
            <w:tcW w:w="431" w:type="pct"/>
            <w:tcBorders>
              <w:top w:val="nil"/>
              <w:left w:val="nil"/>
              <w:bottom w:val="single" w:sz="4" w:space="0" w:color="000000"/>
              <w:right w:val="single" w:sz="4" w:space="0" w:color="000000"/>
            </w:tcBorders>
            <w:shd w:val="clear" w:color="auto" w:fill="auto"/>
            <w:vAlign w:val="center"/>
            <w:hideMark/>
          </w:tcPr>
          <w:p w14:paraId="049FBDCB" w14:textId="470EA243"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742.260 </w:t>
            </w:r>
          </w:p>
        </w:tc>
        <w:tc>
          <w:tcPr>
            <w:tcW w:w="431" w:type="pct"/>
            <w:tcBorders>
              <w:top w:val="nil"/>
              <w:left w:val="nil"/>
              <w:bottom w:val="single" w:sz="4" w:space="0" w:color="000000"/>
              <w:right w:val="single" w:sz="4" w:space="0" w:color="000000"/>
            </w:tcBorders>
            <w:shd w:val="clear" w:color="auto" w:fill="auto"/>
            <w:vAlign w:val="center"/>
            <w:hideMark/>
          </w:tcPr>
          <w:p w14:paraId="7F40D58E" w14:textId="591BEDD4"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754DAD5B" w14:textId="382C222A"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24.000 </w:t>
            </w:r>
          </w:p>
        </w:tc>
        <w:tc>
          <w:tcPr>
            <w:tcW w:w="431" w:type="pct"/>
            <w:tcBorders>
              <w:top w:val="nil"/>
              <w:left w:val="nil"/>
              <w:bottom w:val="single" w:sz="4" w:space="0" w:color="000000"/>
              <w:right w:val="single" w:sz="4" w:space="0" w:color="000000"/>
            </w:tcBorders>
            <w:shd w:val="clear" w:color="auto" w:fill="auto"/>
            <w:vAlign w:val="center"/>
            <w:hideMark/>
          </w:tcPr>
          <w:p w14:paraId="4000772B" w14:textId="7C97041B"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431" w:type="pct"/>
            <w:tcBorders>
              <w:top w:val="nil"/>
              <w:left w:val="nil"/>
              <w:bottom w:val="single" w:sz="4" w:space="0" w:color="000000"/>
              <w:right w:val="single" w:sz="4" w:space="0" w:color="000000"/>
            </w:tcBorders>
            <w:shd w:val="clear" w:color="auto" w:fill="auto"/>
            <w:vAlign w:val="center"/>
            <w:hideMark/>
          </w:tcPr>
          <w:p w14:paraId="6CE870E1" w14:textId="6EC0B930"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   </w:t>
            </w:r>
          </w:p>
        </w:tc>
        <w:tc>
          <w:tcPr>
            <w:tcW w:w="647" w:type="pct"/>
            <w:tcBorders>
              <w:top w:val="nil"/>
              <w:left w:val="nil"/>
              <w:bottom w:val="single" w:sz="4" w:space="0" w:color="000000"/>
              <w:right w:val="single" w:sz="4" w:space="0" w:color="000000"/>
            </w:tcBorders>
            <w:shd w:val="clear" w:color="auto" w:fill="auto"/>
            <w:vAlign w:val="center"/>
            <w:hideMark/>
          </w:tcPr>
          <w:p w14:paraId="2C3F53C9" w14:textId="57530979" w:rsidR="00A74FF7" w:rsidRPr="00A74FF7" w:rsidRDefault="00A74FF7" w:rsidP="00A74FF7">
            <w:pPr>
              <w:rPr>
                <w:rFonts w:ascii="Arial Narrow" w:eastAsia="Times New Roman" w:hAnsi="Arial Narrow" w:cs="Arial"/>
                <w:color w:val="000000"/>
                <w:sz w:val="20"/>
                <w:szCs w:val="22"/>
                <w:lang w:eastAsia="es-CO"/>
              </w:rPr>
            </w:pPr>
            <w:r>
              <w:rPr>
                <w:rFonts w:ascii="Arial Narrow" w:eastAsia="Times New Roman" w:hAnsi="Arial Narrow" w:cs="Arial"/>
                <w:color w:val="000000"/>
                <w:sz w:val="20"/>
                <w:szCs w:val="22"/>
                <w:lang w:eastAsia="es-CO"/>
              </w:rPr>
              <w:t xml:space="preserve">            </w:t>
            </w:r>
            <w:r w:rsidRPr="00A74FF7">
              <w:rPr>
                <w:rFonts w:ascii="Arial Narrow" w:eastAsia="Times New Roman" w:hAnsi="Arial Narrow" w:cs="Arial"/>
                <w:color w:val="000000"/>
                <w:sz w:val="20"/>
                <w:szCs w:val="22"/>
                <w:lang w:eastAsia="es-CO"/>
              </w:rPr>
              <w:t xml:space="preserve">766.260 </w:t>
            </w:r>
          </w:p>
        </w:tc>
        <w:tc>
          <w:tcPr>
            <w:tcW w:w="566" w:type="pct"/>
            <w:tcBorders>
              <w:top w:val="nil"/>
              <w:left w:val="nil"/>
              <w:bottom w:val="single" w:sz="4" w:space="0" w:color="000000"/>
              <w:right w:val="single" w:sz="4" w:space="0" w:color="000000"/>
            </w:tcBorders>
            <w:shd w:val="clear" w:color="auto" w:fill="auto"/>
            <w:noWrap/>
            <w:vAlign w:val="center"/>
            <w:hideMark/>
          </w:tcPr>
          <w:p w14:paraId="147E1D2A" w14:textId="77777777" w:rsidR="00A74FF7" w:rsidRPr="00A74FF7" w:rsidRDefault="00A74FF7" w:rsidP="00A74FF7">
            <w:pPr>
              <w:rPr>
                <w:rFonts w:ascii="Arial Narrow" w:eastAsia="Times New Roman" w:hAnsi="Arial Narrow" w:cs="Arial"/>
                <w:color w:val="000000"/>
                <w:sz w:val="20"/>
                <w:szCs w:val="22"/>
                <w:lang w:eastAsia="es-CO"/>
              </w:rPr>
            </w:pPr>
            <w:r w:rsidRPr="00A74FF7">
              <w:rPr>
                <w:rFonts w:ascii="Arial Narrow" w:eastAsia="Times New Roman" w:hAnsi="Arial Narrow" w:cs="Arial"/>
                <w:color w:val="000000"/>
                <w:sz w:val="20"/>
                <w:szCs w:val="22"/>
                <w:lang w:eastAsia="es-CO"/>
              </w:rPr>
              <w:t xml:space="preserve">         221.740 </w:t>
            </w:r>
          </w:p>
        </w:tc>
      </w:tr>
      <w:tr w:rsidR="00A74FF7" w:rsidRPr="00A74FF7" w14:paraId="2FE492BA" w14:textId="77777777" w:rsidTr="00A74FF7">
        <w:trPr>
          <w:trHeight w:val="285"/>
        </w:trPr>
        <w:tc>
          <w:tcPr>
            <w:tcW w:w="996" w:type="pct"/>
            <w:tcBorders>
              <w:top w:val="single" w:sz="4" w:space="0" w:color="000000"/>
              <w:left w:val="single" w:sz="4" w:space="0" w:color="000000"/>
              <w:bottom w:val="single" w:sz="4" w:space="0" w:color="000000"/>
              <w:right w:val="single" w:sz="4" w:space="0" w:color="000000"/>
            </w:tcBorders>
            <w:shd w:val="clear" w:color="CCC0D9" w:fill="CCC0D9"/>
            <w:vAlign w:val="center"/>
            <w:hideMark/>
          </w:tcPr>
          <w:p w14:paraId="199E188C" w14:textId="77777777" w:rsidR="00A74FF7" w:rsidRPr="00A74FF7" w:rsidRDefault="00A74FF7" w:rsidP="00A74FF7">
            <w:pPr>
              <w:jc w:val="cente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Total</w:t>
            </w:r>
          </w:p>
        </w:tc>
        <w:tc>
          <w:tcPr>
            <w:tcW w:w="638" w:type="pct"/>
            <w:tcBorders>
              <w:top w:val="nil"/>
              <w:left w:val="nil"/>
              <w:bottom w:val="single" w:sz="4" w:space="0" w:color="000000"/>
              <w:right w:val="single" w:sz="4" w:space="0" w:color="000000"/>
            </w:tcBorders>
            <w:shd w:val="clear" w:color="CCC0D9" w:fill="CCC0D9"/>
            <w:vAlign w:val="center"/>
            <w:hideMark/>
          </w:tcPr>
          <w:p w14:paraId="61207399" w14:textId="7231A406" w:rsidR="00A74FF7" w:rsidRPr="00A74FF7" w:rsidRDefault="00A74FF7" w:rsidP="00A74FF7">
            <w:pPr>
              <w:rPr>
                <w:rFonts w:ascii="Arial Narrow" w:eastAsia="Times New Roman" w:hAnsi="Arial Narrow" w:cs="Arial"/>
                <w:b/>
                <w:bCs/>
                <w:color w:val="000000"/>
                <w:sz w:val="20"/>
                <w:szCs w:val="22"/>
                <w:lang w:eastAsia="es-CO"/>
              </w:rPr>
            </w:pPr>
            <w:r>
              <w:rPr>
                <w:rFonts w:ascii="Arial Narrow" w:eastAsia="Times New Roman" w:hAnsi="Arial Narrow" w:cs="Arial"/>
                <w:b/>
                <w:bCs/>
                <w:color w:val="000000"/>
                <w:sz w:val="20"/>
                <w:szCs w:val="22"/>
                <w:lang w:eastAsia="es-CO"/>
              </w:rPr>
              <w:t xml:space="preserve">       </w:t>
            </w:r>
            <w:r w:rsidRPr="00A74FF7">
              <w:rPr>
                <w:rFonts w:ascii="Arial Narrow" w:eastAsia="Times New Roman" w:hAnsi="Arial Narrow" w:cs="Arial"/>
                <w:b/>
                <w:bCs/>
                <w:color w:val="000000"/>
                <w:sz w:val="20"/>
                <w:szCs w:val="22"/>
                <w:lang w:eastAsia="es-CO"/>
              </w:rPr>
              <w:t xml:space="preserve">11.996.000 </w:t>
            </w:r>
          </w:p>
        </w:tc>
        <w:tc>
          <w:tcPr>
            <w:tcW w:w="431" w:type="pct"/>
            <w:tcBorders>
              <w:top w:val="nil"/>
              <w:left w:val="nil"/>
              <w:bottom w:val="single" w:sz="4" w:space="0" w:color="000000"/>
              <w:right w:val="single" w:sz="4" w:space="0" w:color="000000"/>
            </w:tcBorders>
            <w:shd w:val="clear" w:color="CCC0D9" w:fill="CCC0D9"/>
            <w:vAlign w:val="center"/>
            <w:hideMark/>
          </w:tcPr>
          <w:p w14:paraId="34FF8C06" w14:textId="1274C5AE" w:rsidR="00A74FF7" w:rsidRPr="00A74FF7" w:rsidRDefault="00A74FF7" w:rsidP="00A74FF7">
            <w:pPr>
              <w:rPr>
                <w:rFonts w:ascii="Arial Narrow" w:eastAsia="Times New Roman" w:hAnsi="Arial Narrow" w:cs="Arial"/>
                <w:b/>
                <w:bCs/>
                <w:color w:val="000000"/>
                <w:sz w:val="20"/>
                <w:szCs w:val="22"/>
                <w:lang w:eastAsia="es-CO"/>
              </w:rPr>
            </w:pPr>
            <w:r>
              <w:rPr>
                <w:rFonts w:ascii="Arial Narrow" w:eastAsia="Times New Roman" w:hAnsi="Arial Narrow" w:cs="Arial"/>
                <w:b/>
                <w:bCs/>
                <w:color w:val="000000"/>
                <w:sz w:val="20"/>
                <w:szCs w:val="22"/>
                <w:lang w:eastAsia="es-CO"/>
              </w:rPr>
              <w:t xml:space="preserve">   </w:t>
            </w:r>
            <w:r w:rsidRPr="00A74FF7">
              <w:rPr>
                <w:rFonts w:ascii="Arial Narrow" w:eastAsia="Times New Roman" w:hAnsi="Arial Narrow" w:cs="Arial"/>
                <w:b/>
                <w:bCs/>
                <w:color w:val="000000"/>
                <w:sz w:val="20"/>
                <w:szCs w:val="22"/>
                <w:lang w:eastAsia="es-CO"/>
              </w:rPr>
              <w:t xml:space="preserve">774.260 </w:t>
            </w:r>
          </w:p>
        </w:tc>
        <w:tc>
          <w:tcPr>
            <w:tcW w:w="431" w:type="pct"/>
            <w:tcBorders>
              <w:top w:val="nil"/>
              <w:left w:val="nil"/>
              <w:bottom w:val="single" w:sz="4" w:space="0" w:color="000000"/>
              <w:right w:val="single" w:sz="4" w:space="0" w:color="000000"/>
            </w:tcBorders>
            <w:shd w:val="clear" w:color="CCC0D9" w:fill="CCC0D9"/>
            <w:vAlign w:val="center"/>
            <w:hideMark/>
          </w:tcPr>
          <w:p w14:paraId="4AAB9B0B" w14:textId="2DB2DAA5" w:rsidR="00A74FF7" w:rsidRPr="00A74FF7" w:rsidRDefault="00A74FF7" w:rsidP="00A74FF7">
            <w:pPr>
              <w:rPr>
                <w:rFonts w:ascii="Arial Narrow" w:eastAsia="Times New Roman" w:hAnsi="Arial Narrow" w:cs="Arial"/>
                <w:b/>
                <w:bCs/>
                <w:color w:val="000000"/>
                <w:sz w:val="20"/>
                <w:szCs w:val="22"/>
                <w:lang w:eastAsia="es-CO"/>
              </w:rPr>
            </w:pPr>
            <w:r>
              <w:rPr>
                <w:rFonts w:ascii="Arial Narrow" w:eastAsia="Times New Roman" w:hAnsi="Arial Narrow" w:cs="Arial"/>
                <w:b/>
                <w:bCs/>
                <w:color w:val="000000"/>
                <w:sz w:val="20"/>
                <w:szCs w:val="22"/>
                <w:lang w:eastAsia="es-CO"/>
              </w:rPr>
              <w:t xml:space="preserve">   </w:t>
            </w:r>
            <w:r w:rsidRPr="00A74FF7">
              <w:rPr>
                <w:rFonts w:ascii="Arial Narrow" w:eastAsia="Times New Roman" w:hAnsi="Arial Narrow" w:cs="Arial"/>
                <w:b/>
                <w:bCs/>
                <w:color w:val="000000"/>
                <w:sz w:val="20"/>
                <w:szCs w:val="22"/>
                <w:lang w:eastAsia="es-CO"/>
              </w:rPr>
              <w:t xml:space="preserve">281.150 </w:t>
            </w:r>
          </w:p>
        </w:tc>
        <w:tc>
          <w:tcPr>
            <w:tcW w:w="431" w:type="pct"/>
            <w:tcBorders>
              <w:top w:val="nil"/>
              <w:left w:val="nil"/>
              <w:bottom w:val="single" w:sz="4" w:space="0" w:color="000000"/>
              <w:right w:val="single" w:sz="4" w:space="0" w:color="000000"/>
            </w:tcBorders>
            <w:shd w:val="clear" w:color="CCC0D9" w:fill="CCC0D9"/>
            <w:vAlign w:val="center"/>
            <w:hideMark/>
          </w:tcPr>
          <w:p w14:paraId="3467DF2C" w14:textId="3FCED60E" w:rsidR="00A74FF7" w:rsidRPr="00A74FF7" w:rsidRDefault="00A74FF7" w:rsidP="00A74FF7">
            <w:pPr>
              <w:rPr>
                <w:rFonts w:ascii="Arial Narrow" w:eastAsia="Times New Roman" w:hAnsi="Arial Narrow" w:cs="Arial"/>
                <w:b/>
                <w:bCs/>
                <w:color w:val="000000"/>
                <w:sz w:val="20"/>
                <w:szCs w:val="22"/>
                <w:lang w:eastAsia="es-CO"/>
              </w:rPr>
            </w:pPr>
            <w:r>
              <w:rPr>
                <w:rFonts w:ascii="Arial Narrow" w:eastAsia="Times New Roman" w:hAnsi="Arial Narrow" w:cs="Arial"/>
                <w:b/>
                <w:bCs/>
                <w:color w:val="000000"/>
                <w:sz w:val="20"/>
                <w:szCs w:val="22"/>
                <w:lang w:eastAsia="es-CO"/>
              </w:rPr>
              <w:t xml:space="preserve">   </w:t>
            </w:r>
            <w:r w:rsidRPr="00A74FF7">
              <w:rPr>
                <w:rFonts w:ascii="Arial Narrow" w:eastAsia="Times New Roman" w:hAnsi="Arial Narrow" w:cs="Arial"/>
                <w:b/>
                <w:bCs/>
                <w:color w:val="000000"/>
                <w:sz w:val="20"/>
                <w:szCs w:val="22"/>
                <w:lang w:eastAsia="es-CO"/>
              </w:rPr>
              <w:t xml:space="preserve">554.000 </w:t>
            </w:r>
          </w:p>
        </w:tc>
        <w:tc>
          <w:tcPr>
            <w:tcW w:w="431" w:type="pct"/>
            <w:tcBorders>
              <w:top w:val="nil"/>
              <w:left w:val="nil"/>
              <w:bottom w:val="single" w:sz="4" w:space="0" w:color="000000"/>
              <w:right w:val="single" w:sz="4" w:space="0" w:color="000000"/>
            </w:tcBorders>
            <w:shd w:val="clear" w:color="CCC0D9" w:fill="CCC0D9"/>
            <w:vAlign w:val="center"/>
            <w:hideMark/>
          </w:tcPr>
          <w:p w14:paraId="0FE95D39" w14:textId="2E424846" w:rsidR="00A74FF7" w:rsidRPr="00A74FF7" w:rsidRDefault="00A74FF7" w:rsidP="00A74FF7">
            <w:pPr>
              <w:rPr>
                <w:rFonts w:ascii="Arial Narrow" w:eastAsia="Times New Roman" w:hAnsi="Arial Narrow" w:cs="Arial"/>
                <w:b/>
                <w:bCs/>
                <w:color w:val="000000"/>
                <w:sz w:val="20"/>
                <w:szCs w:val="22"/>
                <w:lang w:eastAsia="es-CO"/>
              </w:rPr>
            </w:pPr>
            <w:r>
              <w:rPr>
                <w:rFonts w:ascii="Arial Narrow" w:eastAsia="Times New Roman" w:hAnsi="Arial Narrow" w:cs="Arial"/>
                <w:b/>
                <w:bCs/>
                <w:color w:val="000000"/>
                <w:sz w:val="20"/>
                <w:szCs w:val="22"/>
                <w:lang w:eastAsia="es-CO"/>
              </w:rPr>
              <w:t xml:space="preserve">     </w:t>
            </w:r>
            <w:r w:rsidRPr="00A74FF7">
              <w:rPr>
                <w:rFonts w:ascii="Arial Narrow" w:eastAsia="Times New Roman" w:hAnsi="Arial Narrow" w:cs="Arial"/>
                <w:b/>
                <w:bCs/>
                <w:color w:val="000000"/>
                <w:sz w:val="20"/>
                <w:szCs w:val="22"/>
                <w:lang w:eastAsia="es-CO"/>
              </w:rPr>
              <w:t xml:space="preserve">81.000 </w:t>
            </w:r>
          </w:p>
        </w:tc>
        <w:tc>
          <w:tcPr>
            <w:tcW w:w="431" w:type="pct"/>
            <w:tcBorders>
              <w:top w:val="nil"/>
              <w:left w:val="nil"/>
              <w:bottom w:val="single" w:sz="4" w:space="0" w:color="000000"/>
              <w:right w:val="single" w:sz="4" w:space="0" w:color="000000"/>
            </w:tcBorders>
            <w:shd w:val="clear" w:color="CCC0D9" w:fill="CCC0D9"/>
            <w:vAlign w:val="center"/>
            <w:hideMark/>
          </w:tcPr>
          <w:p w14:paraId="06AA1D11" w14:textId="0C9B85FF" w:rsidR="00A74FF7" w:rsidRPr="00A74FF7" w:rsidRDefault="00A74FF7" w:rsidP="00A74FF7">
            <w:pPr>
              <w:rPr>
                <w:rFonts w:ascii="Arial Narrow" w:eastAsia="Times New Roman" w:hAnsi="Arial Narrow" w:cs="Arial"/>
                <w:b/>
                <w:bCs/>
                <w:color w:val="000000"/>
                <w:sz w:val="20"/>
                <w:szCs w:val="22"/>
                <w:lang w:eastAsia="es-CO"/>
              </w:rPr>
            </w:pPr>
            <w:r>
              <w:rPr>
                <w:rFonts w:ascii="Arial Narrow" w:eastAsia="Times New Roman" w:hAnsi="Arial Narrow" w:cs="Arial"/>
                <w:b/>
                <w:bCs/>
                <w:color w:val="000000"/>
                <w:sz w:val="20"/>
                <w:szCs w:val="22"/>
                <w:lang w:eastAsia="es-CO"/>
              </w:rPr>
              <w:t xml:space="preserve">   </w:t>
            </w:r>
            <w:r w:rsidRPr="00A74FF7">
              <w:rPr>
                <w:rFonts w:ascii="Arial Narrow" w:eastAsia="Times New Roman" w:hAnsi="Arial Narrow" w:cs="Arial"/>
                <w:b/>
                <w:bCs/>
                <w:color w:val="000000"/>
                <w:sz w:val="20"/>
                <w:szCs w:val="22"/>
                <w:lang w:eastAsia="es-CO"/>
              </w:rPr>
              <w:t xml:space="preserve">205.000 </w:t>
            </w:r>
          </w:p>
        </w:tc>
        <w:tc>
          <w:tcPr>
            <w:tcW w:w="647" w:type="pct"/>
            <w:tcBorders>
              <w:top w:val="nil"/>
              <w:left w:val="nil"/>
              <w:bottom w:val="single" w:sz="4" w:space="0" w:color="000000"/>
              <w:right w:val="single" w:sz="4" w:space="0" w:color="000000"/>
            </w:tcBorders>
            <w:shd w:val="clear" w:color="CCC0D9" w:fill="CCC0D9"/>
            <w:vAlign w:val="center"/>
            <w:hideMark/>
          </w:tcPr>
          <w:p w14:paraId="4729C1FC" w14:textId="78F39E67" w:rsidR="00A74FF7" w:rsidRPr="00A74FF7" w:rsidRDefault="00A74FF7" w:rsidP="00A74FF7">
            <w:pPr>
              <w:rPr>
                <w:rFonts w:ascii="Arial Narrow" w:eastAsia="Times New Roman" w:hAnsi="Arial Narrow" w:cs="Arial"/>
                <w:b/>
                <w:bCs/>
                <w:color w:val="000000"/>
                <w:sz w:val="20"/>
                <w:szCs w:val="22"/>
                <w:lang w:eastAsia="es-CO"/>
              </w:rPr>
            </w:pPr>
            <w:r>
              <w:rPr>
                <w:rFonts w:ascii="Arial Narrow" w:eastAsia="Times New Roman" w:hAnsi="Arial Narrow" w:cs="Arial"/>
                <w:b/>
                <w:bCs/>
                <w:color w:val="000000"/>
                <w:sz w:val="20"/>
                <w:szCs w:val="22"/>
                <w:lang w:eastAsia="es-CO"/>
              </w:rPr>
              <w:t xml:space="preserve">         1</w:t>
            </w:r>
            <w:r w:rsidRPr="00A74FF7">
              <w:rPr>
                <w:rFonts w:ascii="Arial Narrow" w:eastAsia="Times New Roman" w:hAnsi="Arial Narrow" w:cs="Arial"/>
                <w:b/>
                <w:bCs/>
                <w:color w:val="000000"/>
                <w:sz w:val="20"/>
                <w:szCs w:val="22"/>
                <w:lang w:eastAsia="es-CO"/>
              </w:rPr>
              <w:t xml:space="preserve">.895.410 </w:t>
            </w:r>
          </w:p>
        </w:tc>
        <w:tc>
          <w:tcPr>
            <w:tcW w:w="566" w:type="pct"/>
            <w:tcBorders>
              <w:top w:val="nil"/>
              <w:left w:val="nil"/>
              <w:bottom w:val="single" w:sz="4" w:space="0" w:color="000000"/>
              <w:right w:val="single" w:sz="4" w:space="0" w:color="000000"/>
            </w:tcBorders>
            <w:shd w:val="clear" w:color="CCC0D9" w:fill="CCC0D9"/>
            <w:vAlign w:val="center"/>
            <w:hideMark/>
          </w:tcPr>
          <w:p w14:paraId="2803ABDA" w14:textId="77777777" w:rsidR="00A74FF7" w:rsidRPr="00A74FF7" w:rsidRDefault="00A74FF7" w:rsidP="00A74FF7">
            <w:pPr>
              <w:rPr>
                <w:rFonts w:ascii="Arial Narrow" w:eastAsia="Times New Roman" w:hAnsi="Arial Narrow" w:cs="Arial"/>
                <w:b/>
                <w:bCs/>
                <w:color w:val="000000"/>
                <w:sz w:val="20"/>
                <w:szCs w:val="22"/>
                <w:lang w:eastAsia="es-CO"/>
              </w:rPr>
            </w:pPr>
            <w:r w:rsidRPr="00A74FF7">
              <w:rPr>
                <w:rFonts w:ascii="Arial Narrow" w:eastAsia="Times New Roman" w:hAnsi="Arial Narrow" w:cs="Arial"/>
                <w:b/>
                <w:bCs/>
                <w:color w:val="000000"/>
                <w:sz w:val="20"/>
                <w:szCs w:val="22"/>
                <w:lang w:eastAsia="es-CO"/>
              </w:rPr>
              <w:t xml:space="preserve">   10.100.590 </w:t>
            </w:r>
          </w:p>
        </w:tc>
      </w:tr>
    </w:tbl>
    <w:p w14:paraId="36951ED4" w14:textId="77777777" w:rsidR="00D93DDE" w:rsidRDefault="00D93DDE" w:rsidP="000F1FA3">
      <w:pPr>
        <w:jc w:val="both"/>
        <w:rPr>
          <w:rFonts w:cs="Arial"/>
          <w:color w:val="000000"/>
        </w:rPr>
      </w:pPr>
    </w:p>
    <w:p w14:paraId="6240DD86" w14:textId="77777777" w:rsidR="000F1FA3" w:rsidRDefault="000F1FA3" w:rsidP="000F1FA3">
      <w:pPr>
        <w:jc w:val="both"/>
        <w:rPr>
          <w:rFonts w:cs="Arial"/>
          <w:color w:val="000000"/>
        </w:rPr>
      </w:pPr>
      <w:r w:rsidRPr="00F67C43">
        <w:rPr>
          <w:rFonts w:cs="Arial"/>
          <w:color w:val="000000"/>
        </w:rPr>
        <w:t>En relación con los gastos de caja menor, se presenta a continuación el detalle de los pagos realizados</w:t>
      </w:r>
      <w:r>
        <w:rPr>
          <w:rFonts w:cs="Arial"/>
          <w:color w:val="000000"/>
        </w:rPr>
        <w:t xml:space="preserve"> durante el periodo:</w:t>
      </w:r>
    </w:p>
    <w:p w14:paraId="6D7F4D9F" w14:textId="77777777" w:rsidR="000F1FA3" w:rsidRDefault="000F1FA3" w:rsidP="000F1FA3">
      <w:pPr>
        <w:jc w:val="both"/>
        <w:rPr>
          <w:rFonts w:cs="Arial"/>
          <w:color w:val="000000"/>
        </w:rPr>
      </w:pPr>
    </w:p>
    <w:tbl>
      <w:tblPr>
        <w:tblW w:w="9520" w:type="dxa"/>
        <w:tblCellMar>
          <w:left w:w="70" w:type="dxa"/>
          <w:right w:w="70" w:type="dxa"/>
        </w:tblCellMar>
        <w:tblLook w:val="04A0" w:firstRow="1" w:lastRow="0" w:firstColumn="1" w:lastColumn="0" w:noHBand="0" w:noVBand="1"/>
      </w:tblPr>
      <w:tblGrid>
        <w:gridCol w:w="1207"/>
        <w:gridCol w:w="961"/>
        <w:gridCol w:w="804"/>
        <w:gridCol w:w="3544"/>
        <w:gridCol w:w="3004"/>
      </w:tblGrid>
      <w:tr w:rsidR="000F1FA3" w:rsidRPr="002808A3" w14:paraId="69FEC951" w14:textId="77777777" w:rsidTr="00FB7F11">
        <w:trPr>
          <w:trHeight w:val="368"/>
          <w:tblHeader/>
        </w:trPr>
        <w:tc>
          <w:tcPr>
            <w:tcW w:w="1207" w:type="dxa"/>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47D1B4D6" w14:textId="77777777" w:rsidR="000F1FA3" w:rsidRPr="002808A3" w:rsidRDefault="000F1FA3" w:rsidP="00FB7F11">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t>Comprobante</w:t>
            </w:r>
          </w:p>
        </w:tc>
        <w:tc>
          <w:tcPr>
            <w:tcW w:w="961" w:type="dxa"/>
            <w:tcBorders>
              <w:top w:val="single" w:sz="4" w:space="0" w:color="000000"/>
              <w:left w:val="nil"/>
              <w:bottom w:val="single" w:sz="4" w:space="0" w:color="000000"/>
              <w:right w:val="single" w:sz="4" w:space="0" w:color="000000"/>
            </w:tcBorders>
            <w:shd w:val="clear" w:color="F2F2F2" w:fill="F2F2F2"/>
            <w:vAlign w:val="center"/>
            <w:hideMark/>
          </w:tcPr>
          <w:p w14:paraId="53135B1F" w14:textId="77777777" w:rsidR="000F1FA3" w:rsidRPr="002808A3" w:rsidRDefault="000F1FA3" w:rsidP="00FB7F11">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t>Fecha</w:t>
            </w:r>
          </w:p>
        </w:tc>
        <w:tc>
          <w:tcPr>
            <w:tcW w:w="804" w:type="dxa"/>
            <w:tcBorders>
              <w:top w:val="single" w:sz="4" w:space="0" w:color="000000"/>
              <w:left w:val="nil"/>
              <w:bottom w:val="single" w:sz="4" w:space="0" w:color="000000"/>
              <w:right w:val="single" w:sz="4" w:space="0" w:color="000000"/>
            </w:tcBorders>
            <w:shd w:val="clear" w:color="F2F2F2" w:fill="F2F2F2"/>
            <w:vAlign w:val="center"/>
            <w:hideMark/>
          </w:tcPr>
          <w:p w14:paraId="289B84E3" w14:textId="77777777" w:rsidR="000F1FA3" w:rsidRPr="002808A3" w:rsidRDefault="000F1FA3" w:rsidP="00FB7F11">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t>Valor</w:t>
            </w:r>
          </w:p>
        </w:tc>
        <w:tc>
          <w:tcPr>
            <w:tcW w:w="3544" w:type="dxa"/>
            <w:tcBorders>
              <w:top w:val="single" w:sz="4" w:space="0" w:color="000000"/>
              <w:left w:val="nil"/>
              <w:bottom w:val="single" w:sz="4" w:space="0" w:color="000000"/>
              <w:right w:val="single" w:sz="4" w:space="0" w:color="000000"/>
            </w:tcBorders>
            <w:shd w:val="clear" w:color="F2F2F2" w:fill="F2F2F2"/>
            <w:vAlign w:val="center"/>
            <w:hideMark/>
          </w:tcPr>
          <w:p w14:paraId="7145BD06" w14:textId="77777777" w:rsidR="000F1FA3" w:rsidRPr="002808A3" w:rsidRDefault="000F1FA3" w:rsidP="00FB7F11">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t>Concepto</w:t>
            </w:r>
          </w:p>
        </w:tc>
        <w:tc>
          <w:tcPr>
            <w:tcW w:w="3004" w:type="dxa"/>
            <w:tcBorders>
              <w:top w:val="single" w:sz="4" w:space="0" w:color="000000"/>
              <w:left w:val="nil"/>
              <w:bottom w:val="single" w:sz="4" w:space="0" w:color="000000"/>
              <w:right w:val="single" w:sz="4" w:space="0" w:color="000000"/>
            </w:tcBorders>
            <w:shd w:val="clear" w:color="F2F2F2" w:fill="F2F2F2"/>
            <w:vAlign w:val="center"/>
            <w:hideMark/>
          </w:tcPr>
          <w:p w14:paraId="1B7170BD" w14:textId="77777777" w:rsidR="000F1FA3" w:rsidRPr="002808A3" w:rsidRDefault="000F1FA3" w:rsidP="00FB7F11">
            <w:pPr>
              <w:jc w:val="center"/>
              <w:rPr>
                <w:rFonts w:ascii="Arial Narrow" w:eastAsia="Times New Roman" w:hAnsi="Arial Narrow" w:cs="Arial"/>
                <w:b/>
                <w:bCs/>
                <w:color w:val="000000"/>
                <w:sz w:val="20"/>
                <w:szCs w:val="20"/>
                <w:lang w:val="es-MX" w:eastAsia="es-MX"/>
              </w:rPr>
            </w:pPr>
            <w:r w:rsidRPr="002808A3">
              <w:rPr>
                <w:rFonts w:ascii="Arial Narrow" w:eastAsia="Times New Roman" w:hAnsi="Arial Narrow" w:cs="Arial"/>
                <w:b/>
                <w:bCs/>
                <w:color w:val="000000"/>
                <w:sz w:val="20"/>
                <w:szCs w:val="20"/>
                <w:lang w:val="es-MX" w:eastAsia="es-MX"/>
              </w:rPr>
              <w:t>Observación Control Interno</w:t>
            </w:r>
          </w:p>
        </w:tc>
      </w:tr>
      <w:tr w:rsidR="000F1FA3" w:rsidRPr="002808A3" w14:paraId="7782C403" w14:textId="77777777" w:rsidTr="00FB7F11">
        <w:trPr>
          <w:trHeight w:val="1275"/>
        </w:trPr>
        <w:tc>
          <w:tcPr>
            <w:tcW w:w="1207" w:type="dxa"/>
            <w:tcBorders>
              <w:top w:val="nil"/>
              <w:left w:val="single" w:sz="4" w:space="0" w:color="000000"/>
              <w:bottom w:val="single" w:sz="4" w:space="0" w:color="000000"/>
              <w:right w:val="single" w:sz="4" w:space="0" w:color="000000"/>
            </w:tcBorders>
            <w:shd w:val="clear" w:color="auto" w:fill="auto"/>
            <w:vAlign w:val="center"/>
          </w:tcPr>
          <w:p w14:paraId="5A6A690D" w14:textId="77777777" w:rsidR="000F1FA3" w:rsidRPr="002808A3" w:rsidRDefault="000F1FA3" w:rsidP="00FB7F11">
            <w:pPr>
              <w:jc w:val="cente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11</w:t>
            </w:r>
          </w:p>
        </w:tc>
        <w:tc>
          <w:tcPr>
            <w:tcW w:w="961" w:type="dxa"/>
            <w:tcBorders>
              <w:top w:val="nil"/>
              <w:left w:val="nil"/>
              <w:bottom w:val="single" w:sz="4" w:space="0" w:color="000000"/>
              <w:right w:val="single" w:sz="4" w:space="0" w:color="000000"/>
            </w:tcBorders>
            <w:shd w:val="clear" w:color="auto" w:fill="auto"/>
            <w:vAlign w:val="center"/>
          </w:tcPr>
          <w:p w14:paraId="3F4D0F29" w14:textId="77777777" w:rsidR="000F1FA3" w:rsidRPr="002808A3" w:rsidRDefault="000F1FA3" w:rsidP="00FB7F11">
            <w:pPr>
              <w:jc w:val="cente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19/10/2021</w:t>
            </w:r>
          </w:p>
        </w:tc>
        <w:tc>
          <w:tcPr>
            <w:tcW w:w="804" w:type="dxa"/>
            <w:tcBorders>
              <w:top w:val="nil"/>
              <w:left w:val="nil"/>
              <w:bottom w:val="single" w:sz="4" w:space="0" w:color="000000"/>
              <w:right w:val="single" w:sz="4" w:space="0" w:color="000000"/>
            </w:tcBorders>
            <w:shd w:val="clear" w:color="auto" w:fill="auto"/>
            <w:vAlign w:val="center"/>
          </w:tcPr>
          <w:p w14:paraId="0A4B5FE7" w14:textId="77777777" w:rsidR="000F1FA3" w:rsidRPr="002808A3" w:rsidRDefault="000F1FA3" w:rsidP="00FB7F11">
            <w:pPr>
              <w:jc w:val="cente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205.000</w:t>
            </w:r>
          </w:p>
        </w:tc>
        <w:tc>
          <w:tcPr>
            <w:tcW w:w="3544" w:type="dxa"/>
            <w:tcBorders>
              <w:top w:val="nil"/>
              <w:left w:val="nil"/>
              <w:bottom w:val="single" w:sz="4" w:space="0" w:color="000000"/>
              <w:right w:val="single" w:sz="4" w:space="0" w:color="000000"/>
            </w:tcBorders>
            <w:shd w:val="clear" w:color="auto" w:fill="auto"/>
            <w:vAlign w:val="center"/>
          </w:tcPr>
          <w:p w14:paraId="08AAE9C1" w14:textId="40ECBAA7" w:rsidR="000F1FA3" w:rsidRPr="002808A3" w:rsidRDefault="000F1FA3" w:rsidP="00FB7F11">
            <w:pP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Repu</w:t>
            </w:r>
            <w:r w:rsidR="00A74FF7">
              <w:rPr>
                <w:rFonts w:ascii="Arial Narrow" w:hAnsi="Arial Narrow" w:cs="Arial"/>
                <w:color w:val="000000"/>
                <w:sz w:val="20"/>
                <w:szCs w:val="20"/>
              </w:rPr>
              <w:t>estos de caucho para hidrolava</w:t>
            </w:r>
            <w:r>
              <w:rPr>
                <w:rFonts w:ascii="Arial Narrow" w:hAnsi="Arial Narrow" w:cs="Arial"/>
                <w:color w:val="000000"/>
                <w:sz w:val="20"/>
                <w:szCs w:val="20"/>
              </w:rPr>
              <w:t>doras. Reponer repuestos dañados de maquinaria para continuar con las actividades de mantenimiento de bienes muebles ubicados en espacio público.</w:t>
            </w:r>
          </w:p>
        </w:tc>
        <w:tc>
          <w:tcPr>
            <w:tcW w:w="3004" w:type="dxa"/>
            <w:tcBorders>
              <w:top w:val="nil"/>
              <w:left w:val="nil"/>
              <w:bottom w:val="single" w:sz="4" w:space="0" w:color="000000"/>
              <w:right w:val="single" w:sz="4" w:space="0" w:color="000000"/>
            </w:tcBorders>
            <w:shd w:val="clear" w:color="auto" w:fill="auto"/>
            <w:vAlign w:val="center"/>
          </w:tcPr>
          <w:p w14:paraId="1FD63382" w14:textId="77777777" w:rsidR="000F1FA3" w:rsidRPr="002808A3" w:rsidRDefault="000F1FA3" w:rsidP="00FB7F11">
            <w:pP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Se presenta factura, RUT, soporte de legalización de anticipo y comprobante definitivo de caja menor con fecha del 19 de octubre de 2021.</w:t>
            </w:r>
          </w:p>
        </w:tc>
      </w:tr>
      <w:tr w:rsidR="000F1FA3" w:rsidRPr="002808A3" w14:paraId="40258BE6" w14:textId="77777777" w:rsidTr="00FB7F11">
        <w:trPr>
          <w:trHeight w:val="1176"/>
        </w:trPr>
        <w:tc>
          <w:tcPr>
            <w:tcW w:w="1207" w:type="dxa"/>
            <w:tcBorders>
              <w:top w:val="nil"/>
              <w:left w:val="single" w:sz="4" w:space="0" w:color="000000"/>
              <w:bottom w:val="single" w:sz="4" w:space="0" w:color="000000"/>
              <w:right w:val="single" w:sz="4" w:space="0" w:color="000000"/>
            </w:tcBorders>
            <w:shd w:val="clear" w:color="auto" w:fill="auto"/>
            <w:vAlign w:val="center"/>
          </w:tcPr>
          <w:p w14:paraId="6EA6935C" w14:textId="77777777" w:rsidR="000F1FA3" w:rsidRPr="002808A3" w:rsidRDefault="000F1FA3" w:rsidP="00FB7F11">
            <w:pPr>
              <w:jc w:val="cente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12</w:t>
            </w:r>
          </w:p>
        </w:tc>
        <w:tc>
          <w:tcPr>
            <w:tcW w:w="961" w:type="dxa"/>
            <w:tcBorders>
              <w:top w:val="nil"/>
              <w:left w:val="nil"/>
              <w:bottom w:val="single" w:sz="4" w:space="0" w:color="000000"/>
              <w:right w:val="single" w:sz="4" w:space="0" w:color="000000"/>
            </w:tcBorders>
            <w:shd w:val="clear" w:color="auto" w:fill="auto"/>
            <w:vAlign w:val="center"/>
          </w:tcPr>
          <w:p w14:paraId="07701C66" w14:textId="77777777" w:rsidR="000F1FA3" w:rsidRPr="002808A3" w:rsidRDefault="000F1FA3" w:rsidP="00FB7F11">
            <w:pPr>
              <w:jc w:val="cente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5/11/2021</w:t>
            </w:r>
          </w:p>
        </w:tc>
        <w:tc>
          <w:tcPr>
            <w:tcW w:w="804" w:type="dxa"/>
            <w:tcBorders>
              <w:top w:val="nil"/>
              <w:left w:val="nil"/>
              <w:bottom w:val="single" w:sz="4" w:space="0" w:color="000000"/>
              <w:right w:val="single" w:sz="4" w:space="0" w:color="000000"/>
            </w:tcBorders>
            <w:shd w:val="clear" w:color="auto" w:fill="auto"/>
            <w:vAlign w:val="center"/>
          </w:tcPr>
          <w:p w14:paraId="72FE1EC9" w14:textId="77777777" w:rsidR="000F1FA3" w:rsidRPr="002808A3" w:rsidRDefault="000F1FA3" w:rsidP="00FB7F11">
            <w:pPr>
              <w:jc w:val="cente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88.000</w:t>
            </w:r>
          </w:p>
        </w:tc>
        <w:tc>
          <w:tcPr>
            <w:tcW w:w="3544" w:type="dxa"/>
            <w:tcBorders>
              <w:top w:val="nil"/>
              <w:left w:val="nil"/>
              <w:bottom w:val="single" w:sz="4" w:space="0" w:color="000000"/>
              <w:right w:val="single" w:sz="4" w:space="0" w:color="000000"/>
            </w:tcBorders>
            <w:shd w:val="clear" w:color="auto" w:fill="auto"/>
            <w:vAlign w:val="center"/>
          </w:tcPr>
          <w:p w14:paraId="19F00BE5" w14:textId="77777777" w:rsidR="000F1FA3" w:rsidRPr="002808A3" w:rsidRDefault="000F1FA3" w:rsidP="00FB7F11">
            <w:pP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Vidrio y empaque para atención prioritaria en oficina. Se requiere cambio de vidrio de techo en oficina, que presenta rotura y riesgo de caída, con posible afectación a personas.</w:t>
            </w:r>
          </w:p>
        </w:tc>
        <w:tc>
          <w:tcPr>
            <w:tcW w:w="3004" w:type="dxa"/>
            <w:tcBorders>
              <w:top w:val="nil"/>
              <w:left w:val="nil"/>
              <w:bottom w:val="single" w:sz="4" w:space="0" w:color="000000"/>
              <w:right w:val="single" w:sz="4" w:space="0" w:color="000000"/>
            </w:tcBorders>
            <w:shd w:val="clear" w:color="auto" w:fill="auto"/>
            <w:vAlign w:val="center"/>
          </w:tcPr>
          <w:p w14:paraId="290501DF" w14:textId="4D92E034" w:rsidR="000F1FA3" w:rsidRPr="002808A3" w:rsidRDefault="000F1FA3" w:rsidP="00FB7F11">
            <w:pPr>
              <w:rPr>
                <w:rFonts w:ascii="Arial Narrow" w:eastAsia="Times New Roman" w:hAnsi="Arial Narrow" w:cs="Arial"/>
                <w:color w:val="000000"/>
                <w:sz w:val="20"/>
                <w:szCs w:val="20"/>
                <w:lang w:val="es-MX" w:eastAsia="es-MX"/>
              </w:rPr>
            </w:pPr>
            <w:r>
              <w:rPr>
                <w:rFonts w:ascii="Arial Narrow" w:hAnsi="Arial Narrow" w:cs="Arial"/>
                <w:color w:val="000000"/>
                <w:sz w:val="20"/>
                <w:szCs w:val="20"/>
              </w:rPr>
              <w:t xml:space="preserve">Se presenta cuenta de cobro, RUT, soporte de legalización de anticipo y comprobante definitivo de caja menor con fecha </w:t>
            </w:r>
            <w:r w:rsidR="00A74FF7">
              <w:rPr>
                <w:rFonts w:ascii="Arial Narrow" w:hAnsi="Arial Narrow" w:cs="Arial"/>
                <w:color w:val="000000"/>
                <w:sz w:val="20"/>
                <w:szCs w:val="20"/>
              </w:rPr>
              <w:t>del</w:t>
            </w:r>
            <w:r w:rsidR="00A74FF7" w:rsidRPr="00A74FF7">
              <w:rPr>
                <w:rFonts w:ascii="Arial Narrow" w:hAnsi="Arial Narrow" w:cs="Arial"/>
                <w:color w:val="000000"/>
                <w:sz w:val="20"/>
                <w:szCs w:val="20"/>
              </w:rPr>
              <w:t xml:space="preserve"> 05 de noviembre de 2021.</w:t>
            </w:r>
          </w:p>
        </w:tc>
      </w:tr>
    </w:tbl>
    <w:p w14:paraId="7B74BFC2" w14:textId="77777777" w:rsidR="000F1FA3" w:rsidRPr="002808A3" w:rsidRDefault="000F1FA3" w:rsidP="000F1FA3">
      <w:pPr>
        <w:jc w:val="both"/>
        <w:rPr>
          <w:rFonts w:cs="Arial"/>
          <w:lang w:val="es-MX"/>
        </w:rPr>
      </w:pPr>
    </w:p>
    <w:p w14:paraId="48ED6113" w14:textId="643AE3DA" w:rsidR="000F1FA3" w:rsidRDefault="000F1FA3" w:rsidP="000F1FA3">
      <w:pPr>
        <w:jc w:val="both"/>
        <w:rPr>
          <w:rFonts w:cs="Arial"/>
        </w:rPr>
      </w:pPr>
      <w:r w:rsidRPr="00F67C43">
        <w:rPr>
          <w:rFonts w:cs="Arial"/>
        </w:rPr>
        <w:t xml:space="preserve">Se evidencian los comprobantes de caja menor del </w:t>
      </w:r>
      <w:r>
        <w:rPr>
          <w:rFonts w:cs="Arial"/>
        </w:rPr>
        <w:t xml:space="preserve">número </w:t>
      </w:r>
      <w:r w:rsidR="00A74FF7">
        <w:rPr>
          <w:rFonts w:cs="Arial"/>
        </w:rPr>
        <w:t>11 al 12</w:t>
      </w:r>
      <w:r w:rsidRPr="00F67C43">
        <w:rPr>
          <w:rFonts w:cs="Arial"/>
        </w:rPr>
        <w:t xml:space="preserve">, los cuales cumplen con las características de imprevistos, urgentes, imprescindibles e inaplazables. Sin embargo, algunos de </w:t>
      </w:r>
      <w:r w:rsidR="00497292">
        <w:rPr>
          <w:rFonts w:cs="Arial"/>
        </w:rPr>
        <w:t>estos</w:t>
      </w:r>
      <w:r w:rsidRPr="00F67C43">
        <w:rPr>
          <w:rFonts w:cs="Arial"/>
        </w:rPr>
        <w:t xml:space="preserve"> ítems pueden ser objeto de inclusión dentro del contrato de mantenimiento de instalaciones físicas </w:t>
      </w:r>
      <w:r w:rsidR="00497292">
        <w:rPr>
          <w:rFonts w:cs="Arial"/>
        </w:rPr>
        <w:t xml:space="preserve">o ferretería </w:t>
      </w:r>
      <w:r w:rsidRPr="00F67C43">
        <w:rPr>
          <w:rFonts w:cs="Arial"/>
        </w:rPr>
        <w:t>para la próxima vigencia.</w:t>
      </w:r>
    </w:p>
    <w:p w14:paraId="279F4D93" w14:textId="77777777" w:rsidR="00A74FF7" w:rsidRDefault="00A74FF7" w:rsidP="000F1FA3">
      <w:pPr>
        <w:jc w:val="both"/>
        <w:rPr>
          <w:rFonts w:cs="Arial"/>
        </w:rPr>
      </w:pPr>
    </w:p>
    <w:p w14:paraId="256FBDB2" w14:textId="0B43A85E" w:rsidR="00A74FF7" w:rsidRDefault="00A74FF7" w:rsidP="000F1FA3">
      <w:pPr>
        <w:jc w:val="both"/>
        <w:rPr>
          <w:rFonts w:cs="Arial"/>
        </w:rPr>
      </w:pPr>
      <w:r>
        <w:rPr>
          <w:rFonts w:cs="Arial"/>
        </w:rPr>
        <w:t>De igual manera, se evidencia que el comprobante 12 no fu</w:t>
      </w:r>
      <w:r w:rsidR="00006CD5">
        <w:rPr>
          <w:rFonts w:cs="Arial"/>
        </w:rPr>
        <w:t>e reconoc</w:t>
      </w:r>
      <w:r>
        <w:rPr>
          <w:rFonts w:cs="Arial"/>
        </w:rPr>
        <w:t>ido en los reembolsos de caja menor</w:t>
      </w:r>
      <w:r w:rsidR="00006CD5">
        <w:rPr>
          <w:rFonts w:cs="Arial"/>
        </w:rPr>
        <w:t>, lo cual no fue incluido en el acta de cierre.</w:t>
      </w:r>
    </w:p>
    <w:p w14:paraId="77ECB22B" w14:textId="77777777" w:rsidR="007C5C16" w:rsidRDefault="007C5C16" w:rsidP="00B21E96">
      <w:pPr>
        <w:jc w:val="both"/>
        <w:rPr>
          <w:rFonts w:cs="Arial"/>
        </w:rPr>
      </w:pPr>
    </w:p>
    <w:p w14:paraId="54F41969" w14:textId="77777777" w:rsidR="00F91BD0" w:rsidRPr="006209C5" w:rsidRDefault="00F91BD0" w:rsidP="006209C5">
      <w:pPr>
        <w:ind w:left="-6"/>
        <w:jc w:val="both"/>
        <w:rPr>
          <w:rFonts w:cs="Arial"/>
        </w:rPr>
      </w:pPr>
    </w:p>
    <w:p w14:paraId="197F7B82" w14:textId="1342B84B" w:rsidR="00347C21" w:rsidRDefault="00347C21" w:rsidP="00AA2B29">
      <w:pPr>
        <w:pStyle w:val="Prrafodelista"/>
        <w:numPr>
          <w:ilvl w:val="2"/>
          <w:numId w:val="5"/>
        </w:numPr>
        <w:jc w:val="both"/>
        <w:rPr>
          <w:rFonts w:cs="Arial"/>
          <w:b/>
        </w:rPr>
      </w:pPr>
      <w:r w:rsidRPr="00347C21">
        <w:rPr>
          <w:rFonts w:cs="Arial"/>
          <w:b/>
        </w:rPr>
        <w:t>Artículo 21</w:t>
      </w:r>
      <w:r>
        <w:rPr>
          <w:rFonts w:cs="Arial"/>
          <w:b/>
        </w:rPr>
        <w:t>.</w:t>
      </w:r>
      <w:r w:rsidRPr="00347C21">
        <w:rPr>
          <w:rFonts w:cs="Arial"/>
          <w:b/>
        </w:rPr>
        <w:t xml:space="preserve"> Suministro del servicio de Internet</w:t>
      </w:r>
    </w:p>
    <w:p w14:paraId="5C10A2A2" w14:textId="77777777" w:rsidR="006209C5" w:rsidRDefault="006209C5" w:rsidP="006209C5">
      <w:pPr>
        <w:ind w:left="-6"/>
        <w:jc w:val="both"/>
        <w:rPr>
          <w:rFonts w:cs="Arial"/>
        </w:rPr>
      </w:pPr>
    </w:p>
    <w:p w14:paraId="6A31F232" w14:textId="0E1052B6" w:rsidR="00DC733D" w:rsidRDefault="00DC733D" w:rsidP="006209C5">
      <w:pPr>
        <w:ind w:left="-6"/>
        <w:jc w:val="both"/>
        <w:rPr>
          <w:rFonts w:cs="Arial"/>
        </w:rPr>
      </w:pPr>
      <w:r w:rsidRPr="00715A7F">
        <w:rPr>
          <w:rFonts w:cs="Arial"/>
        </w:rPr>
        <w:t>De acuerdo con lo informado por la Subdirección de Gestión Corporativa, el Instituto Distrital de Patrimonio Cultural cuenta con un firewall de seguridad perimetral FORTINET el cual permite realizar la restricción de acceso a redes sociales, páginas de streaming, páginas de descargas de contenido, páginas de pornografía, entre otras, todos estos bloqueos y restricciones se realizan en la configuración del Firewall.</w:t>
      </w:r>
    </w:p>
    <w:p w14:paraId="2341D3B4" w14:textId="77777777" w:rsidR="00DC733D" w:rsidRDefault="00DC733D" w:rsidP="006209C5">
      <w:pPr>
        <w:ind w:left="-6"/>
        <w:jc w:val="both"/>
        <w:rPr>
          <w:rFonts w:cs="Arial"/>
        </w:rPr>
      </w:pPr>
    </w:p>
    <w:p w14:paraId="193DD122" w14:textId="77777777" w:rsidR="006209C5" w:rsidRPr="006209C5" w:rsidRDefault="006209C5" w:rsidP="006209C5">
      <w:pPr>
        <w:ind w:left="-6"/>
        <w:jc w:val="both"/>
        <w:rPr>
          <w:rFonts w:cs="Arial"/>
        </w:rPr>
      </w:pPr>
    </w:p>
    <w:p w14:paraId="01A4DC48" w14:textId="2287F1CA" w:rsidR="00347C21" w:rsidRDefault="00347C21" w:rsidP="00AA2B29">
      <w:pPr>
        <w:pStyle w:val="Prrafodelista"/>
        <w:numPr>
          <w:ilvl w:val="2"/>
          <w:numId w:val="5"/>
        </w:numPr>
        <w:jc w:val="both"/>
        <w:rPr>
          <w:rFonts w:cs="Arial"/>
          <w:b/>
        </w:rPr>
      </w:pPr>
      <w:r w:rsidRPr="00347C21">
        <w:rPr>
          <w:rFonts w:cs="Arial"/>
          <w:b/>
        </w:rPr>
        <w:t>Artículo 22</w:t>
      </w:r>
      <w:r>
        <w:rPr>
          <w:rFonts w:cs="Arial"/>
          <w:b/>
        </w:rPr>
        <w:t>.</w:t>
      </w:r>
      <w:r w:rsidRPr="00347C21">
        <w:rPr>
          <w:rFonts w:cs="Arial"/>
          <w:b/>
        </w:rPr>
        <w:t xml:space="preserve"> I</w:t>
      </w:r>
      <w:r>
        <w:rPr>
          <w:rFonts w:cs="Arial"/>
          <w:b/>
        </w:rPr>
        <w:t>nventarios y stock de elementos</w:t>
      </w:r>
    </w:p>
    <w:p w14:paraId="738CB621" w14:textId="77777777" w:rsidR="006209C5" w:rsidRDefault="006209C5" w:rsidP="006209C5">
      <w:pPr>
        <w:ind w:left="-6"/>
        <w:jc w:val="both"/>
        <w:rPr>
          <w:rFonts w:cs="Arial"/>
        </w:rPr>
      </w:pPr>
    </w:p>
    <w:p w14:paraId="58EEE08C" w14:textId="13BCA373" w:rsidR="00470CB5" w:rsidRDefault="00470CB5" w:rsidP="006209C5">
      <w:pPr>
        <w:ind w:left="-6"/>
        <w:jc w:val="both"/>
        <w:rPr>
          <w:rFonts w:cs="Arial"/>
        </w:rPr>
      </w:pPr>
      <w:r w:rsidRPr="00715A7F">
        <w:rPr>
          <w:rFonts w:cs="Arial"/>
        </w:rPr>
        <w:t xml:space="preserve">Se cuenta con contrato de suministro de bienes de consumo. De acuerdo con lo informado por el profesional de Almacén se realizan pedidos el primer viernes de cada mes después </w:t>
      </w:r>
      <w:r w:rsidRPr="00715A7F">
        <w:rPr>
          <w:rFonts w:cs="Arial"/>
        </w:rPr>
        <w:lastRenderedPageBreak/>
        <w:t>de la consolidación de necesidades de la Entidad pidiendo sólo un 10% adicional de papel, lápices y esferos para manejar un stock en el Almacén.</w:t>
      </w:r>
    </w:p>
    <w:p w14:paraId="2C0A1EF3" w14:textId="77777777" w:rsidR="006209C5" w:rsidRDefault="006209C5" w:rsidP="006209C5">
      <w:pPr>
        <w:ind w:left="-6"/>
        <w:jc w:val="both"/>
        <w:rPr>
          <w:rFonts w:cs="Arial"/>
        </w:rPr>
      </w:pPr>
    </w:p>
    <w:p w14:paraId="3DF09281" w14:textId="77777777" w:rsidR="004564A7" w:rsidRPr="006209C5" w:rsidRDefault="004564A7" w:rsidP="006209C5">
      <w:pPr>
        <w:ind w:left="-6"/>
        <w:jc w:val="both"/>
        <w:rPr>
          <w:rFonts w:cs="Arial"/>
        </w:rPr>
      </w:pPr>
    </w:p>
    <w:p w14:paraId="54539B96" w14:textId="0D8B8787" w:rsidR="00347C21" w:rsidRDefault="00347C21" w:rsidP="00AA2B29">
      <w:pPr>
        <w:pStyle w:val="Prrafodelista"/>
        <w:numPr>
          <w:ilvl w:val="2"/>
          <w:numId w:val="5"/>
        </w:numPr>
        <w:jc w:val="both"/>
        <w:rPr>
          <w:rFonts w:cs="Arial"/>
          <w:b/>
        </w:rPr>
      </w:pPr>
      <w:r w:rsidRPr="00347C21">
        <w:rPr>
          <w:rFonts w:cs="Arial"/>
          <w:b/>
        </w:rPr>
        <w:t>Artículo 23</w:t>
      </w:r>
      <w:r>
        <w:rPr>
          <w:rFonts w:cs="Arial"/>
          <w:b/>
        </w:rPr>
        <w:t>.</w:t>
      </w:r>
      <w:r w:rsidRPr="00347C21">
        <w:rPr>
          <w:rFonts w:cs="Arial"/>
          <w:b/>
        </w:rPr>
        <w:t xml:space="preserve"> Adquisición, mantenimiento o reparació</w:t>
      </w:r>
      <w:r>
        <w:rPr>
          <w:rFonts w:cs="Arial"/>
          <w:b/>
        </w:rPr>
        <w:t>n de bienes inmuebles o muebles</w:t>
      </w:r>
    </w:p>
    <w:p w14:paraId="1B522B9E" w14:textId="77777777" w:rsidR="006209C5" w:rsidRDefault="006209C5" w:rsidP="006209C5">
      <w:pPr>
        <w:ind w:left="-6"/>
        <w:jc w:val="both"/>
        <w:rPr>
          <w:rFonts w:cs="Arial"/>
        </w:rPr>
      </w:pPr>
    </w:p>
    <w:p w14:paraId="1B2CD039" w14:textId="57819BD7" w:rsidR="006209C5" w:rsidRPr="00715A7F" w:rsidRDefault="0076534E" w:rsidP="006209C5">
      <w:pPr>
        <w:ind w:left="-6"/>
        <w:jc w:val="both"/>
        <w:rPr>
          <w:rFonts w:cs="Arial"/>
        </w:rPr>
      </w:pPr>
      <w:r w:rsidRPr="00715A7F">
        <w:rPr>
          <w:rFonts w:cs="Arial"/>
        </w:rPr>
        <w:t xml:space="preserve">Se evidencia el informe mensual "Plan de Mantenimiento" </w:t>
      </w:r>
      <w:r w:rsidR="00715A7F" w:rsidRPr="00715A7F">
        <w:rPr>
          <w:rFonts w:cs="Arial"/>
        </w:rPr>
        <w:t>octubre a diciembre</w:t>
      </w:r>
      <w:r w:rsidR="00EE7542" w:rsidRPr="00715A7F">
        <w:rPr>
          <w:rFonts w:cs="Arial"/>
        </w:rPr>
        <w:t xml:space="preserve"> de 2021</w:t>
      </w:r>
      <w:r w:rsidRPr="00715A7F">
        <w:rPr>
          <w:rFonts w:cs="Arial"/>
        </w:rPr>
        <w:t xml:space="preserve"> en el cual se describen todas las tareas ejecutadas en jardinería, limpieza, pintura, señalización, instalación de chapas, guarda escobas, revisiones eléctricas, bombas, tanques, sistema de agua, puestos de trabajo, reparación de tuberías, en todas las sedes del IDPC.</w:t>
      </w:r>
    </w:p>
    <w:p w14:paraId="1DBAE161" w14:textId="77777777" w:rsidR="0076534E" w:rsidRPr="00715A7F" w:rsidRDefault="0076534E" w:rsidP="006209C5">
      <w:pPr>
        <w:ind w:left="-6"/>
        <w:jc w:val="both"/>
        <w:rPr>
          <w:rFonts w:cs="Arial"/>
        </w:rPr>
      </w:pPr>
    </w:p>
    <w:p w14:paraId="25650D92" w14:textId="441119E8" w:rsidR="0076534E" w:rsidRDefault="0076534E" w:rsidP="006209C5">
      <w:pPr>
        <w:ind w:left="-6"/>
        <w:jc w:val="both"/>
        <w:rPr>
          <w:rFonts w:cs="Arial"/>
        </w:rPr>
      </w:pPr>
      <w:r w:rsidRPr="00715A7F">
        <w:rPr>
          <w:rFonts w:cs="Arial"/>
        </w:rPr>
        <w:t>No se realizaron adquisiciones de bienes muebles que no fueran necesarios para el normal funcionamiento de la Entidad</w:t>
      </w:r>
    </w:p>
    <w:p w14:paraId="5F1BBEE2" w14:textId="77777777" w:rsidR="0076534E" w:rsidRDefault="0076534E" w:rsidP="006209C5">
      <w:pPr>
        <w:ind w:left="-6"/>
        <w:jc w:val="both"/>
        <w:rPr>
          <w:rFonts w:cs="Arial"/>
        </w:rPr>
      </w:pPr>
    </w:p>
    <w:p w14:paraId="00762ED0" w14:textId="77777777" w:rsidR="0076534E" w:rsidRPr="006209C5" w:rsidRDefault="0076534E" w:rsidP="006209C5">
      <w:pPr>
        <w:ind w:left="-6"/>
        <w:jc w:val="both"/>
        <w:rPr>
          <w:rFonts w:cs="Arial"/>
        </w:rPr>
      </w:pPr>
    </w:p>
    <w:p w14:paraId="3CDAF027" w14:textId="18155E28" w:rsidR="00347C21" w:rsidRDefault="00347C21" w:rsidP="00AA2B29">
      <w:pPr>
        <w:pStyle w:val="Prrafodelista"/>
        <w:numPr>
          <w:ilvl w:val="2"/>
          <w:numId w:val="5"/>
        </w:numPr>
        <w:jc w:val="both"/>
        <w:rPr>
          <w:rFonts w:cs="Arial"/>
          <w:b/>
        </w:rPr>
      </w:pPr>
      <w:r w:rsidRPr="00347C21">
        <w:rPr>
          <w:rFonts w:cs="Arial"/>
          <w:b/>
        </w:rPr>
        <w:t>Artículo 24</w:t>
      </w:r>
      <w:r>
        <w:rPr>
          <w:rFonts w:cs="Arial"/>
          <w:b/>
        </w:rPr>
        <w:t>.</w:t>
      </w:r>
      <w:r w:rsidRPr="00347C21">
        <w:rPr>
          <w:rFonts w:cs="Arial"/>
          <w:b/>
        </w:rPr>
        <w:t xml:space="preserve"> Edición, impresión, reproducción, publicación de avisos</w:t>
      </w:r>
    </w:p>
    <w:p w14:paraId="213CD574" w14:textId="77777777" w:rsidR="006209C5" w:rsidRDefault="006209C5" w:rsidP="006209C5">
      <w:pPr>
        <w:ind w:left="-6"/>
        <w:jc w:val="both"/>
        <w:rPr>
          <w:rFonts w:cs="Arial"/>
        </w:rPr>
      </w:pPr>
    </w:p>
    <w:p w14:paraId="10951513" w14:textId="06D7DCF5" w:rsidR="004B3A6E" w:rsidRDefault="00EE7542" w:rsidP="00982C78">
      <w:pPr>
        <w:ind w:left="-6"/>
        <w:jc w:val="both"/>
        <w:rPr>
          <w:rFonts w:cs="Arial"/>
        </w:rPr>
      </w:pPr>
      <w:r w:rsidRPr="00715A7F">
        <w:rPr>
          <w:rFonts w:cs="Arial"/>
        </w:rPr>
        <w:t xml:space="preserve">Este </w:t>
      </w:r>
      <w:r w:rsidR="00715A7F" w:rsidRPr="00715A7F">
        <w:rPr>
          <w:rFonts w:cs="Arial"/>
        </w:rPr>
        <w:t>numeral fue evaluado en el 1.2.12</w:t>
      </w:r>
    </w:p>
    <w:p w14:paraId="36911B54" w14:textId="77777777" w:rsidR="006209C5" w:rsidRDefault="006209C5" w:rsidP="006209C5">
      <w:pPr>
        <w:ind w:left="-6"/>
        <w:jc w:val="both"/>
        <w:rPr>
          <w:rFonts w:cs="Arial"/>
        </w:rPr>
      </w:pPr>
    </w:p>
    <w:p w14:paraId="7C376E1F" w14:textId="77777777" w:rsidR="00C65777" w:rsidRPr="006209C5" w:rsidRDefault="00C65777" w:rsidP="006209C5">
      <w:pPr>
        <w:ind w:left="-6"/>
        <w:jc w:val="both"/>
        <w:rPr>
          <w:rFonts w:cs="Arial"/>
        </w:rPr>
      </w:pPr>
    </w:p>
    <w:p w14:paraId="06C9F5D5" w14:textId="60554B30" w:rsidR="00347C21" w:rsidRDefault="00347C21" w:rsidP="00AA2B29">
      <w:pPr>
        <w:pStyle w:val="Prrafodelista"/>
        <w:numPr>
          <w:ilvl w:val="2"/>
          <w:numId w:val="5"/>
        </w:numPr>
        <w:jc w:val="both"/>
        <w:rPr>
          <w:rFonts w:cs="Arial"/>
          <w:b/>
        </w:rPr>
      </w:pPr>
      <w:r w:rsidRPr="00347C21">
        <w:rPr>
          <w:rFonts w:cs="Arial"/>
          <w:b/>
        </w:rPr>
        <w:t>Artículo 25</w:t>
      </w:r>
      <w:r>
        <w:rPr>
          <w:rFonts w:cs="Arial"/>
          <w:b/>
        </w:rPr>
        <w:t>.</w:t>
      </w:r>
      <w:r w:rsidRPr="00347C21">
        <w:rPr>
          <w:rFonts w:cs="Arial"/>
          <w:b/>
        </w:rPr>
        <w:t xml:space="preserve"> Suscripciones</w:t>
      </w:r>
    </w:p>
    <w:p w14:paraId="77D2457F" w14:textId="77777777" w:rsidR="006209C5" w:rsidRDefault="006209C5" w:rsidP="006209C5">
      <w:pPr>
        <w:ind w:left="-6"/>
        <w:jc w:val="both"/>
        <w:rPr>
          <w:rFonts w:cs="Arial"/>
        </w:rPr>
      </w:pPr>
    </w:p>
    <w:p w14:paraId="434CC3D3" w14:textId="6668E85A" w:rsidR="004B3A6E" w:rsidRDefault="004B3A6E" w:rsidP="006209C5">
      <w:pPr>
        <w:ind w:left="-6"/>
        <w:jc w:val="both"/>
        <w:rPr>
          <w:rFonts w:cs="Arial"/>
        </w:rPr>
      </w:pPr>
      <w:r w:rsidRPr="00715A7F">
        <w:rPr>
          <w:rFonts w:cs="Arial"/>
        </w:rPr>
        <w:t xml:space="preserve">De acuerdo con lo verificado en el Sistema BogData no se han realizado </w:t>
      </w:r>
      <w:r w:rsidR="00932D07" w:rsidRPr="00715A7F">
        <w:rPr>
          <w:rFonts w:cs="Arial"/>
        </w:rPr>
        <w:t xml:space="preserve">pagos por </w:t>
      </w:r>
      <w:r w:rsidRPr="00715A7F">
        <w:rPr>
          <w:rFonts w:cs="Arial"/>
        </w:rPr>
        <w:t>suscripciones a revistas o periódicos</w:t>
      </w:r>
    </w:p>
    <w:p w14:paraId="5ED1DD6F" w14:textId="77777777" w:rsidR="004B3A6E" w:rsidRDefault="004B3A6E" w:rsidP="006209C5">
      <w:pPr>
        <w:ind w:left="-6"/>
        <w:jc w:val="both"/>
        <w:rPr>
          <w:rFonts w:cs="Arial"/>
        </w:rPr>
      </w:pPr>
    </w:p>
    <w:p w14:paraId="1FE3F59F" w14:textId="77777777" w:rsidR="006209C5" w:rsidRPr="006209C5" w:rsidRDefault="006209C5" w:rsidP="006209C5">
      <w:pPr>
        <w:ind w:left="-6"/>
        <w:jc w:val="both"/>
        <w:rPr>
          <w:rFonts w:cs="Arial"/>
        </w:rPr>
      </w:pPr>
    </w:p>
    <w:p w14:paraId="43326BB2" w14:textId="58DCC89F" w:rsidR="00347C21" w:rsidRDefault="00347C21" w:rsidP="00AA2B29">
      <w:pPr>
        <w:pStyle w:val="Prrafodelista"/>
        <w:numPr>
          <w:ilvl w:val="2"/>
          <w:numId w:val="5"/>
        </w:numPr>
        <w:jc w:val="both"/>
        <w:rPr>
          <w:rFonts w:cs="Arial"/>
          <w:b/>
        </w:rPr>
      </w:pPr>
      <w:r w:rsidRPr="00347C21">
        <w:rPr>
          <w:rFonts w:cs="Arial"/>
          <w:b/>
        </w:rPr>
        <w:t>Artículo 26</w:t>
      </w:r>
      <w:r>
        <w:rPr>
          <w:rFonts w:cs="Arial"/>
          <w:b/>
        </w:rPr>
        <w:t>.</w:t>
      </w:r>
      <w:r w:rsidRPr="00347C21">
        <w:rPr>
          <w:rFonts w:cs="Arial"/>
          <w:b/>
        </w:rPr>
        <w:t xml:space="preserve"> Eventos y conmemoraciones</w:t>
      </w:r>
    </w:p>
    <w:p w14:paraId="07528F82" w14:textId="77777777" w:rsidR="006209C5" w:rsidRDefault="006209C5" w:rsidP="006209C5">
      <w:pPr>
        <w:ind w:left="-6"/>
        <w:jc w:val="both"/>
        <w:rPr>
          <w:rFonts w:cs="Arial"/>
        </w:rPr>
      </w:pPr>
    </w:p>
    <w:p w14:paraId="3718C511" w14:textId="08048B66" w:rsidR="00EB46FF" w:rsidRDefault="00EB46FF" w:rsidP="006209C5">
      <w:pPr>
        <w:ind w:left="-6"/>
        <w:jc w:val="both"/>
        <w:rPr>
          <w:rFonts w:cs="Arial"/>
        </w:rPr>
      </w:pPr>
      <w:r w:rsidRPr="00715A7F">
        <w:rPr>
          <w:rFonts w:cs="Arial"/>
        </w:rPr>
        <w:t>De acuerdo con lo verificado en el Sistema BogData no se han realizado este tipo de eventos</w:t>
      </w:r>
    </w:p>
    <w:p w14:paraId="31648F63" w14:textId="77777777" w:rsidR="00EB46FF" w:rsidRDefault="00EB46FF" w:rsidP="006209C5">
      <w:pPr>
        <w:ind w:left="-6"/>
        <w:jc w:val="both"/>
        <w:rPr>
          <w:rFonts w:cs="Arial"/>
        </w:rPr>
      </w:pPr>
    </w:p>
    <w:p w14:paraId="4030B2F3" w14:textId="77777777" w:rsidR="006209C5" w:rsidRPr="006209C5" w:rsidRDefault="006209C5" w:rsidP="006209C5">
      <w:pPr>
        <w:ind w:left="-6"/>
        <w:jc w:val="both"/>
        <w:rPr>
          <w:rFonts w:cs="Arial"/>
        </w:rPr>
      </w:pPr>
    </w:p>
    <w:p w14:paraId="2909542E" w14:textId="54B42B6A" w:rsidR="00347C21" w:rsidRDefault="00347C21" w:rsidP="00AA2B29">
      <w:pPr>
        <w:pStyle w:val="Prrafodelista"/>
        <w:numPr>
          <w:ilvl w:val="2"/>
          <w:numId w:val="5"/>
        </w:numPr>
        <w:jc w:val="both"/>
        <w:rPr>
          <w:rFonts w:cs="Arial"/>
          <w:b/>
        </w:rPr>
      </w:pPr>
      <w:r w:rsidRPr="00347C21">
        <w:rPr>
          <w:rFonts w:cs="Arial"/>
          <w:b/>
        </w:rPr>
        <w:t>Artículo 27</w:t>
      </w:r>
      <w:r>
        <w:rPr>
          <w:rFonts w:cs="Arial"/>
          <w:b/>
        </w:rPr>
        <w:t>.</w:t>
      </w:r>
      <w:r w:rsidRPr="00347C21">
        <w:rPr>
          <w:rFonts w:cs="Arial"/>
          <w:b/>
        </w:rPr>
        <w:t xml:space="preserve"> Servicios públicos</w:t>
      </w:r>
    </w:p>
    <w:p w14:paraId="274DFD41" w14:textId="77777777" w:rsidR="006209C5" w:rsidRDefault="006209C5" w:rsidP="006209C5">
      <w:pPr>
        <w:ind w:left="-6"/>
        <w:jc w:val="both"/>
        <w:rPr>
          <w:rFonts w:cs="Arial"/>
        </w:rPr>
      </w:pPr>
    </w:p>
    <w:p w14:paraId="51312E49" w14:textId="77777777" w:rsidR="004564A7" w:rsidRDefault="004564A7" w:rsidP="00F02096">
      <w:pPr>
        <w:jc w:val="both"/>
        <w:rPr>
          <w:rFonts w:cs="Arial"/>
        </w:rPr>
      </w:pPr>
    </w:p>
    <w:p w14:paraId="54CDAE31" w14:textId="77777777" w:rsidR="00EB46FF" w:rsidRPr="00715A7F" w:rsidRDefault="00EB46FF" w:rsidP="00AA2B29">
      <w:pPr>
        <w:pStyle w:val="Prrafodelista"/>
        <w:numPr>
          <w:ilvl w:val="1"/>
          <w:numId w:val="4"/>
        </w:numPr>
        <w:ind w:left="426"/>
        <w:jc w:val="both"/>
        <w:rPr>
          <w:rFonts w:cs="Arial"/>
          <w:bCs/>
          <w:i/>
          <w:color w:val="000000"/>
          <w:u w:val="single"/>
        </w:rPr>
      </w:pPr>
      <w:r w:rsidRPr="00715A7F">
        <w:rPr>
          <w:rFonts w:cs="Arial"/>
          <w:bCs/>
          <w:i/>
          <w:color w:val="000000"/>
          <w:u w:val="single"/>
        </w:rPr>
        <w:t>Relación Gastos Servicios Públicos (consumo y pagos por Inversión y Funcionamiento)</w:t>
      </w:r>
    </w:p>
    <w:p w14:paraId="71A07CD8" w14:textId="77777777" w:rsidR="00EB46FF" w:rsidRPr="00715A7F" w:rsidRDefault="00EB46FF" w:rsidP="00EB46FF">
      <w:pPr>
        <w:pStyle w:val="Prrafodelista"/>
        <w:ind w:left="360"/>
        <w:rPr>
          <w:rFonts w:cs="Arial"/>
          <w:color w:val="000000"/>
        </w:rPr>
      </w:pPr>
    </w:p>
    <w:p w14:paraId="34E24BA7" w14:textId="666B3762" w:rsidR="00EB46FF" w:rsidRPr="00715A7F" w:rsidRDefault="00EB46FF" w:rsidP="0069365B">
      <w:pPr>
        <w:jc w:val="both"/>
        <w:rPr>
          <w:rFonts w:cs="Arial"/>
          <w:color w:val="000000"/>
        </w:rPr>
      </w:pPr>
      <w:r w:rsidRPr="00715A7F">
        <w:rPr>
          <w:rFonts w:cs="Arial"/>
          <w:color w:val="000000"/>
        </w:rPr>
        <w:t xml:space="preserve">De acuerdo con lo reportado en BogData en el período evaluado, se observó que los pagos por vigencia actual de servicios públicos, </w:t>
      </w:r>
      <w:r w:rsidR="00715A7F">
        <w:rPr>
          <w:rFonts w:cs="Arial"/>
          <w:color w:val="000000"/>
        </w:rPr>
        <w:t>disminuye</w:t>
      </w:r>
      <w:r w:rsidRPr="00715A7F">
        <w:rPr>
          <w:rFonts w:cs="Arial"/>
          <w:color w:val="000000"/>
        </w:rPr>
        <w:t xml:space="preserve">ron comparativamente en </w:t>
      </w:r>
      <w:r w:rsidRPr="00715A7F">
        <w:rPr>
          <w:rFonts w:cs="Arial"/>
          <w:b/>
          <w:color w:val="000000"/>
        </w:rPr>
        <w:t>$</w:t>
      </w:r>
      <w:r w:rsidR="00715A7F">
        <w:rPr>
          <w:rFonts w:cs="Arial"/>
          <w:b/>
          <w:color w:val="000000"/>
        </w:rPr>
        <w:t>6</w:t>
      </w:r>
      <w:r w:rsidRPr="00715A7F">
        <w:rPr>
          <w:rFonts w:cs="Arial"/>
          <w:b/>
          <w:color w:val="000000"/>
        </w:rPr>
        <w:t>.</w:t>
      </w:r>
      <w:r w:rsidR="00715A7F">
        <w:rPr>
          <w:rFonts w:cs="Arial"/>
          <w:b/>
          <w:color w:val="000000"/>
        </w:rPr>
        <w:t>252</w:t>
      </w:r>
      <w:r w:rsidRPr="00715A7F">
        <w:rPr>
          <w:rFonts w:cs="Arial"/>
          <w:b/>
          <w:color w:val="000000"/>
        </w:rPr>
        <w:t>.</w:t>
      </w:r>
      <w:r w:rsidR="0069365B" w:rsidRPr="00715A7F">
        <w:rPr>
          <w:rFonts w:cs="Arial"/>
          <w:b/>
          <w:color w:val="000000"/>
        </w:rPr>
        <w:t>3</w:t>
      </w:r>
      <w:r w:rsidR="00715A7F">
        <w:rPr>
          <w:rFonts w:cs="Arial"/>
          <w:b/>
          <w:color w:val="000000"/>
        </w:rPr>
        <w:t>05</w:t>
      </w:r>
      <w:r w:rsidRPr="00715A7F">
        <w:rPr>
          <w:rFonts w:cs="Arial"/>
          <w:color w:val="000000"/>
        </w:rPr>
        <w:t xml:space="preserve">, que corresponde a un </w:t>
      </w:r>
      <w:r w:rsidR="00715A7F" w:rsidRPr="00715A7F">
        <w:rPr>
          <w:rFonts w:cs="Arial"/>
          <w:b/>
          <w:color w:val="00B050"/>
        </w:rPr>
        <w:t>1</w:t>
      </w:r>
      <w:r w:rsidR="002D751C" w:rsidRPr="00715A7F">
        <w:rPr>
          <w:rFonts w:cs="Arial"/>
          <w:b/>
          <w:color w:val="00B050"/>
        </w:rPr>
        <w:t>5</w:t>
      </w:r>
      <w:r w:rsidRPr="00715A7F">
        <w:rPr>
          <w:rFonts w:cs="Arial"/>
          <w:b/>
          <w:color w:val="00B050"/>
        </w:rPr>
        <w:t>%</w:t>
      </w:r>
      <w:r w:rsidRPr="00715A7F">
        <w:rPr>
          <w:rFonts w:cs="Arial"/>
          <w:color w:val="00B050"/>
        </w:rPr>
        <w:t>,</w:t>
      </w:r>
      <w:r w:rsidRPr="00715A7F">
        <w:rPr>
          <w:rFonts w:cs="Arial"/>
          <w:color w:val="FF0000"/>
        </w:rPr>
        <w:t xml:space="preserve"> </w:t>
      </w:r>
      <w:r w:rsidRPr="00715A7F">
        <w:rPr>
          <w:rFonts w:cs="Arial"/>
          <w:color w:val="000000"/>
        </w:rPr>
        <w:t xml:space="preserve">para un total de </w:t>
      </w:r>
      <w:r w:rsidR="00715A7F">
        <w:rPr>
          <w:rFonts w:cs="Arial"/>
          <w:b/>
          <w:color w:val="000000"/>
        </w:rPr>
        <w:t>$35</w:t>
      </w:r>
      <w:r w:rsidR="00E72D47" w:rsidRPr="00715A7F">
        <w:rPr>
          <w:rFonts w:cs="Arial"/>
          <w:b/>
          <w:color w:val="000000"/>
        </w:rPr>
        <w:t>.</w:t>
      </w:r>
      <w:r w:rsidR="002D751C" w:rsidRPr="00715A7F">
        <w:rPr>
          <w:rFonts w:cs="Arial"/>
          <w:b/>
          <w:color w:val="000000"/>
        </w:rPr>
        <w:t>5</w:t>
      </w:r>
      <w:r w:rsidR="00715A7F">
        <w:rPr>
          <w:rFonts w:cs="Arial"/>
          <w:b/>
          <w:color w:val="000000"/>
        </w:rPr>
        <w:t>83</w:t>
      </w:r>
      <w:r w:rsidR="00E72D47" w:rsidRPr="00715A7F">
        <w:rPr>
          <w:rFonts w:cs="Arial"/>
          <w:b/>
          <w:color w:val="000000"/>
        </w:rPr>
        <w:t>.</w:t>
      </w:r>
      <w:r w:rsidR="002D751C" w:rsidRPr="00715A7F">
        <w:rPr>
          <w:rFonts w:cs="Arial"/>
          <w:b/>
          <w:color w:val="000000"/>
        </w:rPr>
        <w:t>1</w:t>
      </w:r>
      <w:r w:rsidR="00715A7F">
        <w:rPr>
          <w:rFonts w:cs="Arial"/>
          <w:b/>
          <w:color w:val="000000"/>
        </w:rPr>
        <w:t>55</w:t>
      </w:r>
      <w:r w:rsidRPr="00715A7F">
        <w:rPr>
          <w:rFonts w:cs="Arial"/>
          <w:b/>
          <w:color w:val="000000"/>
        </w:rPr>
        <w:t>.</w:t>
      </w:r>
      <w:r w:rsidRPr="00715A7F">
        <w:rPr>
          <w:rFonts w:cs="Arial"/>
          <w:color w:val="000000"/>
        </w:rPr>
        <w:t xml:space="preserve"> </w:t>
      </w:r>
    </w:p>
    <w:p w14:paraId="687D0FC5" w14:textId="77777777" w:rsidR="00EB46FF" w:rsidRPr="00715A7F" w:rsidRDefault="00EB46FF" w:rsidP="00EB46FF">
      <w:pPr>
        <w:pStyle w:val="Prrafodelista"/>
        <w:ind w:left="360"/>
        <w:rPr>
          <w:rFonts w:cs="Arial"/>
          <w:b/>
          <w:color w:val="000000"/>
        </w:rPr>
      </w:pPr>
    </w:p>
    <w:tbl>
      <w:tblPr>
        <w:tblW w:w="5424" w:type="pct"/>
        <w:tblInd w:w="-289" w:type="dxa"/>
        <w:tblCellMar>
          <w:left w:w="70" w:type="dxa"/>
          <w:right w:w="70" w:type="dxa"/>
        </w:tblCellMar>
        <w:tblLook w:val="04A0" w:firstRow="1" w:lastRow="0" w:firstColumn="1" w:lastColumn="0" w:noHBand="0" w:noVBand="1"/>
      </w:tblPr>
      <w:tblGrid>
        <w:gridCol w:w="1324"/>
        <w:gridCol w:w="907"/>
        <w:gridCol w:w="907"/>
        <w:gridCol w:w="907"/>
        <w:gridCol w:w="907"/>
        <w:gridCol w:w="907"/>
        <w:gridCol w:w="908"/>
        <w:gridCol w:w="908"/>
        <w:gridCol w:w="908"/>
        <w:gridCol w:w="994"/>
      </w:tblGrid>
      <w:tr w:rsidR="00EB46FF" w:rsidRPr="00715A7F" w14:paraId="20F8B597" w14:textId="77777777" w:rsidTr="00015660">
        <w:trPr>
          <w:trHeight w:val="255"/>
          <w:tblHeader/>
        </w:trPr>
        <w:tc>
          <w:tcPr>
            <w:tcW w:w="692" w:type="pct"/>
            <w:vMerge w:val="restart"/>
            <w:tcBorders>
              <w:top w:val="single" w:sz="4" w:space="0" w:color="000000"/>
              <w:left w:val="single" w:sz="4" w:space="0" w:color="000000"/>
              <w:bottom w:val="single" w:sz="4" w:space="0" w:color="000000"/>
              <w:right w:val="single" w:sz="4" w:space="0" w:color="000000"/>
            </w:tcBorders>
            <w:shd w:val="clear" w:color="F2F2F2" w:fill="F2F2F2"/>
            <w:vAlign w:val="center"/>
            <w:hideMark/>
          </w:tcPr>
          <w:p w14:paraId="5F8C5AE7" w14:textId="77777777" w:rsidR="00EB46FF" w:rsidRPr="00715A7F" w:rsidRDefault="00EB46FF" w:rsidP="00EB46FF">
            <w:pPr>
              <w:jc w:val="center"/>
              <w:rPr>
                <w:rFonts w:ascii="Arial Narrow" w:eastAsia="Times New Roman" w:hAnsi="Arial Narrow" w:cs="Arial"/>
                <w:b/>
                <w:bCs/>
                <w:color w:val="000000"/>
                <w:sz w:val="16"/>
                <w:szCs w:val="16"/>
                <w:lang w:eastAsia="es-CO"/>
              </w:rPr>
            </w:pPr>
            <w:r w:rsidRPr="00715A7F">
              <w:rPr>
                <w:rFonts w:ascii="Arial Narrow" w:eastAsia="Times New Roman" w:hAnsi="Arial Narrow" w:cs="Arial"/>
                <w:b/>
                <w:bCs/>
                <w:color w:val="000000"/>
                <w:sz w:val="16"/>
                <w:szCs w:val="16"/>
                <w:lang w:eastAsia="es-CO"/>
              </w:rPr>
              <w:t>RUBRO</w:t>
            </w:r>
          </w:p>
        </w:tc>
        <w:tc>
          <w:tcPr>
            <w:tcW w:w="1421"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268844CF" w14:textId="6014160F" w:rsidR="00EB46FF" w:rsidRPr="00715A7F" w:rsidRDefault="00E72D47" w:rsidP="00EB46FF">
            <w:pPr>
              <w:jc w:val="center"/>
              <w:rPr>
                <w:rFonts w:ascii="Arial Narrow" w:eastAsia="Times New Roman" w:hAnsi="Arial Narrow" w:cs="Arial"/>
                <w:b/>
                <w:bCs/>
                <w:color w:val="000000"/>
                <w:sz w:val="16"/>
                <w:szCs w:val="16"/>
                <w:lang w:eastAsia="es-CO"/>
              </w:rPr>
            </w:pPr>
            <w:r w:rsidRPr="00715A7F">
              <w:rPr>
                <w:rFonts w:ascii="Arial Narrow" w:eastAsia="Times New Roman" w:hAnsi="Arial Narrow" w:cs="Arial"/>
                <w:b/>
                <w:bCs/>
                <w:color w:val="000000"/>
                <w:sz w:val="16"/>
                <w:szCs w:val="16"/>
                <w:lang w:eastAsia="es-CO"/>
              </w:rPr>
              <w:t>2020</w:t>
            </w:r>
          </w:p>
        </w:tc>
        <w:tc>
          <w:tcPr>
            <w:tcW w:w="1421"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54C47A76" w14:textId="2C0E8AB2" w:rsidR="00EB46FF" w:rsidRPr="00715A7F" w:rsidRDefault="00E72D47" w:rsidP="00EB46FF">
            <w:pPr>
              <w:jc w:val="center"/>
              <w:rPr>
                <w:rFonts w:ascii="Arial Narrow" w:eastAsia="Times New Roman" w:hAnsi="Arial Narrow" w:cs="Arial"/>
                <w:b/>
                <w:bCs/>
                <w:color w:val="000000"/>
                <w:sz w:val="16"/>
                <w:szCs w:val="16"/>
                <w:lang w:eastAsia="es-CO"/>
              </w:rPr>
            </w:pPr>
            <w:r w:rsidRPr="00715A7F">
              <w:rPr>
                <w:rFonts w:ascii="Arial Narrow" w:eastAsia="Times New Roman" w:hAnsi="Arial Narrow" w:cs="Arial"/>
                <w:b/>
                <w:bCs/>
                <w:color w:val="000000"/>
                <w:sz w:val="16"/>
                <w:szCs w:val="16"/>
                <w:lang w:eastAsia="es-CO"/>
              </w:rPr>
              <w:t>2021</w:t>
            </w:r>
          </w:p>
        </w:tc>
        <w:tc>
          <w:tcPr>
            <w:tcW w:w="1466" w:type="pct"/>
            <w:gridSpan w:val="3"/>
            <w:tcBorders>
              <w:top w:val="single" w:sz="4" w:space="0" w:color="000000"/>
              <w:left w:val="nil"/>
              <w:bottom w:val="single" w:sz="4" w:space="0" w:color="000000"/>
              <w:right w:val="single" w:sz="4" w:space="0" w:color="000000"/>
            </w:tcBorders>
            <w:shd w:val="clear" w:color="F2F2F2" w:fill="F2F2F2"/>
            <w:noWrap/>
            <w:vAlign w:val="center"/>
            <w:hideMark/>
          </w:tcPr>
          <w:p w14:paraId="109AE2BA" w14:textId="68D04193" w:rsidR="00EB46FF" w:rsidRPr="00715A7F" w:rsidRDefault="00E72D47" w:rsidP="00EB46FF">
            <w:pPr>
              <w:jc w:val="center"/>
              <w:rPr>
                <w:rFonts w:ascii="Arial Narrow" w:eastAsia="Times New Roman" w:hAnsi="Arial Narrow" w:cs="Arial"/>
                <w:b/>
                <w:bCs/>
                <w:color w:val="000000"/>
                <w:sz w:val="16"/>
                <w:szCs w:val="16"/>
                <w:lang w:eastAsia="es-CO"/>
              </w:rPr>
            </w:pPr>
            <w:r w:rsidRPr="00715A7F">
              <w:rPr>
                <w:rFonts w:ascii="Arial Narrow" w:eastAsia="Times New Roman" w:hAnsi="Arial Narrow" w:cs="Arial"/>
                <w:b/>
                <w:bCs/>
                <w:color w:val="000000"/>
                <w:sz w:val="16"/>
                <w:szCs w:val="16"/>
                <w:lang w:eastAsia="es-CO"/>
              </w:rPr>
              <w:t xml:space="preserve"> COMPARATIVO </w:t>
            </w:r>
            <w:r w:rsidR="002D751C" w:rsidRPr="00715A7F">
              <w:rPr>
                <w:rFonts w:ascii="Arial Narrow" w:eastAsia="Times New Roman" w:hAnsi="Arial Narrow" w:cs="Arial"/>
                <w:b/>
                <w:bCs/>
                <w:color w:val="000000"/>
                <w:sz w:val="16"/>
                <w:szCs w:val="16"/>
                <w:lang w:eastAsia="es-CO"/>
              </w:rPr>
              <w:t>I</w:t>
            </w:r>
            <w:r w:rsidR="00715A7F" w:rsidRPr="00715A7F">
              <w:rPr>
                <w:rFonts w:ascii="Arial Narrow" w:eastAsia="Times New Roman" w:hAnsi="Arial Narrow" w:cs="Arial"/>
                <w:b/>
                <w:bCs/>
                <w:color w:val="000000"/>
                <w:sz w:val="16"/>
                <w:szCs w:val="16"/>
                <w:lang w:eastAsia="es-CO"/>
              </w:rPr>
              <w:t>V</w:t>
            </w:r>
            <w:r w:rsidR="00EB46FF" w:rsidRPr="00715A7F">
              <w:rPr>
                <w:rFonts w:ascii="Arial Narrow" w:eastAsia="Times New Roman" w:hAnsi="Arial Narrow" w:cs="Arial"/>
                <w:b/>
                <w:bCs/>
                <w:color w:val="000000"/>
                <w:sz w:val="16"/>
                <w:szCs w:val="16"/>
                <w:lang w:eastAsia="es-CO"/>
              </w:rPr>
              <w:t xml:space="preserve"> TRIMESTRE </w:t>
            </w:r>
          </w:p>
        </w:tc>
      </w:tr>
      <w:tr w:rsidR="00715A7F" w:rsidRPr="00715A7F" w14:paraId="6C9E3196" w14:textId="77777777" w:rsidTr="00015660">
        <w:trPr>
          <w:trHeight w:val="255"/>
          <w:tblHeader/>
        </w:trPr>
        <w:tc>
          <w:tcPr>
            <w:tcW w:w="692" w:type="pct"/>
            <w:vMerge/>
            <w:tcBorders>
              <w:top w:val="single" w:sz="4" w:space="0" w:color="000000"/>
              <w:left w:val="single" w:sz="4" w:space="0" w:color="000000"/>
              <w:bottom w:val="single" w:sz="4" w:space="0" w:color="000000"/>
              <w:right w:val="single" w:sz="4" w:space="0" w:color="000000"/>
            </w:tcBorders>
            <w:vAlign w:val="center"/>
            <w:hideMark/>
          </w:tcPr>
          <w:p w14:paraId="005B284B" w14:textId="77777777" w:rsidR="00715A7F" w:rsidRPr="00715A7F" w:rsidRDefault="00715A7F" w:rsidP="00715A7F">
            <w:pPr>
              <w:rPr>
                <w:rFonts w:ascii="Arial Narrow" w:eastAsia="Times New Roman" w:hAnsi="Arial Narrow" w:cs="Arial"/>
                <w:b/>
                <w:bCs/>
                <w:color w:val="000000"/>
                <w:sz w:val="16"/>
                <w:szCs w:val="16"/>
                <w:lang w:eastAsia="es-CO"/>
              </w:rPr>
            </w:pPr>
          </w:p>
        </w:tc>
        <w:tc>
          <w:tcPr>
            <w:tcW w:w="474" w:type="pct"/>
            <w:tcBorders>
              <w:top w:val="nil"/>
              <w:left w:val="nil"/>
              <w:bottom w:val="single" w:sz="4" w:space="0" w:color="000000"/>
              <w:right w:val="single" w:sz="4" w:space="0" w:color="000000"/>
            </w:tcBorders>
            <w:shd w:val="clear" w:color="F2F2F2" w:fill="F2F2F2"/>
            <w:vAlign w:val="center"/>
            <w:hideMark/>
          </w:tcPr>
          <w:p w14:paraId="44256ED5" w14:textId="3569E5E4" w:rsidR="00715A7F" w:rsidRPr="00715A7F" w:rsidRDefault="00715A7F" w:rsidP="00715A7F">
            <w:pPr>
              <w:jc w:val="cente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OCT </w:t>
            </w:r>
          </w:p>
        </w:tc>
        <w:tc>
          <w:tcPr>
            <w:tcW w:w="474" w:type="pct"/>
            <w:tcBorders>
              <w:top w:val="nil"/>
              <w:left w:val="nil"/>
              <w:bottom w:val="single" w:sz="4" w:space="0" w:color="000000"/>
              <w:right w:val="single" w:sz="4" w:space="0" w:color="000000"/>
            </w:tcBorders>
            <w:shd w:val="clear" w:color="F2F2F2" w:fill="F2F2F2"/>
            <w:vAlign w:val="center"/>
            <w:hideMark/>
          </w:tcPr>
          <w:p w14:paraId="6B19B3F3" w14:textId="6B8ABB03" w:rsidR="00715A7F" w:rsidRPr="00715A7F" w:rsidRDefault="00715A7F" w:rsidP="00715A7F">
            <w:pPr>
              <w:jc w:val="cente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NOV </w:t>
            </w:r>
          </w:p>
        </w:tc>
        <w:tc>
          <w:tcPr>
            <w:tcW w:w="474" w:type="pct"/>
            <w:tcBorders>
              <w:top w:val="nil"/>
              <w:left w:val="nil"/>
              <w:bottom w:val="single" w:sz="4" w:space="0" w:color="000000"/>
              <w:right w:val="single" w:sz="4" w:space="0" w:color="000000"/>
            </w:tcBorders>
            <w:shd w:val="clear" w:color="F2F2F2" w:fill="F2F2F2"/>
            <w:vAlign w:val="center"/>
            <w:hideMark/>
          </w:tcPr>
          <w:p w14:paraId="54195FF2" w14:textId="4B907107" w:rsidR="00715A7F" w:rsidRPr="00715A7F" w:rsidRDefault="00715A7F" w:rsidP="00715A7F">
            <w:pPr>
              <w:jc w:val="cente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DIC </w:t>
            </w:r>
          </w:p>
        </w:tc>
        <w:tc>
          <w:tcPr>
            <w:tcW w:w="474" w:type="pct"/>
            <w:tcBorders>
              <w:top w:val="nil"/>
              <w:left w:val="nil"/>
              <w:bottom w:val="single" w:sz="4" w:space="0" w:color="000000"/>
              <w:right w:val="single" w:sz="4" w:space="0" w:color="000000"/>
            </w:tcBorders>
            <w:shd w:val="clear" w:color="F2F2F2" w:fill="F2F2F2"/>
            <w:vAlign w:val="center"/>
            <w:hideMark/>
          </w:tcPr>
          <w:p w14:paraId="6C82ABB1" w14:textId="4943C431" w:rsidR="00715A7F" w:rsidRPr="00715A7F" w:rsidRDefault="00715A7F" w:rsidP="00715A7F">
            <w:pPr>
              <w:jc w:val="cente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OCT </w:t>
            </w:r>
          </w:p>
        </w:tc>
        <w:tc>
          <w:tcPr>
            <w:tcW w:w="474" w:type="pct"/>
            <w:tcBorders>
              <w:top w:val="nil"/>
              <w:left w:val="nil"/>
              <w:bottom w:val="single" w:sz="4" w:space="0" w:color="000000"/>
              <w:right w:val="single" w:sz="4" w:space="0" w:color="000000"/>
            </w:tcBorders>
            <w:shd w:val="clear" w:color="F2F2F2" w:fill="F2F2F2"/>
            <w:vAlign w:val="center"/>
            <w:hideMark/>
          </w:tcPr>
          <w:p w14:paraId="6C018AE7" w14:textId="3AC6D4F5" w:rsidR="00715A7F" w:rsidRPr="00715A7F" w:rsidRDefault="00715A7F" w:rsidP="00715A7F">
            <w:pPr>
              <w:jc w:val="cente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NOV </w:t>
            </w:r>
          </w:p>
        </w:tc>
        <w:tc>
          <w:tcPr>
            <w:tcW w:w="474" w:type="pct"/>
            <w:tcBorders>
              <w:top w:val="nil"/>
              <w:left w:val="nil"/>
              <w:bottom w:val="single" w:sz="4" w:space="0" w:color="000000"/>
              <w:right w:val="single" w:sz="4" w:space="0" w:color="000000"/>
            </w:tcBorders>
            <w:shd w:val="clear" w:color="F2F2F2" w:fill="F2F2F2"/>
            <w:vAlign w:val="center"/>
            <w:hideMark/>
          </w:tcPr>
          <w:p w14:paraId="123AA573" w14:textId="73B079D4" w:rsidR="00715A7F" w:rsidRPr="00715A7F" w:rsidRDefault="00715A7F" w:rsidP="00715A7F">
            <w:pPr>
              <w:jc w:val="cente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DIC </w:t>
            </w:r>
          </w:p>
        </w:tc>
        <w:tc>
          <w:tcPr>
            <w:tcW w:w="474" w:type="pct"/>
            <w:tcBorders>
              <w:top w:val="nil"/>
              <w:left w:val="nil"/>
              <w:bottom w:val="single" w:sz="4" w:space="0" w:color="000000"/>
              <w:right w:val="single" w:sz="4" w:space="0" w:color="000000"/>
            </w:tcBorders>
            <w:shd w:val="clear" w:color="F2F2F2" w:fill="F2F2F2"/>
            <w:vAlign w:val="center"/>
            <w:hideMark/>
          </w:tcPr>
          <w:p w14:paraId="6EE9E50C" w14:textId="03DCDAB8" w:rsidR="00715A7F" w:rsidRPr="00715A7F" w:rsidRDefault="00715A7F" w:rsidP="00715A7F">
            <w:pPr>
              <w:jc w:val="cente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IV TRIM 2020 </w:t>
            </w:r>
          </w:p>
        </w:tc>
        <w:tc>
          <w:tcPr>
            <w:tcW w:w="474" w:type="pct"/>
            <w:tcBorders>
              <w:top w:val="nil"/>
              <w:left w:val="nil"/>
              <w:bottom w:val="single" w:sz="4" w:space="0" w:color="000000"/>
              <w:right w:val="single" w:sz="4" w:space="0" w:color="000000"/>
            </w:tcBorders>
            <w:shd w:val="clear" w:color="F2F2F2" w:fill="F2F2F2"/>
            <w:vAlign w:val="center"/>
            <w:hideMark/>
          </w:tcPr>
          <w:p w14:paraId="1E04E703" w14:textId="2C63EB63" w:rsidR="00715A7F" w:rsidRPr="00715A7F" w:rsidRDefault="00715A7F" w:rsidP="00715A7F">
            <w:pPr>
              <w:jc w:val="cente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IV TRIM 2021 </w:t>
            </w:r>
          </w:p>
        </w:tc>
        <w:tc>
          <w:tcPr>
            <w:tcW w:w="519" w:type="pct"/>
            <w:tcBorders>
              <w:top w:val="nil"/>
              <w:left w:val="nil"/>
              <w:bottom w:val="single" w:sz="4" w:space="0" w:color="000000"/>
              <w:right w:val="single" w:sz="4" w:space="0" w:color="000000"/>
            </w:tcBorders>
            <w:shd w:val="clear" w:color="F2F2F2" w:fill="F2F2F2"/>
            <w:vAlign w:val="center"/>
            <w:hideMark/>
          </w:tcPr>
          <w:p w14:paraId="3D1F1610" w14:textId="035AAFB2" w:rsidR="00715A7F" w:rsidRPr="00715A7F" w:rsidRDefault="00715A7F" w:rsidP="00715A7F">
            <w:pPr>
              <w:jc w:val="cente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DIFEREN </w:t>
            </w:r>
          </w:p>
        </w:tc>
      </w:tr>
      <w:tr w:rsidR="00715A7F" w:rsidRPr="00715A7F" w14:paraId="42809FB3" w14:textId="77777777" w:rsidTr="00015660">
        <w:trPr>
          <w:trHeight w:val="255"/>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0BE1362A" w14:textId="77777777"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eastAsia="Times New Roman" w:hAnsi="Arial Narrow" w:cs="Arial"/>
                <w:color w:val="000000"/>
                <w:sz w:val="16"/>
                <w:szCs w:val="16"/>
                <w:lang w:eastAsia="es-CO"/>
              </w:rPr>
              <w:t xml:space="preserve"> Energía </w:t>
            </w:r>
          </w:p>
        </w:tc>
        <w:tc>
          <w:tcPr>
            <w:tcW w:w="474" w:type="pct"/>
            <w:tcBorders>
              <w:top w:val="nil"/>
              <w:left w:val="nil"/>
              <w:bottom w:val="single" w:sz="4" w:space="0" w:color="000000"/>
              <w:right w:val="single" w:sz="4" w:space="0" w:color="000000"/>
            </w:tcBorders>
            <w:shd w:val="clear" w:color="DBE5F1" w:fill="DBE5F1"/>
            <w:noWrap/>
            <w:vAlign w:val="center"/>
            <w:hideMark/>
          </w:tcPr>
          <w:p w14:paraId="59E7A7AC" w14:textId="74D03739"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10.927.830 </w:t>
            </w:r>
          </w:p>
        </w:tc>
        <w:tc>
          <w:tcPr>
            <w:tcW w:w="474" w:type="pct"/>
            <w:tcBorders>
              <w:top w:val="nil"/>
              <w:left w:val="nil"/>
              <w:bottom w:val="single" w:sz="4" w:space="0" w:color="000000"/>
              <w:right w:val="single" w:sz="4" w:space="0" w:color="000000"/>
            </w:tcBorders>
            <w:shd w:val="clear" w:color="DBE5F1" w:fill="DBE5F1"/>
            <w:noWrap/>
            <w:vAlign w:val="center"/>
            <w:hideMark/>
          </w:tcPr>
          <w:p w14:paraId="27185717" w14:textId="1E72635C"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1.525.980 </w:t>
            </w:r>
          </w:p>
        </w:tc>
        <w:tc>
          <w:tcPr>
            <w:tcW w:w="474" w:type="pct"/>
            <w:tcBorders>
              <w:top w:val="nil"/>
              <w:left w:val="nil"/>
              <w:bottom w:val="single" w:sz="4" w:space="0" w:color="000000"/>
              <w:right w:val="single" w:sz="4" w:space="0" w:color="000000"/>
            </w:tcBorders>
            <w:shd w:val="clear" w:color="DBE5F1" w:fill="DBE5F1"/>
            <w:noWrap/>
            <w:vAlign w:val="center"/>
            <w:hideMark/>
          </w:tcPr>
          <w:p w14:paraId="6BD1CC85" w14:textId="1E3EE0A3"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6.829.730 </w:t>
            </w:r>
          </w:p>
        </w:tc>
        <w:tc>
          <w:tcPr>
            <w:tcW w:w="474" w:type="pct"/>
            <w:tcBorders>
              <w:top w:val="nil"/>
              <w:left w:val="nil"/>
              <w:bottom w:val="single" w:sz="4" w:space="0" w:color="000000"/>
              <w:right w:val="single" w:sz="4" w:space="0" w:color="000000"/>
            </w:tcBorders>
            <w:shd w:val="clear" w:color="FDE9D9" w:fill="FDE9D9"/>
            <w:noWrap/>
            <w:vAlign w:val="center"/>
            <w:hideMark/>
          </w:tcPr>
          <w:p w14:paraId="6A9FE8E0" w14:textId="47C279B6"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3.595.340 </w:t>
            </w:r>
          </w:p>
        </w:tc>
        <w:tc>
          <w:tcPr>
            <w:tcW w:w="474" w:type="pct"/>
            <w:tcBorders>
              <w:top w:val="nil"/>
              <w:left w:val="nil"/>
              <w:bottom w:val="single" w:sz="4" w:space="0" w:color="000000"/>
              <w:right w:val="single" w:sz="4" w:space="0" w:color="000000"/>
            </w:tcBorders>
            <w:shd w:val="clear" w:color="FDE9D9" w:fill="FDE9D9"/>
            <w:noWrap/>
            <w:vAlign w:val="center"/>
            <w:hideMark/>
          </w:tcPr>
          <w:p w14:paraId="13B5BC35" w14:textId="1E8A5682"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7.114.170 </w:t>
            </w:r>
          </w:p>
        </w:tc>
        <w:tc>
          <w:tcPr>
            <w:tcW w:w="474" w:type="pct"/>
            <w:tcBorders>
              <w:top w:val="nil"/>
              <w:left w:val="nil"/>
              <w:bottom w:val="single" w:sz="4" w:space="0" w:color="000000"/>
              <w:right w:val="single" w:sz="4" w:space="0" w:color="000000"/>
            </w:tcBorders>
            <w:shd w:val="clear" w:color="FDE9D9" w:fill="FDE9D9"/>
            <w:noWrap/>
            <w:vAlign w:val="center"/>
            <w:hideMark/>
          </w:tcPr>
          <w:p w14:paraId="3E020722" w14:textId="03A83CFB"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6.203.890 </w:t>
            </w:r>
          </w:p>
        </w:tc>
        <w:tc>
          <w:tcPr>
            <w:tcW w:w="474" w:type="pct"/>
            <w:tcBorders>
              <w:top w:val="nil"/>
              <w:left w:val="nil"/>
              <w:bottom w:val="single" w:sz="4" w:space="0" w:color="000000"/>
              <w:right w:val="single" w:sz="4" w:space="0" w:color="000000"/>
            </w:tcBorders>
            <w:shd w:val="clear" w:color="auto" w:fill="auto"/>
            <w:noWrap/>
            <w:vAlign w:val="center"/>
            <w:hideMark/>
          </w:tcPr>
          <w:p w14:paraId="6ED880EF" w14:textId="49716AEE"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19.283.540 </w:t>
            </w:r>
          </w:p>
        </w:tc>
        <w:tc>
          <w:tcPr>
            <w:tcW w:w="474" w:type="pct"/>
            <w:tcBorders>
              <w:top w:val="nil"/>
              <w:left w:val="nil"/>
              <w:bottom w:val="single" w:sz="4" w:space="0" w:color="000000"/>
              <w:right w:val="single" w:sz="4" w:space="0" w:color="000000"/>
            </w:tcBorders>
            <w:shd w:val="clear" w:color="auto" w:fill="auto"/>
            <w:noWrap/>
            <w:vAlign w:val="center"/>
            <w:hideMark/>
          </w:tcPr>
          <w:p w14:paraId="02D74C03" w14:textId="2D562A59"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16.913.400 </w:t>
            </w:r>
          </w:p>
        </w:tc>
        <w:tc>
          <w:tcPr>
            <w:tcW w:w="519" w:type="pct"/>
            <w:tcBorders>
              <w:top w:val="nil"/>
              <w:left w:val="nil"/>
              <w:bottom w:val="single" w:sz="4" w:space="0" w:color="000000"/>
              <w:right w:val="single" w:sz="4" w:space="0" w:color="000000"/>
            </w:tcBorders>
            <w:shd w:val="clear" w:color="auto" w:fill="auto"/>
            <w:noWrap/>
            <w:vAlign w:val="center"/>
            <w:hideMark/>
          </w:tcPr>
          <w:p w14:paraId="188BB3E2" w14:textId="6254542C"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(2.370.140)</w:t>
            </w:r>
          </w:p>
        </w:tc>
      </w:tr>
      <w:tr w:rsidR="00715A7F" w:rsidRPr="00715A7F" w14:paraId="08BCF1EC" w14:textId="77777777" w:rsidTr="00015660">
        <w:trPr>
          <w:trHeight w:val="255"/>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5B7B6227" w14:textId="77777777"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eastAsia="Times New Roman" w:hAnsi="Arial Narrow" w:cs="Arial"/>
                <w:color w:val="000000"/>
                <w:sz w:val="16"/>
                <w:szCs w:val="16"/>
                <w:lang w:eastAsia="es-CO"/>
              </w:rPr>
              <w:t xml:space="preserve"> Acueducto y Alcantarillado </w:t>
            </w:r>
          </w:p>
        </w:tc>
        <w:tc>
          <w:tcPr>
            <w:tcW w:w="474" w:type="pct"/>
            <w:tcBorders>
              <w:top w:val="nil"/>
              <w:left w:val="nil"/>
              <w:bottom w:val="single" w:sz="4" w:space="0" w:color="000000"/>
              <w:right w:val="single" w:sz="4" w:space="0" w:color="000000"/>
            </w:tcBorders>
            <w:shd w:val="clear" w:color="DBE5F1" w:fill="DBE5F1"/>
            <w:noWrap/>
            <w:vAlign w:val="center"/>
            <w:hideMark/>
          </w:tcPr>
          <w:p w14:paraId="277160FD" w14:textId="78A395A5"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1.141.310 </w:t>
            </w:r>
          </w:p>
        </w:tc>
        <w:tc>
          <w:tcPr>
            <w:tcW w:w="474" w:type="pct"/>
            <w:tcBorders>
              <w:top w:val="nil"/>
              <w:left w:val="nil"/>
              <w:bottom w:val="single" w:sz="4" w:space="0" w:color="000000"/>
              <w:right w:val="single" w:sz="4" w:space="0" w:color="000000"/>
            </w:tcBorders>
            <w:shd w:val="clear" w:color="DBE5F1" w:fill="DBE5F1"/>
            <w:noWrap/>
            <w:vAlign w:val="center"/>
            <w:hideMark/>
          </w:tcPr>
          <w:p w14:paraId="43A29630" w14:textId="39D3EC30"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125.620 </w:t>
            </w:r>
          </w:p>
        </w:tc>
        <w:tc>
          <w:tcPr>
            <w:tcW w:w="474" w:type="pct"/>
            <w:tcBorders>
              <w:top w:val="nil"/>
              <w:left w:val="nil"/>
              <w:bottom w:val="single" w:sz="4" w:space="0" w:color="000000"/>
              <w:right w:val="single" w:sz="4" w:space="0" w:color="000000"/>
            </w:tcBorders>
            <w:shd w:val="clear" w:color="DBE5F1" w:fill="DBE5F1"/>
            <w:noWrap/>
            <w:vAlign w:val="center"/>
            <w:hideMark/>
          </w:tcPr>
          <w:p w14:paraId="4F6885D4" w14:textId="5C9BD536"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2.011.840 </w:t>
            </w:r>
          </w:p>
        </w:tc>
        <w:tc>
          <w:tcPr>
            <w:tcW w:w="474" w:type="pct"/>
            <w:tcBorders>
              <w:top w:val="nil"/>
              <w:left w:val="nil"/>
              <w:bottom w:val="single" w:sz="4" w:space="0" w:color="000000"/>
              <w:right w:val="single" w:sz="4" w:space="0" w:color="000000"/>
            </w:tcBorders>
            <w:shd w:val="clear" w:color="FDE9D9" w:fill="FDE9D9"/>
            <w:noWrap/>
            <w:vAlign w:val="center"/>
            <w:hideMark/>
          </w:tcPr>
          <w:p w14:paraId="77E30069" w14:textId="3ECCD9A1"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142.288 </w:t>
            </w:r>
          </w:p>
        </w:tc>
        <w:tc>
          <w:tcPr>
            <w:tcW w:w="474" w:type="pct"/>
            <w:tcBorders>
              <w:top w:val="nil"/>
              <w:left w:val="nil"/>
              <w:bottom w:val="single" w:sz="4" w:space="0" w:color="000000"/>
              <w:right w:val="single" w:sz="4" w:space="0" w:color="000000"/>
            </w:tcBorders>
            <w:shd w:val="clear" w:color="FDE9D9" w:fill="FDE9D9"/>
            <w:noWrap/>
            <w:vAlign w:val="center"/>
            <w:hideMark/>
          </w:tcPr>
          <w:p w14:paraId="5A93B9A6" w14:textId="64A75298"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   </w:t>
            </w:r>
          </w:p>
        </w:tc>
        <w:tc>
          <w:tcPr>
            <w:tcW w:w="474" w:type="pct"/>
            <w:tcBorders>
              <w:top w:val="nil"/>
              <w:left w:val="nil"/>
              <w:bottom w:val="single" w:sz="4" w:space="0" w:color="000000"/>
              <w:right w:val="single" w:sz="4" w:space="0" w:color="000000"/>
            </w:tcBorders>
            <w:shd w:val="clear" w:color="FDE9D9" w:fill="FDE9D9"/>
            <w:noWrap/>
            <w:vAlign w:val="center"/>
            <w:hideMark/>
          </w:tcPr>
          <w:p w14:paraId="7045F8BB" w14:textId="004B338B"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1.650.948 </w:t>
            </w:r>
          </w:p>
        </w:tc>
        <w:tc>
          <w:tcPr>
            <w:tcW w:w="474" w:type="pct"/>
            <w:tcBorders>
              <w:top w:val="nil"/>
              <w:left w:val="nil"/>
              <w:bottom w:val="single" w:sz="4" w:space="0" w:color="000000"/>
              <w:right w:val="single" w:sz="4" w:space="0" w:color="000000"/>
            </w:tcBorders>
            <w:shd w:val="clear" w:color="auto" w:fill="auto"/>
            <w:noWrap/>
            <w:vAlign w:val="center"/>
            <w:hideMark/>
          </w:tcPr>
          <w:p w14:paraId="47641F8F" w14:textId="3E895EB4"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3.278.770 </w:t>
            </w:r>
          </w:p>
        </w:tc>
        <w:tc>
          <w:tcPr>
            <w:tcW w:w="474" w:type="pct"/>
            <w:tcBorders>
              <w:top w:val="nil"/>
              <w:left w:val="nil"/>
              <w:bottom w:val="single" w:sz="4" w:space="0" w:color="000000"/>
              <w:right w:val="single" w:sz="4" w:space="0" w:color="000000"/>
            </w:tcBorders>
            <w:shd w:val="clear" w:color="auto" w:fill="auto"/>
            <w:noWrap/>
            <w:vAlign w:val="center"/>
            <w:hideMark/>
          </w:tcPr>
          <w:p w14:paraId="671B9414" w14:textId="065152EE"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1.793.236 </w:t>
            </w:r>
          </w:p>
        </w:tc>
        <w:tc>
          <w:tcPr>
            <w:tcW w:w="519" w:type="pct"/>
            <w:tcBorders>
              <w:top w:val="nil"/>
              <w:left w:val="nil"/>
              <w:bottom w:val="single" w:sz="4" w:space="0" w:color="000000"/>
              <w:right w:val="single" w:sz="4" w:space="0" w:color="000000"/>
            </w:tcBorders>
            <w:shd w:val="clear" w:color="auto" w:fill="auto"/>
            <w:noWrap/>
            <w:vAlign w:val="center"/>
            <w:hideMark/>
          </w:tcPr>
          <w:p w14:paraId="280CA905" w14:textId="5894C11B"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(1.485.534)</w:t>
            </w:r>
          </w:p>
        </w:tc>
      </w:tr>
      <w:tr w:rsidR="00715A7F" w:rsidRPr="00715A7F" w14:paraId="4F7519B2" w14:textId="77777777" w:rsidTr="00015660">
        <w:trPr>
          <w:trHeight w:val="255"/>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53999AB0" w14:textId="77777777"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eastAsia="Times New Roman" w:hAnsi="Arial Narrow" w:cs="Arial"/>
                <w:color w:val="000000"/>
                <w:sz w:val="16"/>
                <w:szCs w:val="16"/>
                <w:lang w:eastAsia="es-CO"/>
              </w:rPr>
              <w:t xml:space="preserve"> Aseo </w:t>
            </w:r>
          </w:p>
        </w:tc>
        <w:tc>
          <w:tcPr>
            <w:tcW w:w="474" w:type="pct"/>
            <w:tcBorders>
              <w:top w:val="nil"/>
              <w:left w:val="nil"/>
              <w:bottom w:val="single" w:sz="4" w:space="0" w:color="000000"/>
              <w:right w:val="single" w:sz="4" w:space="0" w:color="000000"/>
            </w:tcBorders>
            <w:shd w:val="clear" w:color="DBE5F1" w:fill="DBE5F1"/>
            <w:noWrap/>
            <w:vAlign w:val="center"/>
            <w:hideMark/>
          </w:tcPr>
          <w:p w14:paraId="46D0355E" w14:textId="52F0D08F"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1.906.630 </w:t>
            </w:r>
          </w:p>
        </w:tc>
        <w:tc>
          <w:tcPr>
            <w:tcW w:w="474" w:type="pct"/>
            <w:tcBorders>
              <w:top w:val="nil"/>
              <w:left w:val="nil"/>
              <w:bottom w:val="single" w:sz="4" w:space="0" w:color="000000"/>
              <w:right w:val="single" w:sz="4" w:space="0" w:color="000000"/>
            </w:tcBorders>
            <w:shd w:val="clear" w:color="DBE5F1" w:fill="DBE5F1"/>
            <w:noWrap/>
            <w:vAlign w:val="center"/>
            <w:hideMark/>
          </w:tcPr>
          <w:p w14:paraId="3C9C3269" w14:textId="270863D5"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263.770 </w:t>
            </w:r>
          </w:p>
        </w:tc>
        <w:tc>
          <w:tcPr>
            <w:tcW w:w="474" w:type="pct"/>
            <w:tcBorders>
              <w:top w:val="nil"/>
              <w:left w:val="nil"/>
              <w:bottom w:val="single" w:sz="4" w:space="0" w:color="000000"/>
              <w:right w:val="single" w:sz="4" w:space="0" w:color="000000"/>
            </w:tcBorders>
            <w:shd w:val="clear" w:color="DBE5F1" w:fill="DBE5F1"/>
            <w:noWrap/>
            <w:vAlign w:val="center"/>
            <w:hideMark/>
          </w:tcPr>
          <w:p w14:paraId="4F46C920" w14:textId="4E80B8D9"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257.790 </w:t>
            </w:r>
          </w:p>
        </w:tc>
        <w:tc>
          <w:tcPr>
            <w:tcW w:w="474" w:type="pct"/>
            <w:tcBorders>
              <w:top w:val="nil"/>
              <w:left w:val="nil"/>
              <w:bottom w:val="single" w:sz="4" w:space="0" w:color="000000"/>
              <w:right w:val="single" w:sz="4" w:space="0" w:color="000000"/>
            </w:tcBorders>
            <w:shd w:val="clear" w:color="FDE9D9" w:fill="FDE9D9"/>
            <w:noWrap/>
            <w:vAlign w:val="center"/>
            <w:hideMark/>
          </w:tcPr>
          <w:p w14:paraId="699EA870" w14:textId="2C91D2B9"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204.390 </w:t>
            </w:r>
          </w:p>
        </w:tc>
        <w:tc>
          <w:tcPr>
            <w:tcW w:w="474" w:type="pct"/>
            <w:tcBorders>
              <w:top w:val="nil"/>
              <w:left w:val="nil"/>
              <w:bottom w:val="single" w:sz="4" w:space="0" w:color="000000"/>
              <w:right w:val="single" w:sz="4" w:space="0" w:color="000000"/>
            </w:tcBorders>
            <w:shd w:val="clear" w:color="FDE9D9" w:fill="FDE9D9"/>
            <w:noWrap/>
            <w:vAlign w:val="center"/>
            <w:hideMark/>
          </w:tcPr>
          <w:p w14:paraId="06B0CC66" w14:textId="50968484"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254.300 </w:t>
            </w:r>
          </w:p>
        </w:tc>
        <w:tc>
          <w:tcPr>
            <w:tcW w:w="474" w:type="pct"/>
            <w:tcBorders>
              <w:top w:val="nil"/>
              <w:left w:val="nil"/>
              <w:bottom w:val="single" w:sz="4" w:space="0" w:color="000000"/>
              <w:right w:val="single" w:sz="4" w:space="0" w:color="000000"/>
            </w:tcBorders>
            <w:shd w:val="clear" w:color="FDE9D9" w:fill="FDE9D9"/>
            <w:noWrap/>
            <w:vAlign w:val="center"/>
            <w:hideMark/>
          </w:tcPr>
          <w:p w14:paraId="479E1442" w14:textId="32563E59"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304.550 </w:t>
            </w:r>
          </w:p>
        </w:tc>
        <w:tc>
          <w:tcPr>
            <w:tcW w:w="474" w:type="pct"/>
            <w:tcBorders>
              <w:top w:val="nil"/>
              <w:left w:val="nil"/>
              <w:bottom w:val="single" w:sz="4" w:space="0" w:color="000000"/>
              <w:right w:val="single" w:sz="4" w:space="0" w:color="000000"/>
            </w:tcBorders>
            <w:shd w:val="clear" w:color="auto" w:fill="auto"/>
            <w:noWrap/>
            <w:vAlign w:val="center"/>
            <w:hideMark/>
          </w:tcPr>
          <w:p w14:paraId="167C1274" w14:textId="467372DA"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2.428.190 </w:t>
            </w:r>
          </w:p>
        </w:tc>
        <w:tc>
          <w:tcPr>
            <w:tcW w:w="474" w:type="pct"/>
            <w:tcBorders>
              <w:top w:val="nil"/>
              <w:left w:val="nil"/>
              <w:bottom w:val="single" w:sz="4" w:space="0" w:color="000000"/>
              <w:right w:val="single" w:sz="4" w:space="0" w:color="000000"/>
            </w:tcBorders>
            <w:shd w:val="clear" w:color="auto" w:fill="auto"/>
            <w:noWrap/>
            <w:vAlign w:val="center"/>
            <w:hideMark/>
          </w:tcPr>
          <w:p w14:paraId="30DCA3E3" w14:textId="556086BC"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763.240 </w:t>
            </w:r>
          </w:p>
        </w:tc>
        <w:tc>
          <w:tcPr>
            <w:tcW w:w="519" w:type="pct"/>
            <w:tcBorders>
              <w:top w:val="nil"/>
              <w:left w:val="nil"/>
              <w:bottom w:val="single" w:sz="4" w:space="0" w:color="000000"/>
              <w:right w:val="single" w:sz="4" w:space="0" w:color="000000"/>
            </w:tcBorders>
            <w:shd w:val="clear" w:color="auto" w:fill="auto"/>
            <w:noWrap/>
            <w:vAlign w:val="center"/>
            <w:hideMark/>
          </w:tcPr>
          <w:p w14:paraId="1B881AB4" w14:textId="5743A0FD"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(1.664.950)</w:t>
            </w:r>
          </w:p>
        </w:tc>
      </w:tr>
      <w:tr w:rsidR="00715A7F" w:rsidRPr="00715A7F" w14:paraId="05CEFB75" w14:textId="77777777" w:rsidTr="00015660">
        <w:trPr>
          <w:trHeight w:val="988"/>
        </w:trPr>
        <w:tc>
          <w:tcPr>
            <w:tcW w:w="692" w:type="pct"/>
            <w:tcBorders>
              <w:top w:val="nil"/>
              <w:left w:val="single" w:sz="4" w:space="0" w:color="000000"/>
              <w:bottom w:val="single" w:sz="4" w:space="0" w:color="000000"/>
              <w:right w:val="single" w:sz="4" w:space="0" w:color="000000"/>
            </w:tcBorders>
            <w:shd w:val="clear" w:color="auto" w:fill="auto"/>
            <w:vAlign w:val="center"/>
            <w:hideMark/>
          </w:tcPr>
          <w:p w14:paraId="5A67A53E" w14:textId="77777777"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eastAsia="Times New Roman" w:hAnsi="Arial Narrow" w:cs="Arial"/>
                <w:color w:val="000000"/>
                <w:sz w:val="16"/>
                <w:szCs w:val="16"/>
                <w:lang w:eastAsia="es-CO"/>
              </w:rPr>
              <w:lastRenderedPageBreak/>
              <w:t xml:space="preserve"> Proyecto Fortalecimiento y desarrollo de la gestión institucional / Fortalecimiento de la gestión del Instituto Distrital de Patrimonio Cultural de Bogotá </w:t>
            </w:r>
          </w:p>
        </w:tc>
        <w:tc>
          <w:tcPr>
            <w:tcW w:w="474" w:type="pct"/>
            <w:tcBorders>
              <w:top w:val="nil"/>
              <w:left w:val="nil"/>
              <w:bottom w:val="single" w:sz="4" w:space="0" w:color="000000"/>
              <w:right w:val="single" w:sz="4" w:space="0" w:color="000000"/>
            </w:tcBorders>
            <w:shd w:val="clear" w:color="DBE5F1" w:fill="DBE5F1"/>
            <w:noWrap/>
            <w:vAlign w:val="center"/>
            <w:hideMark/>
          </w:tcPr>
          <w:p w14:paraId="553B24B9" w14:textId="560D16B3"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4.701.730 </w:t>
            </w:r>
          </w:p>
        </w:tc>
        <w:tc>
          <w:tcPr>
            <w:tcW w:w="474" w:type="pct"/>
            <w:tcBorders>
              <w:top w:val="nil"/>
              <w:left w:val="nil"/>
              <w:bottom w:val="single" w:sz="4" w:space="0" w:color="000000"/>
              <w:right w:val="single" w:sz="4" w:space="0" w:color="000000"/>
            </w:tcBorders>
            <w:shd w:val="clear" w:color="DBE5F1" w:fill="DBE5F1"/>
            <w:noWrap/>
            <w:vAlign w:val="center"/>
            <w:hideMark/>
          </w:tcPr>
          <w:p w14:paraId="58FCA7F2" w14:textId="7EDAA15F"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5.290.600 </w:t>
            </w:r>
          </w:p>
        </w:tc>
        <w:tc>
          <w:tcPr>
            <w:tcW w:w="474" w:type="pct"/>
            <w:tcBorders>
              <w:top w:val="nil"/>
              <w:left w:val="nil"/>
              <w:bottom w:val="single" w:sz="4" w:space="0" w:color="000000"/>
              <w:right w:val="single" w:sz="4" w:space="0" w:color="000000"/>
            </w:tcBorders>
            <w:shd w:val="clear" w:color="DBE5F1" w:fill="DBE5F1"/>
            <w:noWrap/>
            <w:vAlign w:val="center"/>
            <w:hideMark/>
          </w:tcPr>
          <w:p w14:paraId="6FC3C77A" w14:textId="1DA613D2"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6.852.630 </w:t>
            </w:r>
          </w:p>
        </w:tc>
        <w:tc>
          <w:tcPr>
            <w:tcW w:w="474" w:type="pct"/>
            <w:tcBorders>
              <w:top w:val="nil"/>
              <w:left w:val="nil"/>
              <w:bottom w:val="single" w:sz="4" w:space="0" w:color="000000"/>
              <w:right w:val="single" w:sz="4" w:space="0" w:color="000000"/>
            </w:tcBorders>
            <w:shd w:val="clear" w:color="FDE9D9" w:fill="FDE9D9"/>
            <w:noWrap/>
            <w:vAlign w:val="center"/>
            <w:hideMark/>
          </w:tcPr>
          <w:p w14:paraId="44C887FC" w14:textId="1A654AF8"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5.303.150 </w:t>
            </w:r>
          </w:p>
        </w:tc>
        <w:tc>
          <w:tcPr>
            <w:tcW w:w="474" w:type="pct"/>
            <w:tcBorders>
              <w:top w:val="nil"/>
              <w:left w:val="nil"/>
              <w:bottom w:val="single" w:sz="4" w:space="0" w:color="000000"/>
              <w:right w:val="single" w:sz="4" w:space="0" w:color="000000"/>
            </w:tcBorders>
            <w:shd w:val="clear" w:color="FDE9D9" w:fill="FDE9D9"/>
            <w:noWrap/>
            <w:vAlign w:val="center"/>
            <w:hideMark/>
          </w:tcPr>
          <w:p w14:paraId="5C15A157" w14:textId="1EAC425F"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5.073.984 </w:t>
            </w:r>
          </w:p>
        </w:tc>
        <w:tc>
          <w:tcPr>
            <w:tcW w:w="474" w:type="pct"/>
            <w:tcBorders>
              <w:top w:val="nil"/>
              <w:left w:val="nil"/>
              <w:bottom w:val="single" w:sz="4" w:space="0" w:color="000000"/>
              <w:right w:val="single" w:sz="4" w:space="0" w:color="000000"/>
            </w:tcBorders>
            <w:shd w:val="clear" w:color="FDE9D9" w:fill="FDE9D9"/>
            <w:noWrap/>
            <w:vAlign w:val="center"/>
            <w:hideMark/>
          </w:tcPr>
          <w:p w14:paraId="44DB7BCB" w14:textId="756669F2"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5.736.145 </w:t>
            </w:r>
          </w:p>
        </w:tc>
        <w:tc>
          <w:tcPr>
            <w:tcW w:w="474" w:type="pct"/>
            <w:tcBorders>
              <w:top w:val="nil"/>
              <w:left w:val="nil"/>
              <w:bottom w:val="single" w:sz="4" w:space="0" w:color="000000"/>
              <w:right w:val="single" w:sz="4" w:space="0" w:color="000000"/>
            </w:tcBorders>
            <w:shd w:val="clear" w:color="auto" w:fill="auto"/>
            <w:noWrap/>
            <w:vAlign w:val="center"/>
            <w:hideMark/>
          </w:tcPr>
          <w:p w14:paraId="3328F7E2" w14:textId="6D134906"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16.844.960 </w:t>
            </w:r>
          </w:p>
        </w:tc>
        <w:tc>
          <w:tcPr>
            <w:tcW w:w="474" w:type="pct"/>
            <w:tcBorders>
              <w:top w:val="nil"/>
              <w:left w:val="nil"/>
              <w:bottom w:val="single" w:sz="4" w:space="0" w:color="000000"/>
              <w:right w:val="single" w:sz="4" w:space="0" w:color="000000"/>
            </w:tcBorders>
            <w:shd w:val="clear" w:color="auto" w:fill="auto"/>
            <w:noWrap/>
            <w:vAlign w:val="center"/>
            <w:hideMark/>
          </w:tcPr>
          <w:p w14:paraId="45BA6A79" w14:textId="54DCFCCD"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16.113.279 </w:t>
            </w:r>
          </w:p>
        </w:tc>
        <w:tc>
          <w:tcPr>
            <w:tcW w:w="519" w:type="pct"/>
            <w:tcBorders>
              <w:top w:val="nil"/>
              <w:left w:val="nil"/>
              <w:bottom w:val="single" w:sz="4" w:space="0" w:color="000000"/>
              <w:right w:val="single" w:sz="4" w:space="0" w:color="000000"/>
            </w:tcBorders>
            <w:shd w:val="clear" w:color="auto" w:fill="auto"/>
            <w:noWrap/>
            <w:vAlign w:val="center"/>
            <w:hideMark/>
          </w:tcPr>
          <w:p w14:paraId="1B9387D7" w14:textId="3C0461CC" w:rsidR="00715A7F" w:rsidRPr="00715A7F" w:rsidRDefault="00715A7F" w:rsidP="00715A7F">
            <w:pPr>
              <w:rPr>
                <w:rFonts w:ascii="Arial Narrow" w:eastAsia="Times New Roman" w:hAnsi="Arial Narrow" w:cs="Arial"/>
                <w:color w:val="000000"/>
                <w:sz w:val="16"/>
                <w:szCs w:val="16"/>
                <w:lang w:eastAsia="es-CO"/>
              </w:rPr>
            </w:pPr>
            <w:r w:rsidRPr="00715A7F">
              <w:rPr>
                <w:rFonts w:ascii="Arial Narrow" w:hAnsi="Arial Narrow" w:cs="Arial"/>
                <w:color w:val="000000"/>
                <w:sz w:val="16"/>
                <w:szCs w:val="16"/>
              </w:rPr>
              <w:t xml:space="preserve">       (731.681)</w:t>
            </w:r>
          </w:p>
        </w:tc>
      </w:tr>
      <w:tr w:rsidR="00715A7F" w:rsidRPr="00715A7F" w14:paraId="366ABAE3" w14:textId="77777777" w:rsidTr="00015660">
        <w:trPr>
          <w:trHeight w:val="255"/>
        </w:trPr>
        <w:tc>
          <w:tcPr>
            <w:tcW w:w="692" w:type="pct"/>
            <w:tcBorders>
              <w:top w:val="nil"/>
              <w:left w:val="single" w:sz="4" w:space="0" w:color="000000"/>
              <w:bottom w:val="single" w:sz="4" w:space="0" w:color="000000"/>
              <w:right w:val="single" w:sz="4" w:space="0" w:color="000000"/>
            </w:tcBorders>
            <w:shd w:val="clear" w:color="auto" w:fill="auto"/>
            <w:noWrap/>
            <w:vAlign w:val="center"/>
            <w:hideMark/>
          </w:tcPr>
          <w:p w14:paraId="70915B64" w14:textId="77777777"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eastAsia="Times New Roman" w:hAnsi="Arial Narrow" w:cs="Arial"/>
                <w:b/>
                <w:bCs/>
                <w:color w:val="000000"/>
                <w:sz w:val="16"/>
                <w:szCs w:val="16"/>
                <w:lang w:eastAsia="es-CO"/>
              </w:rPr>
              <w:t>TOTAL</w:t>
            </w:r>
          </w:p>
        </w:tc>
        <w:tc>
          <w:tcPr>
            <w:tcW w:w="474" w:type="pct"/>
            <w:tcBorders>
              <w:top w:val="nil"/>
              <w:left w:val="nil"/>
              <w:bottom w:val="single" w:sz="4" w:space="0" w:color="000000"/>
              <w:right w:val="single" w:sz="4" w:space="0" w:color="000000"/>
            </w:tcBorders>
            <w:shd w:val="clear" w:color="DBE5F1" w:fill="DBE5F1"/>
            <w:noWrap/>
            <w:vAlign w:val="center"/>
            <w:hideMark/>
          </w:tcPr>
          <w:p w14:paraId="136C0BC2" w14:textId="24F7AEAF"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18.677.500 </w:t>
            </w:r>
          </w:p>
        </w:tc>
        <w:tc>
          <w:tcPr>
            <w:tcW w:w="474" w:type="pct"/>
            <w:tcBorders>
              <w:top w:val="nil"/>
              <w:left w:val="nil"/>
              <w:bottom w:val="single" w:sz="4" w:space="0" w:color="000000"/>
              <w:right w:val="single" w:sz="4" w:space="0" w:color="000000"/>
            </w:tcBorders>
            <w:shd w:val="clear" w:color="DBE5F1" w:fill="DBE5F1"/>
            <w:noWrap/>
            <w:vAlign w:val="center"/>
            <w:hideMark/>
          </w:tcPr>
          <w:p w14:paraId="330BD1D7" w14:textId="78815F83"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7.205.970 </w:t>
            </w:r>
          </w:p>
        </w:tc>
        <w:tc>
          <w:tcPr>
            <w:tcW w:w="474" w:type="pct"/>
            <w:tcBorders>
              <w:top w:val="nil"/>
              <w:left w:val="nil"/>
              <w:bottom w:val="single" w:sz="4" w:space="0" w:color="000000"/>
              <w:right w:val="single" w:sz="4" w:space="0" w:color="000000"/>
            </w:tcBorders>
            <w:shd w:val="clear" w:color="DBE5F1" w:fill="DBE5F1"/>
            <w:noWrap/>
            <w:vAlign w:val="center"/>
            <w:hideMark/>
          </w:tcPr>
          <w:p w14:paraId="677E0011" w14:textId="511520BC"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15.951.990 </w:t>
            </w:r>
          </w:p>
        </w:tc>
        <w:tc>
          <w:tcPr>
            <w:tcW w:w="474" w:type="pct"/>
            <w:tcBorders>
              <w:top w:val="nil"/>
              <w:left w:val="nil"/>
              <w:bottom w:val="single" w:sz="4" w:space="0" w:color="000000"/>
              <w:right w:val="single" w:sz="4" w:space="0" w:color="000000"/>
            </w:tcBorders>
            <w:shd w:val="clear" w:color="FDE9D9" w:fill="FDE9D9"/>
            <w:noWrap/>
            <w:vAlign w:val="center"/>
            <w:hideMark/>
          </w:tcPr>
          <w:p w14:paraId="67D579A5" w14:textId="32D3F5B9"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9.245.168 </w:t>
            </w:r>
          </w:p>
        </w:tc>
        <w:tc>
          <w:tcPr>
            <w:tcW w:w="474" w:type="pct"/>
            <w:tcBorders>
              <w:top w:val="nil"/>
              <w:left w:val="nil"/>
              <w:bottom w:val="single" w:sz="4" w:space="0" w:color="000000"/>
              <w:right w:val="single" w:sz="4" w:space="0" w:color="000000"/>
            </w:tcBorders>
            <w:shd w:val="clear" w:color="FDE9D9" w:fill="FDE9D9"/>
            <w:noWrap/>
            <w:vAlign w:val="center"/>
            <w:hideMark/>
          </w:tcPr>
          <w:p w14:paraId="03A8973F" w14:textId="2CB6CFDF"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12.442.454 </w:t>
            </w:r>
          </w:p>
        </w:tc>
        <w:tc>
          <w:tcPr>
            <w:tcW w:w="474" w:type="pct"/>
            <w:tcBorders>
              <w:top w:val="nil"/>
              <w:left w:val="nil"/>
              <w:bottom w:val="single" w:sz="4" w:space="0" w:color="000000"/>
              <w:right w:val="single" w:sz="4" w:space="0" w:color="000000"/>
            </w:tcBorders>
            <w:shd w:val="clear" w:color="FDE9D9" w:fill="FDE9D9"/>
            <w:noWrap/>
            <w:vAlign w:val="center"/>
            <w:hideMark/>
          </w:tcPr>
          <w:p w14:paraId="75BEF95E" w14:textId="5975FA23"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13.895.533 </w:t>
            </w:r>
          </w:p>
        </w:tc>
        <w:tc>
          <w:tcPr>
            <w:tcW w:w="474" w:type="pct"/>
            <w:tcBorders>
              <w:top w:val="nil"/>
              <w:left w:val="nil"/>
              <w:bottom w:val="single" w:sz="4" w:space="0" w:color="000000"/>
              <w:right w:val="single" w:sz="4" w:space="0" w:color="000000"/>
            </w:tcBorders>
            <w:shd w:val="clear" w:color="auto" w:fill="auto"/>
            <w:noWrap/>
            <w:vAlign w:val="center"/>
            <w:hideMark/>
          </w:tcPr>
          <w:p w14:paraId="3A716ECE" w14:textId="0018BD00"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41.835.460 </w:t>
            </w:r>
          </w:p>
        </w:tc>
        <w:tc>
          <w:tcPr>
            <w:tcW w:w="474" w:type="pct"/>
            <w:tcBorders>
              <w:top w:val="nil"/>
              <w:left w:val="nil"/>
              <w:bottom w:val="single" w:sz="4" w:space="0" w:color="000000"/>
              <w:right w:val="single" w:sz="4" w:space="0" w:color="000000"/>
            </w:tcBorders>
            <w:shd w:val="clear" w:color="auto" w:fill="auto"/>
            <w:noWrap/>
            <w:vAlign w:val="center"/>
            <w:hideMark/>
          </w:tcPr>
          <w:p w14:paraId="2CB49ECB" w14:textId="2A690FD3"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35.583.155 </w:t>
            </w:r>
          </w:p>
        </w:tc>
        <w:tc>
          <w:tcPr>
            <w:tcW w:w="519" w:type="pct"/>
            <w:tcBorders>
              <w:top w:val="nil"/>
              <w:left w:val="nil"/>
              <w:bottom w:val="single" w:sz="4" w:space="0" w:color="000000"/>
              <w:right w:val="single" w:sz="4" w:space="0" w:color="000000"/>
            </w:tcBorders>
            <w:shd w:val="clear" w:color="auto" w:fill="auto"/>
            <w:noWrap/>
            <w:vAlign w:val="center"/>
            <w:hideMark/>
          </w:tcPr>
          <w:p w14:paraId="283C8FF0" w14:textId="1ED2B30A" w:rsidR="00715A7F" w:rsidRPr="00715A7F" w:rsidRDefault="00715A7F" w:rsidP="00715A7F">
            <w:pPr>
              <w:rPr>
                <w:rFonts w:ascii="Arial Narrow" w:eastAsia="Times New Roman" w:hAnsi="Arial Narrow" w:cs="Arial"/>
                <w:b/>
                <w:bCs/>
                <w:color w:val="000000"/>
                <w:sz w:val="16"/>
                <w:szCs w:val="16"/>
                <w:lang w:eastAsia="es-CO"/>
              </w:rPr>
            </w:pPr>
            <w:r w:rsidRPr="00715A7F">
              <w:rPr>
                <w:rFonts w:ascii="Arial Narrow" w:hAnsi="Arial Narrow" w:cs="Arial"/>
                <w:b/>
                <w:bCs/>
                <w:color w:val="000000"/>
                <w:sz w:val="16"/>
                <w:szCs w:val="16"/>
              </w:rPr>
              <w:t xml:space="preserve">     (6.252.305)</w:t>
            </w:r>
          </w:p>
        </w:tc>
      </w:tr>
    </w:tbl>
    <w:p w14:paraId="4A085835" w14:textId="77777777" w:rsidR="00533D5F" w:rsidRDefault="00533D5F" w:rsidP="00EB46FF">
      <w:pPr>
        <w:jc w:val="both"/>
        <w:rPr>
          <w:rFonts w:cs="Arial"/>
          <w:b/>
          <w:color w:val="000000"/>
        </w:rPr>
      </w:pPr>
    </w:p>
    <w:p w14:paraId="2FF40BE2" w14:textId="77777777" w:rsidR="00015660" w:rsidRPr="00715A7F" w:rsidRDefault="00015660" w:rsidP="00EB46FF">
      <w:pPr>
        <w:jc w:val="both"/>
        <w:rPr>
          <w:rFonts w:cs="Arial"/>
          <w:b/>
          <w:color w:val="000000"/>
        </w:rPr>
      </w:pPr>
    </w:p>
    <w:p w14:paraId="14CCE71E" w14:textId="77777777" w:rsidR="00EB46FF" w:rsidRPr="00715A7F" w:rsidRDefault="00EB46FF" w:rsidP="00AA2B29">
      <w:pPr>
        <w:pStyle w:val="Prrafodelista"/>
        <w:numPr>
          <w:ilvl w:val="1"/>
          <w:numId w:val="4"/>
        </w:numPr>
        <w:ind w:left="426"/>
        <w:jc w:val="both"/>
        <w:rPr>
          <w:rFonts w:cs="Arial"/>
          <w:bCs/>
          <w:i/>
          <w:color w:val="000000"/>
          <w:u w:val="single"/>
        </w:rPr>
      </w:pPr>
      <w:r w:rsidRPr="00715A7F">
        <w:rPr>
          <w:rFonts w:cs="Arial"/>
          <w:bCs/>
          <w:i/>
          <w:color w:val="000000"/>
          <w:u w:val="single"/>
        </w:rPr>
        <w:t xml:space="preserve">Gestión Ambiental </w:t>
      </w:r>
    </w:p>
    <w:p w14:paraId="13CB2B9D" w14:textId="77777777" w:rsidR="00EB46FF" w:rsidRPr="00715A7F" w:rsidRDefault="00EB46FF" w:rsidP="00EB46FF">
      <w:pPr>
        <w:pStyle w:val="Prrafodelista"/>
        <w:ind w:left="360"/>
        <w:rPr>
          <w:rFonts w:cs="Arial"/>
          <w:b/>
          <w:color w:val="000000"/>
        </w:rPr>
      </w:pPr>
    </w:p>
    <w:p w14:paraId="7454E4F9" w14:textId="77777777" w:rsidR="00EB46FF" w:rsidRPr="0069365B" w:rsidRDefault="00EB46FF" w:rsidP="009B68EB">
      <w:pPr>
        <w:pStyle w:val="Prrafodelista"/>
        <w:ind w:left="0"/>
        <w:jc w:val="both"/>
        <w:rPr>
          <w:rFonts w:cs="Arial"/>
          <w:color w:val="000000"/>
        </w:rPr>
      </w:pPr>
      <w:r w:rsidRPr="00715A7F">
        <w:rPr>
          <w:rFonts w:cs="Arial"/>
          <w:color w:val="000000"/>
        </w:rPr>
        <w:t>El IDPC cuenta con indicadores de agua, energía, papel, combustible y de residuos aprovechables, a los cuales se les realizó seguimiento mensual por parte de la Oficina Asesora de Planeación, con los siguientes resultados:</w:t>
      </w:r>
    </w:p>
    <w:p w14:paraId="77E11479" w14:textId="77777777" w:rsidR="00EB46FF" w:rsidRPr="0069365B" w:rsidRDefault="00EB46FF" w:rsidP="00EB46FF">
      <w:pPr>
        <w:pStyle w:val="Prrafodelista"/>
        <w:ind w:left="360"/>
        <w:rPr>
          <w:rFonts w:cs="Arial"/>
          <w:color w:val="000000"/>
        </w:rPr>
      </w:pPr>
    </w:p>
    <w:tbl>
      <w:tblPr>
        <w:tblW w:w="5640" w:type="dxa"/>
        <w:jc w:val="center"/>
        <w:tblCellMar>
          <w:left w:w="70" w:type="dxa"/>
          <w:right w:w="70" w:type="dxa"/>
        </w:tblCellMar>
        <w:tblLook w:val="04A0" w:firstRow="1" w:lastRow="0" w:firstColumn="1" w:lastColumn="0" w:noHBand="0" w:noVBand="1"/>
      </w:tblPr>
      <w:tblGrid>
        <w:gridCol w:w="3140"/>
        <w:gridCol w:w="1200"/>
        <w:gridCol w:w="1300"/>
      </w:tblGrid>
      <w:tr w:rsidR="00EB46FF" w:rsidRPr="0069365B" w14:paraId="47C76813" w14:textId="77777777" w:rsidTr="004564A7">
        <w:trPr>
          <w:trHeight w:val="330"/>
          <w:tblHeader/>
          <w:jc w:val="center"/>
        </w:trPr>
        <w:tc>
          <w:tcPr>
            <w:tcW w:w="3140" w:type="dxa"/>
            <w:tcBorders>
              <w:top w:val="single" w:sz="4" w:space="0" w:color="000000"/>
              <w:left w:val="single" w:sz="4" w:space="0" w:color="000000"/>
              <w:bottom w:val="single" w:sz="4" w:space="0" w:color="000000"/>
              <w:right w:val="single" w:sz="4" w:space="0" w:color="000000"/>
            </w:tcBorders>
            <w:shd w:val="clear" w:color="D8D8D8" w:fill="D8D8D8"/>
            <w:noWrap/>
            <w:vAlign w:val="center"/>
            <w:hideMark/>
          </w:tcPr>
          <w:p w14:paraId="2029DBC1" w14:textId="77777777" w:rsidR="00EB46FF" w:rsidRPr="0069365B" w:rsidRDefault="00EB46FF" w:rsidP="00EB46FF">
            <w:pPr>
              <w:jc w:val="center"/>
              <w:rPr>
                <w:rFonts w:ascii="Arial Narrow" w:eastAsia="Times New Roman" w:hAnsi="Arial Narrow" w:cs="Arial"/>
                <w:b/>
                <w:bCs/>
                <w:color w:val="000000"/>
                <w:szCs w:val="22"/>
                <w:lang w:eastAsia="es-CO"/>
              </w:rPr>
            </w:pPr>
            <w:r w:rsidRPr="0069365B">
              <w:rPr>
                <w:rFonts w:ascii="Arial Narrow" w:eastAsia="Times New Roman" w:hAnsi="Arial Narrow" w:cs="Arial"/>
                <w:b/>
                <w:bCs/>
                <w:color w:val="000000"/>
                <w:szCs w:val="22"/>
                <w:lang w:eastAsia="es-CO"/>
              </w:rPr>
              <w:t>Indicador</w:t>
            </w:r>
          </w:p>
        </w:tc>
        <w:tc>
          <w:tcPr>
            <w:tcW w:w="1200" w:type="dxa"/>
            <w:tcBorders>
              <w:top w:val="single" w:sz="4" w:space="0" w:color="000000"/>
              <w:left w:val="nil"/>
              <w:bottom w:val="single" w:sz="4" w:space="0" w:color="000000"/>
              <w:right w:val="single" w:sz="4" w:space="0" w:color="000000"/>
            </w:tcBorders>
            <w:shd w:val="clear" w:color="FF5050" w:fill="FF5050"/>
            <w:noWrap/>
            <w:vAlign w:val="center"/>
            <w:hideMark/>
          </w:tcPr>
          <w:p w14:paraId="00E02D78" w14:textId="77777777" w:rsidR="00EB46FF" w:rsidRPr="0069365B" w:rsidRDefault="00EB46FF" w:rsidP="00EB46FF">
            <w:pPr>
              <w:jc w:val="center"/>
              <w:rPr>
                <w:rFonts w:ascii="Arial Narrow" w:eastAsia="Times New Roman" w:hAnsi="Arial Narrow" w:cs="Arial"/>
                <w:b/>
                <w:bCs/>
                <w:color w:val="000000"/>
                <w:szCs w:val="22"/>
                <w:lang w:eastAsia="es-CO"/>
              </w:rPr>
            </w:pPr>
            <w:r w:rsidRPr="0069365B">
              <w:rPr>
                <w:rFonts w:ascii="Arial Narrow" w:eastAsia="Times New Roman" w:hAnsi="Arial Narrow" w:cs="Arial"/>
                <w:b/>
                <w:bCs/>
                <w:color w:val="000000"/>
                <w:szCs w:val="22"/>
                <w:lang w:eastAsia="es-CO"/>
              </w:rPr>
              <w:t>% Aumento</w:t>
            </w:r>
          </w:p>
        </w:tc>
        <w:tc>
          <w:tcPr>
            <w:tcW w:w="1300" w:type="dxa"/>
            <w:tcBorders>
              <w:top w:val="single" w:sz="4" w:space="0" w:color="000000"/>
              <w:left w:val="nil"/>
              <w:bottom w:val="single" w:sz="4" w:space="0" w:color="000000"/>
              <w:right w:val="single" w:sz="4" w:space="0" w:color="000000"/>
            </w:tcBorders>
            <w:shd w:val="clear" w:color="92D050" w:fill="92D050"/>
            <w:noWrap/>
            <w:vAlign w:val="center"/>
            <w:hideMark/>
          </w:tcPr>
          <w:p w14:paraId="333D0A78" w14:textId="77777777" w:rsidR="00EB46FF" w:rsidRPr="0069365B" w:rsidRDefault="00EB46FF" w:rsidP="00EB46FF">
            <w:pPr>
              <w:jc w:val="center"/>
              <w:rPr>
                <w:rFonts w:ascii="Arial Narrow" w:eastAsia="Times New Roman" w:hAnsi="Arial Narrow" w:cs="Arial"/>
                <w:b/>
                <w:bCs/>
                <w:color w:val="000000"/>
                <w:szCs w:val="22"/>
                <w:lang w:eastAsia="es-CO"/>
              </w:rPr>
            </w:pPr>
            <w:r w:rsidRPr="0069365B">
              <w:rPr>
                <w:rFonts w:ascii="Arial Narrow" w:eastAsia="Times New Roman" w:hAnsi="Arial Narrow" w:cs="Arial"/>
                <w:b/>
                <w:bCs/>
                <w:color w:val="000000"/>
                <w:szCs w:val="22"/>
                <w:lang w:eastAsia="es-CO"/>
              </w:rPr>
              <w:t>% Reducción</w:t>
            </w:r>
          </w:p>
        </w:tc>
      </w:tr>
      <w:tr w:rsidR="00015660" w:rsidRPr="0069365B" w14:paraId="2B334E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47F07502" w14:textId="77777777" w:rsidR="00015660" w:rsidRPr="0069365B" w:rsidRDefault="00015660" w:rsidP="00015660">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Ahorro Eficiente de Agua</w:t>
            </w:r>
          </w:p>
        </w:tc>
        <w:tc>
          <w:tcPr>
            <w:tcW w:w="1200" w:type="dxa"/>
            <w:tcBorders>
              <w:top w:val="nil"/>
              <w:left w:val="nil"/>
              <w:bottom w:val="single" w:sz="4" w:space="0" w:color="000000"/>
              <w:right w:val="single" w:sz="4" w:space="0" w:color="000000"/>
            </w:tcBorders>
            <w:shd w:val="clear" w:color="FF5050" w:fill="FF5050"/>
            <w:noWrap/>
            <w:vAlign w:val="center"/>
            <w:hideMark/>
          </w:tcPr>
          <w:p w14:paraId="6EC5B6A0" w14:textId="27F8529A"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31FBFD5B" w14:textId="2EE8C2B6"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-28,79%</w:t>
            </w:r>
          </w:p>
        </w:tc>
      </w:tr>
      <w:tr w:rsidR="00015660" w:rsidRPr="0069365B" w14:paraId="5986EBD2"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6A63A20E" w14:textId="77777777" w:rsidR="00015660" w:rsidRPr="0069365B" w:rsidRDefault="00015660" w:rsidP="00015660">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Ahorro Eficiente de Energía</w:t>
            </w:r>
          </w:p>
        </w:tc>
        <w:tc>
          <w:tcPr>
            <w:tcW w:w="1200" w:type="dxa"/>
            <w:tcBorders>
              <w:top w:val="nil"/>
              <w:left w:val="nil"/>
              <w:bottom w:val="single" w:sz="4" w:space="0" w:color="000000"/>
              <w:right w:val="single" w:sz="4" w:space="0" w:color="000000"/>
            </w:tcBorders>
            <w:shd w:val="clear" w:color="FF5050" w:fill="FF5050"/>
            <w:noWrap/>
            <w:vAlign w:val="center"/>
            <w:hideMark/>
          </w:tcPr>
          <w:p w14:paraId="0B4CF624" w14:textId="57FA166F"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228B6AA4" w14:textId="74A230BD"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-2,22%</w:t>
            </w:r>
          </w:p>
        </w:tc>
      </w:tr>
      <w:tr w:rsidR="00015660" w:rsidRPr="0069365B" w14:paraId="6E89705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811B3C1" w14:textId="77777777" w:rsidR="00015660" w:rsidRPr="0069365B" w:rsidRDefault="00015660" w:rsidP="00015660">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Resmas de Papel</w:t>
            </w:r>
          </w:p>
        </w:tc>
        <w:tc>
          <w:tcPr>
            <w:tcW w:w="1200" w:type="dxa"/>
            <w:tcBorders>
              <w:top w:val="nil"/>
              <w:left w:val="nil"/>
              <w:bottom w:val="single" w:sz="4" w:space="0" w:color="000000"/>
              <w:right w:val="single" w:sz="4" w:space="0" w:color="000000"/>
            </w:tcBorders>
            <w:shd w:val="clear" w:color="FF5050" w:fill="FF5050"/>
            <w:noWrap/>
            <w:vAlign w:val="center"/>
            <w:hideMark/>
          </w:tcPr>
          <w:p w14:paraId="4A29AC22" w14:textId="39390BA8"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3BBD76F5" w14:textId="5D5DA716"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-25,45%</w:t>
            </w:r>
          </w:p>
        </w:tc>
      </w:tr>
      <w:tr w:rsidR="00015660" w:rsidRPr="0069365B" w14:paraId="123E5C35"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29A7A38E" w14:textId="77777777" w:rsidR="00015660" w:rsidRPr="0069365B" w:rsidRDefault="00015660" w:rsidP="00015660">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Consumo de Combustible</w:t>
            </w:r>
          </w:p>
        </w:tc>
        <w:tc>
          <w:tcPr>
            <w:tcW w:w="1200" w:type="dxa"/>
            <w:tcBorders>
              <w:top w:val="nil"/>
              <w:left w:val="nil"/>
              <w:bottom w:val="single" w:sz="4" w:space="0" w:color="000000"/>
              <w:right w:val="single" w:sz="4" w:space="0" w:color="000000"/>
            </w:tcBorders>
            <w:shd w:val="clear" w:color="FF5050" w:fill="FF5050"/>
            <w:noWrap/>
            <w:vAlign w:val="center"/>
            <w:hideMark/>
          </w:tcPr>
          <w:p w14:paraId="1F3A526F" w14:textId="64498B4B"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c>
          <w:tcPr>
            <w:tcW w:w="1300" w:type="dxa"/>
            <w:tcBorders>
              <w:top w:val="nil"/>
              <w:left w:val="nil"/>
              <w:bottom w:val="single" w:sz="4" w:space="0" w:color="000000"/>
              <w:right w:val="single" w:sz="4" w:space="0" w:color="000000"/>
            </w:tcBorders>
            <w:shd w:val="clear" w:color="92D050" w:fill="92D050"/>
            <w:noWrap/>
            <w:vAlign w:val="center"/>
            <w:hideMark/>
          </w:tcPr>
          <w:p w14:paraId="1B79299E" w14:textId="4A125C8D"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-6,54%</w:t>
            </w:r>
          </w:p>
        </w:tc>
      </w:tr>
      <w:tr w:rsidR="00015660" w:rsidRPr="0069365B" w14:paraId="76860E67" w14:textId="77777777" w:rsidTr="00EB46FF">
        <w:trPr>
          <w:trHeight w:val="330"/>
          <w:jc w:val="center"/>
        </w:trPr>
        <w:tc>
          <w:tcPr>
            <w:tcW w:w="3140" w:type="dxa"/>
            <w:tcBorders>
              <w:top w:val="nil"/>
              <w:left w:val="single" w:sz="4" w:space="0" w:color="000000"/>
              <w:bottom w:val="single" w:sz="4" w:space="0" w:color="000000"/>
              <w:right w:val="single" w:sz="4" w:space="0" w:color="000000"/>
            </w:tcBorders>
            <w:shd w:val="clear" w:color="auto" w:fill="auto"/>
            <w:noWrap/>
            <w:vAlign w:val="center"/>
            <w:hideMark/>
          </w:tcPr>
          <w:p w14:paraId="7D640D81" w14:textId="77777777" w:rsidR="00015660" w:rsidRPr="0069365B" w:rsidRDefault="00015660" w:rsidP="00015660">
            <w:pPr>
              <w:rPr>
                <w:rFonts w:ascii="Arial Narrow" w:eastAsia="Times New Roman" w:hAnsi="Arial Narrow" w:cs="Arial"/>
                <w:color w:val="000000"/>
                <w:szCs w:val="22"/>
                <w:lang w:eastAsia="es-CO"/>
              </w:rPr>
            </w:pPr>
            <w:r w:rsidRPr="0069365B">
              <w:rPr>
                <w:rFonts w:ascii="Arial Narrow" w:eastAsia="Times New Roman" w:hAnsi="Arial Narrow" w:cs="Arial"/>
                <w:color w:val="000000"/>
                <w:szCs w:val="22"/>
                <w:lang w:eastAsia="es-CO"/>
              </w:rPr>
              <w:t>Gestión de Residuos Aprovechables</w:t>
            </w:r>
          </w:p>
        </w:tc>
        <w:tc>
          <w:tcPr>
            <w:tcW w:w="1200" w:type="dxa"/>
            <w:tcBorders>
              <w:top w:val="nil"/>
              <w:left w:val="nil"/>
              <w:bottom w:val="single" w:sz="4" w:space="0" w:color="000000"/>
              <w:right w:val="single" w:sz="4" w:space="0" w:color="000000"/>
            </w:tcBorders>
            <w:shd w:val="clear" w:color="FF5050" w:fill="92D050"/>
            <w:noWrap/>
            <w:vAlign w:val="center"/>
            <w:hideMark/>
          </w:tcPr>
          <w:p w14:paraId="02670D2C" w14:textId="5F46FCB8"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69,60%</w:t>
            </w:r>
          </w:p>
        </w:tc>
        <w:tc>
          <w:tcPr>
            <w:tcW w:w="1300" w:type="dxa"/>
            <w:tcBorders>
              <w:top w:val="nil"/>
              <w:left w:val="nil"/>
              <w:bottom w:val="single" w:sz="4" w:space="0" w:color="000000"/>
              <w:right w:val="single" w:sz="4" w:space="0" w:color="000000"/>
            </w:tcBorders>
            <w:shd w:val="clear" w:color="92D050" w:fill="FF5050"/>
            <w:noWrap/>
            <w:vAlign w:val="center"/>
            <w:hideMark/>
          </w:tcPr>
          <w:p w14:paraId="4670F579" w14:textId="37383A1F" w:rsidR="00015660" w:rsidRPr="0069365B" w:rsidRDefault="00015660" w:rsidP="00015660">
            <w:pPr>
              <w:jc w:val="center"/>
              <w:rPr>
                <w:rFonts w:ascii="Arial Narrow" w:eastAsia="Times New Roman" w:hAnsi="Arial Narrow" w:cs="Arial"/>
                <w:color w:val="000000"/>
                <w:szCs w:val="22"/>
                <w:lang w:eastAsia="es-CO"/>
              </w:rPr>
            </w:pPr>
            <w:r>
              <w:rPr>
                <w:rFonts w:ascii="Arial Narrow" w:hAnsi="Arial Narrow" w:cs="Arial"/>
                <w:color w:val="000000"/>
                <w:szCs w:val="22"/>
              </w:rPr>
              <w:t>0,00%</w:t>
            </w:r>
          </w:p>
        </w:tc>
      </w:tr>
    </w:tbl>
    <w:p w14:paraId="059C269F" w14:textId="77777777" w:rsidR="00EB46FF" w:rsidRPr="0069365B" w:rsidRDefault="00EB46FF" w:rsidP="00EB46FF">
      <w:pPr>
        <w:pStyle w:val="Prrafodelista"/>
        <w:ind w:left="360"/>
        <w:rPr>
          <w:rFonts w:cs="Arial"/>
          <w:color w:val="000000"/>
        </w:rPr>
      </w:pPr>
    </w:p>
    <w:p w14:paraId="45723A39" w14:textId="77777777" w:rsidR="002D751C" w:rsidRPr="00C67D58" w:rsidRDefault="002D751C" w:rsidP="00FA2A22">
      <w:pPr>
        <w:jc w:val="both"/>
        <w:rPr>
          <w:rFonts w:cs="Arial"/>
          <w:color w:val="000000"/>
          <w:highlight w:val="yellow"/>
        </w:rPr>
      </w:pPr>
    </w:p>
    <w:p w14:paraId="5282456D" w14:textId="3FE2A22D" w:rsidR="00EB46FF" w:rsidRPr="00015660" w:rsidRDefault="0069365B" w:rsidP="00FA2A22">
      <w:pPr>
        <w:jc w:val="both"/>
        <w:rPr>
          <w:rFonts w:cs="Arial"/>
          <w:color w:val="000000"/>
        </w:rPr>
      </w:pPr>
      <w:r w:rsidRPr="00015660">
        <w:rPr>
          <w:rFonts w:cs="Arial"/>
          <w:color w:val="000000"/>
        </w:rPr>
        <w:t xml:space="preserve">Dando cumplimiento a lo establecido en el Decreto, la Oficina Asesora de Planeación </w:t>
      </w:r>
      <w:r w:rsidR="00FA2A22" w:rsidRPr="00015660">
        <w:rPr>
          <w:rFonts w:cs="Arial"/>
          <w:color w:val="000000"/>
        </w:rPr>
        <w:t>durante el período evaluado realizó:</w:t>
      </w:r>
    </w:p>
    <w:p w14:paraId="03968115" w14:textId="77777777" w:rsidR="00FA2A22" w:rsidRPr="00C67D58" w:rsidRDefault="00FA2A22" w:rsidP="00FA2A22">
      <w:pPr>
        <w:jc w:val="both"/>
        <w:rPr>
          <w:rFonts w:cs="Arial"/>
          <w:color w:val="000000"/>
          <w:highlight w:val="yellow"/>
        </w:rPr>
      </w:pPr>
    </w:p>
    <w:p w14:paraId="1C23F98A" w14:textId="3407ED58" w:rsidR="00015660" w:rsidRPr="00015660" w:rsidRDefault="00FA2A22" w:rsidP="00AA2B29">
      <w:pPr>
        <w:pStyle w:val="Prrafodelista"/>
        <w:numPr>
          <w:ilvl w:val="0"/>
          <w:numId w:val="6"/>
        </w:numPr>
        <w:ind w:left="284"/>
        <w:jc w:val="both"/>
        <w:rPr>
          <w:rFonts w:cs="Arial"/>
          <w:color w:val="000000"/>
        </w:rPr>
      </w:pPr>
      <w:r w:rsidRPr="00015660">
        <w:rPr>
          <w:rFonts w:cs="Arial"/>
          <w:b/>
          <w:i/>
          <w:color w:val="000000"/>
          <w:u w:val="single"/>
        </w:rPr>
        <w:t>Campañas:</w:t>
      </w:r>
      <w:r w:rsidRPr="00015660">
        <w:rPr>
          <w:rFonts w:cs="Arial"/>
          <w:color w:val="000000"/>
        </w:rPr>
        <w:t xml:space="preserve"> </w:t>
      </w:r>
      <w:r w:rsidR="00B96245" w:rsidRPr="00015660">
        <w:rPr>
          <w:rFonts w:cs="Arial"/>
          <w:color w:val="000000"/>
        </w:rPr>
        <w:t>A través del Boletín PIGA</w:t>
      </w:r>
      <w:r w:rsidRPr="00015660">
        <w:rPr>
          <w:rFonts w:cs="Arial"/>
          <w:color w:val="000000"/>
        </w:rPr>
        <w:t xml:space="preserve"> se realiz</w:t>
      </w:r>
      <w:r w:rsidR="00015660">
        <w:rPr>
          <w:rFonts w:cs="Arial"/>
          <w:color w:val="000000"/>
        </w:rPr>
        <w:t>aron</w:t>
      </w:r>
      <w:r w:rsidRPr="00015660">
        <w:rPr>
          <w:rFonts w:cs="Arial"/>
          <w:color w:val="000000"/>
        </w:rPr>
        <w:t xml:space="preserve"> </w:t>
      </w:r>
      <w:r w:rsidR="00015660">
        <w:rPr>
          <w:rFonts w:cs="Arial"/>
          <w:color w:val="000000"/>
        </w:rPr>
        <w:t>2</w:t>
      </w:r>
      <w:r w:rsidR="00B96245" w:rsidRPr="00015660">
        <w:rPr>
          <w:rFonts w:cs="Arial"/>
          <w:color w:val="000000"/>
        </w:rPr>
        <w:t xml:space="preserve"> campaña</w:t>
      </w:r>
      <w:r w:rsidR="00015660">
        <w:rPr>
          <w:rFonts w:cs="Arial"/>
          <w:color w:val="000000"/>
        </w:rPr>
        <w:t xml:space="preserve">s en </w:t>
      </w:r>
      <w:r w:rsidR="00015660" w:rsidRPr="00015660">
        <w:rPr>
          <w:rFonts w:cs="Arial"/>
          <w:color w:val="000000"/>
        </w:rPr>
        <w:t>l</w:t>
      </w:r>
      <w:r w:rsidR="00015660">
        <w:rPr>
          <w:rFonts w:cs="Arial"/>
          <w:color w:val="000000"/>
        </w:rPr>
        <w:t>os</w:t>
      </w:r>
      <w:r w:rsidR="00015660" w:rsidRPr="00015660">
        <w:rPr>
          <w:rFonts w:cs="Arial"/>
          <w:color w:val="000000"/>
        </w:rPr>
        <w:t xml:space="preserve"> mes</w:t>
      </w:r>
      <w:r w:rsidR="00015660">
        <w:rPr>
          <w:rFonts w:cs="Arial"/>
          <w:color w:val="000000"/>
        </w:rPr>
        <w:t>es</w:t>
      </w:r>
      <w:r w:rsidR="00015660" w:rsidRPr="00015660">
        <w:rPr>
          <w:rFonts w:cs="Arial"/>
          <w:color w:val="000000"/>
        </w:rPr>
        <w:t xml:space="preserve"> de octubre</w:t>
      </w:r>
      <w:r w:rsidR="00015660">
        <w:rPr>
          <w:rFonts w:cs="Arial"/>
          <w:color w:val="000000"/>
        </w:rPr>
        <w:t xml:space="preserve"> y noviembre</w:t>
      </w:r>
    </w:p>
    <w:p w14:paraId="4AB2AC11" w14:textId="77777777" w:rsidR="00015660" w:rsidRPr="00015660" w:rsidRDefault="00015660" w:rsidP="00015660">
      <w:pPr>
        <w:ind w:left="-76"/>
        <w:jc w:val="both"/>
        <w:rPr>
          <w:rFonts w:cs="Arial"/>
          <w:color w:val="000000"/>
          <w:sz w:val="14"/>
          <w:highlight w:val="yellow"/>
        </w:rPr>
      </w:pPr>
    </w:p>
    <w:p w14:paraId="12273089" w14:textId="58CFE95E" w:rsidR="00FA2A22" w:rsidRPr="00015660" w:rsidRDefault="00015660" w:rsidP="00B96245">
      <w:pPr>
        <w:ind w:left="-76"/>
        <w:jc w:val="center"/>
        <w:rPr>
          <w:rFonts w:cs="Arial"/>
          <w:color w:val="000000"/>
        </w:rPr>
      </w:pPr>
      <w:r w:rsidRPr="00015660">
        <w:rPr>
          <w:noProof/>
          <w:lang w:eastAsia="es-CO"/>
        </w:rPr>
        <w:drawing>
          <wp:inline distT="0" distB="0" distL="0" distR="0" wp14:anchorId="19743976" wp14:editId="6D572FB3">
            <wp:extent cx="2276475" cy="2118079"/>
            <wp:effectExtent l="171450" t="171450" r="200025" b="1873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429" t="31749" r="42679" b="22355"/>
                    <a:stretch/>
                  </pic:blipFill>
                  <pic:spPr bwMode="auto">
                    <a:xfrm>
                      <a:off x="0" y="0"/>
                      <a:ext cx="2335756" cy="21732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r w:rsidRPr="00015660">
        <w:rPr>
          <w:rFonts w:cs="Arial"/>
          <w:color w:val="000000"/>
        </w:rPr>
        <w:t xml:space="preserve"> </w:t>
      </w:r>
      <w:r w:rsidRPr="00015660">
        <w:rPr>
          <w:noProof/>
          <w:lang w:eastAsia="es-CO"/>
        </w:rPr>
        <w:drawing>
          <wp:inline distT="0" distB="0" distL="0" distR="0" wp14:anchorId="3B38B20F" wp14:editId="6BBAE5E0">
            <wp:extent cx="2238375" cy="2215376"/>
            <wp:effectExtent l="114300" t="114300" r="104775" b="1473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978" t="28968" r="24983" b="12895"/>
                    <a:stretch/>
                  </pic:blipFill>
                  <pic:spPr bwMode="auto">
                    <a:xfrm>
                      <a:off x="0" y="0"/>
                      <a:ext cx="2250673" cy="2227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7A3717CB" w14:textId="77777777" w:rsidR="00FA2A22" w:rsidRPr="00015660" w:rsidRDefault="00FA2A22" w:rsidP="00FA2A22">
      <w:pPr>
        <w:ind w:left="-76"/>
        <w:jc w:val="both"/>
        <w:rPr>
          <w:rFonts w:cs="Arial"/>
          <w:color w:val="000000"/>
        </w:rPr>
      </w:pPr>
    </w:p>
    <w:p w14:paraId="29F1C972" w14:textId="5ED39788" w:rsidR="00FA2A22" w:rsidRPr="00015660" w:rsidRDefault="00FA2A22" w:rsidP="00AA2B29">
      <w:pPr>
        <w:pStyle w:val="Prrafodelista"/>
        <w:numPr>
          <w:ilvl w:val="0"/>
          <w:numId w:val="6"/>
        </w:numPr>
        <w:ind w:left="284"/>
        <w:jc w:val="both"/>
        <w:rPr>
          <w:rFonts w:cs="Arial"/>
          <w:color w:val="000000"/>
        </w:rPr>
      </w:pPr>
      <w:r w:rsidRPr="00015660">
        <w:rPr>
          <w:rFonts w:cs="Arial"/>
          <w:b/>
          <w:i/>
          <w:color w:val="000000"/>
          <w:u w:val="single"/>
        </w:rPr>
        <w:t>Metas cuantificables:</w:t>
      </w:r>
      <w:r w:rsidRPr="00015660">
        <w:rPr>
          <w:rFonts w:cs="Arial"/>
          <w:color w:val="000000"/>
        </w:rPr>
        <w:t xml:space="preserve"> </w:t>
      </w:r>
      <w:r w:rsidR="001B3C72" w:rsidRPr="00015660">
        <w:rPr>
          <w:rFonts w:cs="Arial"/>
          <w:color w:val="000000"/>
        </w:rPr>
        <w:t>Se cuenta con documento PIGA 2020-2024, el cual contiene las metas por cada vigencia, de igual manera la Oficina Asesora de Planeación realiza seguimientos mensuales, condensados en informes trimestrales, que contienen recomendaciones para su cumplimiento.</w:t>
      </w:r>
      <w:r w:rsidR="00015660">
        <w:rPr>
          <w:rFonts w:cs="Arial"/>
          <w:color w:val="000000"/>
        </w:rPr>
        <w:t xml:space="preserve"> De igual manera, se han incluido metas cuantificables en el Plan de Austeridad de la vigencia, al cual se le realiza seguimiento semestral.</w:t>
      </w:r>
    </w:p>
    <w:p w14:paraId="651DE76C" w14:textId="77777777" w:rsidR="00E605C5" w:rsidRPr="00C67D58" w:rsidRDefault="00E605C5" w:rsidP="00E605C5">
      <w:pPr>
        <w:pStyle w:val="Prrafodelista"/>
        <w:ind w:left="284"/>
        <w:jc w:val="both"/>
        <w:rPr>
          <w:rFonts w:cs="Arial"/>
          <w:color w:val="000000"/>
          <w:highlight w:val="yellow"/>
        </w:rPr>
      </w:pPr>
    </w:p>
    <w:p w14:paraId="128E0AAC" w14:textId="538A33D8" w:rsidR="001B3C72" w:rsidRPr="004F223E" w:rsidRDefault="001B3C72" w:rsidP="00AA2B29">
      <w:pPr>
        <w:pStyle w:val="Prrafodelista"/>
        <w:numPr>
          <w:ilvl w:val="0"/>
          <w:numId w:val="6"/>
        </w:numPr>
        <w:ind w:left="284"/>
        <w:jc w:val="both"/>
        <w:rPr>
          <w:rFonts w:cs="Arial"/>
          <w:color w:val="000000"/>
        </w:rPr>
      </w:pPr>
      <w:r w:rsidRPr="00015660">
        <w:rPr>
          <w:rFonts w:cs="Arial"/>
          <w:b/>
          <w:i/>
          <w:color w:val="000000"/>
          <w:u w:val="single"/>
        </w:rPr>
        <w:t>Mensajes de ahorro:</w:t>
      </w:r>
      <w:r w:rsidRPr="00015660">
        <w:rPr>
          <w:rFonts w:cs="Arial"/>
          <w:color w:val="000000"/>
        </w:rPr>
        <w:t xml:space="preserve"> Se cuenta con e</w:t>
      </w:r>
      <w:r w:rsidRPr="004F223E">
        <w:rPr>
          <w:rFonts w:cs="Arial"/>
          <w:color w:val="000000"/>
        </w:rPr>
        <w:t>l lineamiento de incluir los mensajes de ahorro dentro de las comunicaciones por correo electrónico.</w:t>
      </w:r>
    </w:p>
    <w:p w14:paraId="434FBD4C" w14:textId="77777777" w:rsidR="00E605C5" w:rsidRPr="004F223E" w:rsidRDefault="00E605C5" w:rsidP="00E605C5">
      <w:pPr>
        <w:pStyle w:val="Prrafodelista"/>
        <w:ind w:left="284"/>
        <w:jc w:val="both"/>
        <w:rPr>
          <w:rFonts w:cs="Arial"/>
          <w:color w:val="000000"/>
        </w:rPr>
      </w:pPr>
    </w:p>
    <w:p w14:paraId="49FD653A" w14:textId="5222F210" w:rsidR="001B3C72" w:rsidRPr="004F223E" w:rsidRDefault="001B3C72" w:rsidP="00AA2B29">
      <w:pPr>
        <w:pStyle w:val="Prrafodelista"/>
        <w:numPr>
          <w:ilvl w:val="0"/>
          <w:numId w:val="6"/>
        </w:numPr>
        <w:ind w:left="284"/>
        <w:jc w:val="both"/>
        <w:rPr>
          <w:rFonts w:cs="Arial"/>
          <w:color w:val="000000"/>
          <w:lang w:val="es-ES"/>
        </w:rPr>
      </w:pPr>
      <w:r w:rsidRPr="004F223E">
        <w:rPr>
          <w:rFonts w:cs="Arial"/>
          <w:b/>
          <w:i/>
          <w:color w:val="000000"/>
          <w:u w:val="single"/>
        </w:rPr>
        <w:t>Implementación de medidas ahorro energía:</w:t>
      </w:r>
      <w:r w:rsidRPr="004F223E">
        <w:rPr>
          <w:rFonts w:cs="Arial"/>
          <w:color w:val="000000"/>
        </w:rPr>
        <w:t xml:space="preserve"> Se aprovecha la luz natural en la medida de lo posible en las oficinas del IDPC, se cuenta con bombillos LED de alta eficiencia, así mismo, las sedes </w:t>
      </w:r>
      <w:r w:rsidRPr="004F223E">
        <w:rPr>
          <w:rFonts w:cs="Arial"/>
          <w:color w:val="000000"/>
          <w:lang w:val="es-ES"/>
        </w:rPr>
        <w:t>cuentan con un sistema de iluminación independizado en su ma</w:t>
      </w:r>
      <w:r w:rsidR="004F223E" w:rsidRPr="004F223E">
        <w:rPr>
          <w:rFonts w:cs="Arial"/>
          <w:color w:val="000000"/>
          <w:lang w:val="es-ES"/>
        </w:rPr>
        <w:t>yoría por oficina e instalación</w:t>
      </w:r>
      <w:r w:rsidRPr="004F223E">
        <w:rPr>
          <w:rFonts w:cs="Arial"/>
          <w:color w:val="000000"/>
          <w:lang w:val="es-ES"/>
        </w:rPr>
        <w:t>.</w:t>
      </w:r>
      <w:r w:rsidR="00E94F36" w:rsidRPr="004F223E">
        <w:rPr>
          <w:rFonts w:cs="Arial"/>
          <w:color w:val="000000"/>
          <w:lang w:val="es-ES"/>
        </w:rPr>
        <w:t xml:space="preserve"> Durante la vigencia, se ha promovido la campaña “Cazadores de vampiros eléctricos”.</w:t>
      </w:r>
    </w:p>
    <w:p w14:paraId="613181DC" w14:textId="77777777" w:rsidR="00E605C5" w:rsidRPr="004F223E" w:rsidRDefault="00E605C5" w:rsidP="00E605C5">
      <w:pPr>
        <w:pStyle w:val="Prrafodelista"/>
        <w:ind w:left="284"/>
        <w:jc w:val="both"/>
        <w:rPr>
          <w:rFonts w:cs="Arial"/>
          <w:color w:val="000000"/>
          <w:lang w:val="es-ES"/>
        </w:rPr>
      </w:pPr>
    </w:p>
    <w:p w14:paraId="2AB0967E" w14:textId="0900B69D" w:rsidR="001B3C72" w:rsidRPr="004F223E" w:rsidRDefault="001B3C72" w:rsidP="00AA2B29">
      <w:pPr>
        <w:pStyle w:val="Prrafodelista"/>
        <w:numPr>
          <w:ilvl w:val="0"/>
          <w:numId w:val="6"/>
        </w:numPr>
        <w:ind w:left="284"/>
        <w:jc w:val="both"/>
        <w:rPr>
          <w:rFonts w:cs="Arial"/>
          <w:color w:val="000000"/>
        </w:rPr>
      </w:pPr>
      <w:r w:rsidRPr="004F223E">
        <w:rPr>
          <w:rFonts w:cs="Arial"/>
          <w:b/>
          <w:i/>
          <w:color w:val="000000"/>
          <w:u w:val="single"/>
        </w:rPr>
        <w:t>Apagado de equipos:</w:t>
      </w:r>
      <w:r w:rsidRPr="004F223E">
        <w:rPr>
          <w:rFonts w:cs="Arial"/>
          <w:color w:val="000000"/>
        </w:rPr>
        <w:t xml:space="preserve"> </w:t>
      </w:r>
      <w:r w:rsidR="00E605C5" w:rsidRPr="004F223E">
        <w:rPr>
          <w:rFonts w:cs="Arial"/>
          <w:iCs/>
          <w:color w:val="000000"/>
          <w:lang w:val="es-ES"/>
        </w:rPr>
        <w:t>Se continúa indicando al personal de seguridad que realice el apagado de las luces de oficinas, pasillo y baños que se encuentren sin uso después de las 8:00 p.m. De igual manera se le solicita al personal de servicios generales desconectar electrodomésticos de las cocinas al finalizar su jornada laboral.</w:t>
      </w:r>
    </w:p>
    <w:p w14:paraId="0BCA814E" w14:textId="77777777" w:rsidR="004F223E" w:rsidRPr="004F223E" w:rsidRDefault="004F223E" w:rsidP="004F223E">
      <w:pPr>
        <w:pStyle w:val="Prrafodelista"/>
        <w:rPr>
          <w:rFonts w:cs="Arial"/>
          <w:color w:val="000000"/>
        </w:rPr>
      </w:pPr>
    </w:p>
    <w:p w14:paraId="21AD2E00" w14:textId="05A5E890" w:rsidR="004F223E" w:rsidRPr="004F223E" w:rsidRDefault="004F223E" w:rsidP="004F223E">
      <w:pPr>
        <w:pStyle w:val="Prrafodelista"/>
        <w:ind w:left="284"/>
        <w:jc w:val="both"/>
        <w:rPr>
          <w:rFonts w:cs="Arial"/>
          <w:color w:val="000000"/>
        </w:rPr>
      </w:pPr>
      <w:r w:rsidRPr="004F223E">
        <w:rPr>
          <w:rFonts w:cs="Arial"/>
          <w:iCs/>
          <w:color w:val="000000"/>
          <w:lang w:val="es-ES"/>
        </w:rPr>
        <w:t>Actualmente con el teletrabajo, algunos de los equipos de cómputo permanecen encendido 24/7; con campañas como “Vampiros Eléctricos” se aúnan esfuerzos para mitigar este consumo, sugiriendo a los servidores públicos del IDPC que dejen apagada la pantalla del computador mientras trabajan de forma remota</w:t>
      </w:r>
    </w:p>
    <w:p w14:paraId="4743F9C5" w14:textId="77777777" w:rsidR="00E605C5" w:rsidRPr="004F223E" w:rsidRDefault="00E605C5" w:rsidP="00E605C5">
      <w:pPr>
        <w:pStyle w:val="Prrafodelista"/>
        <w:ind w:left="284"/>
        <w:jc w:val="both"/>
        <w:rPr>
          <w:rFonts w:cs="Arial"/>
          <w:iCs/>
          <w:color w:val="000000"/>
          <w:lang w:val="es-ES"/>
        </w:rPr>
      </w:pPr>
    </w:p>
    <w:p w14:paraId="6D23EBBF" w14:textId="2502F0C9" w:rsidR="00E605C5" w:rsidRPr="004F223E" w:rsidRDefault="00E94F36" w:rsidP="00E605C5">
      <w:pPr>
        <w:pStyle w:val="Prrafodelista"/>
        <w:ind w:left="284"/>
        <w:jc w:val="both"/>
        <w:rPr>
          <w:rFonts w:cs="Arial"/>
          <w:iCs/>
          <w:color w:val="000000"/>
          <w:lang w:val="es-ES"/>
        </w:rPr>
      </w:pPr>
      <w:r w:rsidRPr="004F223E">
        <w:rPr>
          <w:rFonts w:cs="Arial"/>
          <w:iCs/>
          <w:color w:val="000000"/>
          <w:lang w:val="es-ES"/>
        </w:rPr>
        <w:t>Durante el</w:t>
      </w:r>
      <w:r w:rsidR="00E605C5" w:rsidRPr="004F223E">
        <w:rPr>
          <w:rFonts w:cs="Arial"/>
          <w:iCs/>
          <w:color w:val="000000"/>
          <w:lang w:val="es-ES"/>
        </w:rPr>
        <w:t xml:space="preserve"> trimestre, </w:t>
      </w:r>
      <w:r w:rsidR="00B407BC" w:rsidRPr="004F223E">
        <w:rPr>
          <w:rFonts w:cs="Arial"/>
          <w:iCs/>
          <w:color w:val="000000"/>
          <w:lang w:val="es-ES"/>
        </w:rPr>
        <w:t>el referente PIGA realizó varios recorridos de inspección por las sedes, apagando las pantallas de los equipos.</w:t>
      </w:r>
    </w:p>
    <w:p w14:paraId="1D458336" w14:textId="77777777" w:rsidR="000D5F46" w:rsidRPr="004F223E" w:rsidRDefault="000D5F46" w:rsidP="00E605C5">
      <w:pPr>
        <w:pStyle w:val="Prrafodelista"/>
        <w:ind w:left="284"/>
        <w:jc w:val="both"/>
        <w:rPr>
          <w:rFonts w:cs="Arial"/>
          <w:color w:val="000000"/>
        </w:rPr>
      </w:pPr>
    </w:p>
    <w:p w14:paraId="06B10719" w14:textId="59F61A63" w:rsidR="00B407BC" w:rsidRPr="004F223E" w:rsidRDefault="00B407BC" w:rsidP="00AA2B29">
      <w:pPr>
        <w:pStyle w:val="Prrafodelista"/>
        <w:numPr>
          <w:ilvl w:val="0"/>
          <w:numId w:val="6"/>
        </w:numPr>
        <w:ind w:left="284"/>
        <w:jc w:val="both"/>
        <w:rPr>
          <w:rFonts w:cs="Arial"/>
          <w:color w:val="000000"/>
        </w:rPr>
      </w:pPr>
      <w:r w:rsidRPr="004F223E">
        <w:rPr>
          <w:rFonts w:cs="Arial"/>
          <w:b/>
          <w:i/>
          <w:color w:val="000000"/>
          <w:u w:val="single"/>
        </w:rPr>
        <w:t>Compras de equipos con eficiencia energética:</w:t>
      </w:r>
      <w:r w:rsidRPr="004F223E">
        <w:rPr>
          <w:rFonts w:cs="Arial"/>
          <w:color w:val="000000"/>
        </w:rPr>
        <w:t xml:space="preserve"> </w:t>
      </w:r>
      <w:r w:rsidR="00E94F36" w:rsidRPr="004F223E">
        <w:rPr>
          <w:rFonts w:cs="Arial"/>
          <w:color w:val="000000"/>
        </w:rPr>
        <w:t>No se realizaron compras de equipos durante el período evaluado.</w:t>
      </w:r>
    </w:p>
    <w:p w14:paraId="02C366A5" w14:textId="77777777" w:rsidR="000D5F46" w:rsidRPr="004F223E" w:rsidRDefault="000D5F46" w:rsidP="000D5F46">
      <w:pPr>
        <w:pStyle w:val="Prrafodelista"/>
        <w:ind w:left="284"/>
        <w:jc w:val="both"/>
        <w:rPr>
          <w:rFonts w:cs="Arial"/>
          <w:color w:val="000000"/>
        </w:rPr>
      </w:pPr>
    </w:p>
    <w:p w14:paraId="5377794F" w14:textId="4E433134" w:rsidR="00FA2A22" w:rsidRPr="004F223E" w:rsidRDefault="00B407BC" w:rsidP="00AA2B29">
      <w:pPr>
        <w:pStyle w:val="Prrafodelista"/>
        <w:numPr>
          <w:ilvl w:val="0"/>
          <w:numId w:val="6"/>
        </w:numPr>
        <w:ind w:left="284"/>
        <w:jc w:val="both"/>
        <w:rPr>
          <w:rFonts w:cs="Arial"/>
          <w:color w:val="000000"/>
        </w:rPr>
      </w:pPr>
      <w:r w:rsidRPr="004F223E">
        <w:rPr>
          <w:rFonts w:cs="Arial"/>
          <w:b/>
          <w:i/>
          <w:color w:val="000000"/>
          <w:u w:val="single"/>
        </w:rPr>
        <w:t>Regulación iluminación natural:</w:t>
      </w:r>
      <w:r w:rsidRPr="004F223E">
        <w:rPr>
          <w:rFonts w:cs="Arial"/>
          <w:color w:val="000000"/>
        </w:rPr>
        <w:t xml:space="preserve"> </w:t>
      </w:r>
      <w:r w:rsidR="000D5F46" w:rsidRPr="004F223E">
        <w:rPr>
          <w:rFonts w:cs="Arial"/>
          <w:color w:val="000000"/>
        </w:rPr>
        <w:t xml:space="preserve">La regulación se realiza mediante </w:t>
      </w:r>
      <w:r w:rsidR="000D5F46" w:rsidRPr="004F223E">
        <w:rPr>
          <w:rFonts w:cs="Arial"/>
          <w:iCs/>
          <w:color w:val="000000"/>
          <w:lang w:val="es-ES"/>
        </w:rPr>
        <w:t>películas para los ventanales que reciben directamente luz natural y blackouts.</w:t>
      </w:r>
    </w:p>
    <w:p w14:paraId="00C6309A" w14:textId="77777777" w:rsidR="000D5F46" w:rsidRPr="004F223E" w:rsidRDefault="000D5F46" w:rsidP="000D5F46">
      <w:pPr>
        <w:pStyle w:val="Prrafodelista"/>
        <w:ind w:left="284"/>
        <w:jc w:val="both"/>
        <w:rPr>
          <w:rFonts w:cs="Arial"/>
          <w:color w:val="000000"/>
        </w:rPr>
      </w:pPr>
    </w:p>
    <w:p w14:paraId="6FF80561" w14:textId="468842AC" w:rsidR="00B407BC" w:rsidRPr="004F223E" w:rsidRDefault="00B407BC" w:rsidP="00AA2B29">
      <w:pPr>
        <w:pStyle w:val="Prrafodelista"/>
        <w:numPr>
          <w:ilvl w:val="0"/>
          <w:numId w:val="6"/>
        </w:numPr>
        <w:ind w:left="284"/>
        <w:jc w:val="both"/>
        <w:rPr>
          <w:rFonts w:cs="Arial"/>
          <w:color w:val="000000"/>
        </w:rPr>
      </w:pPr>
      <w:r w:rsidRPr="004F223E">
        <w:rPr>
          <w:rFonts w:cs="Arial"/>
          <w:b/>
          <w:bCs/>
          <w:i/>
          <w:iCs/>
          <w:color w:val="000000"/>
          <w:u w:val="single"/>
          <w:lang w:val="es-ES"/>
        </w:rPr>
        <w:t>Uso de dispositivos ahorradores de agua:</w:t>
      </w:r>
      <w:r w:rsidRPr="004F223E">
        <w:rPr>
          <w:rFonts w:cs="Arial"/>
          <w:bCs/>
          <w:iCs/>
          <w:color w:val="000000"/>
          <w:lang w:val="es-ES"/>
        </w:rPr>
        <w:t xml:space="preserve"> </w:t>
      </w:r>
      <w:r w:rsidR="000D5F46" w:rsidRPr="004F223E">
        <w:rPr>
          <w:rFonts w:cs="Arial"/>
          <w:bCs/>
          <w:iCs/>
          <w:color w:val="000000"/>
          <w:lang w:val="es-ES"/>
        </w:rPr>
        <w:t>Las sedes cuentan con sistema de "push” en los baños.</w:t>
      </w:r>
    </w:p>
    <w:p w14:paraId="7472A855" w14:textId="77777777" w:rsidR="000D5F46" w:rsidRPr="004F223E" w:rsidRDefault="000D5F46" w:rsidP="000D5F46">
      <w:pPr>
        <w:pStyle w:val="Prrafodelista"/>
        <w:ind w:left="284"/>
        <w:jc w:val="both"/>
        <w:rPr>
          <w:rFonts w:cs="Arial"/>
          <w:color w:val="000000"/>
        </w:rPr>
      </w:pPr>
    </w:p>
    <w:p w14:paraId="59ABF8A7" w14:textId="2E9E9199" w:rsidR="000D5F46" w:rsidRPr="004F223E" w:rsidRDefault="00B407BC" w:rsidP="00AA2B29">
      <w:pPr>
        <w:pStyle w:val="Prrafodelista"/>
        <w:numPr>
          <w:ilvl w:val="0"/>
          <w:numId w:val="6"/>
        </w:numPr>
        <w:ind w:left="284"/>
        <w:jc w:val="both"/>
        <w:rPr>
          <w:rFonts w:cs="Arial"/>
          <w:bCs/>
          <w:color w:val="000000"/>
        </w:rPr>
      </w:pPr>
      <w:r w:rsidRPr="004F223E">
        <w:rPr>
          <w:rFonts w:cs="Arial"/>
          <w:b/>
          <w:bCs/>
          <w:i/>
          <w:color w:val="000000"/>
          <w:u w:val="single"/>
          <w:lang w:val="es-ES"/>
        </w:rPr>
        <w:t>Optimizar las redes de suministro y desagüe:</w:t>
      </w:r>
      <w:r w:rsidR="000D5F46" w:rsidRPr="004F223E">
        <w:rPr>
          <w:rFonts w:cs="Arial"/>
          <w:bCs/>
          <w:color w:val="000000"/>
          <w:lang w:val="es-ES"/>
        </w:rPr>
        <w:t xml:space="preserve"> Se realizó </w:t>
      </w:r>
      <w:r w:rsidR="00EF64D2" w:rsidRPr="004F223E">
        <w:rPr>
          <w:rFonts w:cs="Arial"/>
          <w:iCs/>
          <w:lang w:val="es-ES"/>
        </w:rPr>
        <w:t>mantenimiento a las bajantes de aguas lluvias y sifones de las sedes</w:t>
      </w:r>
      <w:r w:rsidR="000D5F46" w:rsidRPr="004F223E">
        <w:rPr>
          <w:rFonts w:cs="Arial"/>
          <w:bCs/>
          <w:color w:val="000000"/>
          <w:lang w:val="es-ES"/>
        </w:rPr>
        <w:t>.</w:t>
      </w:r>
    </w:p>
    <w:p w14:paraId="51FAA131" w14:textId="356F13EF" w:rsidR="00B407BC" w:rsidRPr="004F223E" w:rsidRDefault="000D5F46" w:rsidP="000D5F46">
      <w:pPr>
        <w:pStyle w:val="Prrafodelista"/>
        <w:ind w:left="284"/>
        <w:jc w:val="both"/>
        <w:rPr>
          <w:rFonts w:cs="Arial"/>
          <w:bCs/>
          <w:color w:val="000000"/>
        </w:rPr>
      </w:pPr>
      <w:r w:rsidRPr="004F223E">
        <w:rPr>
          <w:rFonts w:cs="Arial"/>
          <w:bCs/>
          <w:color w:val="000000"/>
          <w:lang w:val="es-ES"/>
        </w:rPr>
        <w:t xml:space="preserve"> </w:t>
      </w:r>
    </w:p>
    <w:p w14:paraId="4E2F308C" w14:textId="77777777" w:rsidR="000D5F46" w:rsidRPr="004F223E" w:rsidRDefault="00B407BC" w:rsidP="00AA2B29">
      <w:pPr>
        <w:pStyle w:val="Prrafodelista"/>
        <w:numPr>
          <w:ilvl w:val="0"/>
          <w:numId w:val="6"/>
        </w:numPr>
        <w:ind w:left="284"/>
        <w:jc w:val="both"/>
        <w:rPr>
          <w:rFonts w:cs="Arial"/>
          <w:bCs/>
          <w:iCs/>
          <w:color w:val="000000"/>
          <w:lang w:val="es-ES"/>
        </w:rPr>
      </w:pPr>
      <w:r w:rsidRPr="004F223E">
        <w:rPr>
          <w:rFonts w:cs="Arial"/>
          <w:b/>
          <w:bCs/>
          <w:i/>
          <w:iCs/>
          <w:color w:val="000000"/>
          <w:u w:val="single"/>
          <w:lang w:val="es-ES"/>
        </w:rPr>
        <w:t>Programa de mantenimiento periódico:</w:t>
      </w:r>
      <w:r w:rsidRPr="004F223E">
        <w:rPr>
          <w:rFonts w:cs="Arial"/>
          <w:bCs/>
          <w:iCs/>
          <w:color w:val="000000"/>
          <w:lang w:val="es-ES"/>
        </w:rPr>
        <w:t xml:space="preserve"> Se cuenta con plan de mantenimiento, que </w:t>
      </w:r>
      <w:r w:rsidR="000D5F46" w:rsidRPr="004F223E">
        <w:rPr>
          <w:rFonts w:cs="Arial"/>
          <w:bCs/>
          <w:iCs/>
          <w:color w:val="000000"/>
          <w:lang w:val="es-ES"/>
        </w:rPr>
        <w:t xml:space="preserve">programa de manera periódica la limpieza de bajantes, sifones, verificación de tanques de almacenamiento de agua potable para el control de fugas, verificación del estado de los sistemas hidrosanitarios para el control del caudal y fugas, mantenimiento de la red eléctrica interna, cambio de bombillos y luminarias, entre otras actividades encaminadas a la prevención y la corrección. </w:t>
      </w:r>
    </w:p>
    <w:p w14:paraId="7ADB4220" w14:textId="7DFE6001" w:rsidR="00B407BC" w:rsidRPr="004F223E" w:rsidRDefault="00B407BC" w:rsidP="000D5F46">
      <w:pPr>
        <w:pStyle w:val="Prrafodelista"/>
        <w:ind w:left="284"/>
        <w:jc w:val="both"/>
        <w:rPr>
          <w:rFonts w:cs="Arial"/>
          <w:color w:val="000000"/>
        </w:rPr>
      </w:pPr>
    </w:p>
    <w:p w14:paraId="273FDEC8" w14:textId="1821055F" w:rsidR="00B407BC" w:rsidRPr="004F223E" w:rsidRDefault="00B407BC" w:rsidP="00AA2B29">
      <w:pPr>
        <w:pStyle w:val="Prrafodelista"/>
        <w:numPr>
          <w:ilvl w:val="0"/>
          <w:numId w:val="6"/>
        </w:numPr>
        <w:ind w:left="284"/>
        <w:jc w:val="both"/>
        <w:rPr>
          <w:rFonts w:cs="Arial"/>
          <w:color w:val="000000"/>
        </w:rPr>
      </w:pPr>
      <w:r w:rsidRPr="004F223E">
        <w:rPr>
          <w:rFonts w:cs="Arial"/>
          <w:b/>
          <w:bCs/>
          <w:i/>
          <w:iCs/>
          <w:color w:val="000000"/>
          <w:u w:val="single"/>
          <w:lang w:val="es-ES"/>
        </w:rPr>
        <w:lastRenderedPageBreak/>
        <w:t>Uso de vehículos y medios de transporte ambientalmente sostenibles:</w:t>
      </w:r>
      <w:r w:rsidRPr="004F223E">
        <w:rPr>
          <w:rFonts w:cs="Arial"/>
          <w:bCs/>
          <w:iCs/>
          <w:color w:val="000000"/>
          <w:lang w:val="es-ES"/>
        </w:rPr>
        <w:t xml:space="preserve"> Se socializaron mensajes relativos a la movilidad sostenible</w:t>
      </w:r>
      <w:r w:rsidR="00EF64D2" w:rsidRPr="004F223E">
        <w:rPr>
          <w:rFonts w:cs="Arial"/>
          <w:bCs/>
          <w:iCs/>
          <w:color w:val="000000"/>
          <w:lang w:val="es-ES"/>
        </w:rPr>
        <w:t>, a través del Boletín PIGA</w:t>
      </w:r>
      <w:r w:rsidR="004F223E" w:rsidRPr="004F223E">
        <w:rPr>
          <w:rFonts w:cs="Arial"/>
          <w:bCs/>
          <w:iCs/>
          <w:color w:val="000000"/>
          <w:lang w:val="es-ES"/>
        </w:rPr>
        <w:t xml:space="preserve"> de los meses de octubre, noviembre y diciembre.</w:t>
      </w:r>
    </w:p>
    <w:p w14:paraId="6DAE572B" w14:textId="77777777" w:rsidR="00EF64D2" w:rsidRPr="004F223E" w:rsidRDefault="00EF64D2" w:rsidP="00EF64D2">
      <w:pPr>
        <w:jc w:val="both"/>
        <w:rPr>
          <w:rFonts w:cs="Arial"/>
          <w:color w:val="000000"/>
          <w:sz w:val="18"/>
        </w:rPr>
      </w:pPr>
    </w:p>
    <w:p w14:paraId="58526BE8" w14:textId="03F9B95F" w:rsidR="00B407BC" w:rsidRPr="00C67D58" w:rsidRDefault="00EF64D2" w:rsidP="00EF64D2">
      <w:pPr>
        <w:pStyle w:val="Prrafodelista"/>
        <w:ind w:left="284"/>
        <w:jc w:val="center"/>
        <w:rPr>
          <w:rFonts w:cs="Arial"/>
          <w:color w:val="000000"/>
          <w:highlight w:val="yellow"/>
        </w:rPr>
      </w:pPr>
      <w:r w:rsidRPr="004F223E">
        <w:rPr>
          <w:noProof/>
          <w:lang w:val="es-MX" w:eastAsia="es-MX"/>
        </w:rPr>
        <w:t xml:space="preserve">     </w:t>
      </w:r>
      <w:r w:rsidR="004F223E" w:rsidRPr="004F223E">
        <w:rPr>
          <w:noProof/>
          <w:lang w:eastAsia="es-CO"/>
        </w:rPr>
        <w:drawing>
          <wp:inline distT="0" distB="0" distL="0" distR="0" wp14:anchorId="62020103" wp14:editId="60048C86">
            <wp:extent cx="1295400" cy="2927134"/>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1978" t="29772" r="41503" b="7865"/>
                    <a:stretch/>
                  </pic:blipFill>
                  <pic:spPr bwMode="auto">
                    <a:xfrm>
                      <a:off x="0" y="0"/>
                      <a:ext cx="1301450" cy="2940805"/>
                    </a:xfrm>
                    <a:prstGeom prst="rect">
                      <a:avLst/>
                    </a:prstGeom>
                    <a:ln>
                      <a:noFill/>
                    </a:ln>
                    <a:extLst>
                      <a:ext uri="{53640926-AAD7-44D8-BBD7-CCE9431645EC}">
                        <a14:shadowObscured xmlns:a14="http://schemas.microsoft.com/office/drawing/2010/main"/>
                      </a:ext>
                    </a:extLst>
                  </pic:spPr>
                </pic:pic>
              </a:graphicData>
            </a:graphic>
          </wp:inline>
        </w:drawing>
      </w:r>
      <w:r w:rsidR="004F223E" w:rsidRPr="004F223E">
        <w:rPr>
          <w:noProof/>
          <w:lang w:val="es-MX" w:eastAsia="es-MX"/>
        </w:rPr>
        <w:t xml:space="preserve">    </w:t>
      </w:r>
      <w:r w:rsidR="004F223E" w:rsidRPr="004F223E">
        <w:rPr>
          <w:noProof/>
          <w:lang w:eastAsia="es-CO"/>
        </w:rPr>
        <w:drawing>
          <wp:inline distT="0" distB="0" distL="0" distR="0" wp14:anchorId="3E6450E6" wp14:editId="6C4DDA1B">
            <wp:extent cx="1257300" cy="292481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1978" t="23134" r="41389" b="8067"/>
                    <a:stretch/>
                  </pic:blipFill>
                  <pic:spPr bwMode="auto">
                    <a:xfrm>
                      <a:off x="0" y="0"/>
                      <a:ext cx="1259118" cy="2929039"/>
                    </a:xfrm>
                    <a:prstGeom prst="rect">
                      <a:avLst/>
                    </a:prstGeom>
                    <a:ln>
                      <a:noFill/>
                    </a:ln>
                    <a:extLst>
                      <a:ext uri="{53640926-AAD7-44D8-BBD7-CCE9431645EC}">
                        <a14:shadowObscured xmlns:a14="http://schemas.microsoft.com/office/drawing/2010/main"/>
                      </a:ext>
                    </a:extLst>
                  </pic:spPr>
                </pic:pic>
              </a:graphicData>
            </a:graphic>
          </wp:inline>
        </w:drawing>
      </w:r>
      <w:r w:rsidR="004F223E" w:rsidRPr="004F223E">
        <w:rPr>
          <w:noProof/>
          <w:lang w:val="es-MX" w:eastAsia="es-MX"/>
        </w:rPr>
        <w:t xml:space="preserve">    </w:t>
      </w:r>
      <w:r w:rsidR="004F223E">
        <w:rPr>
          <w:noProof/>
          <w:lang w:eastAsia="es-CO"/>
        </w:rPr>
        <w:drawing>
          <wp:inline distT="0" distB="0" distL="0" distR="0" wp14:anchorId="5E89533C" wp14:editId="032BB1E8">
            <wp:extent cx="1238250" cy="293878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90" t="20118" r="60284" b="4043"/>
                    <a:stretch/>
                  </pic:blipFill>
                  <pic:spPr bwMode="auto">
                    <a:xfrm>
                      <a:off x="0" y="0"/>
                      <a:ext cx="1253463" cy="2974886"/>
                    </a:xfrm>
                    <a:prstGeom prst="rect">
                      <a:avLst/>
                    </a:prstGeom>
                    <a:ln>
                      <a:noFill/>
                    </a:ln>
                    <a:extLst>
                      <a:ext uri="{53640926-AAD7-44D8-BBD7-CCE9431645EC}">
                        <a14:shadowObscured xmlns:a14="http://schemas.microsoft.com/office/drawing/2010/main"/>
                      </a:ext>
                    </a:extLst>
                  </pic:spPr>
                </pic:pic>
              </a:graphicData>
            </a:graphic>
          </wp:inline>
        </w:drawing>
      </w:r>
    </w:p>
    <w:p w14:paraId="2FE50C5E" w14:textId="77777777" w:rsidR="00B407BC" w:rsidRPr="00C67D58" w:rsidRDefault="00B407BC" w:rsidP="00B407BC">
      <w:pPr>
        <w:pStyle w:val="Prrafodelista"/>
        <w:ind w:left="284"/>
        <w:jc w:val="both"/>
        <w:rPr>
          <w:rFonts w:cs="Arial"/>
          <w:color w:val="000000"/>
          <w:highlight w:val="yellow"/>
        </w:rPr>
      </w:pPr>
    </w:p>
    <w:p w14:paraId="14B7FA38" w14:textId="77777777" w:rsidR="00EF64D2" w:rsidRPr="00162A2F" w:rsidRDefault="00EF64D2" w:rsidP="00162A2F">
      <w:pPr>
        <w:spacing w:line="261" w:lineRule="auto"/>
        <w:ind w:right="80"/>
        <w:jc w:val="both"/>
        <w:rPr>
          <w:rFonts w:eastAsia="Arial" w:cs="Arial"/>
          <w:szCs w:val="22"/>
        </w:rPr>
      </w:pPr>
    </w:p>
    <w:p w14:paraId="12999863" w14:textId="3A239332" w:rsidR="00B64D8A" w:rsidRDefault="00B64D8A" w:rsidP="00AA2B29">
      <w:pPr>
        <w:pStyle w:val="Prrafodelista"/>
        <w:numPr>
          <w:ilvl w:val="2"/>
          <w:numId w:val="5"/>
        </w:numPr>
        <w:jc w:val="both"/>
        <w:rPr>
          <w:rFonts w:cs="Arial"/>
          <w:b/>
        </w:rPr>
      </w:pPr>
      <w:r>
        <w:rPr>
          <w:rFonts w:cs="Arial"/>
          <w:b/>
        </w:rPr>
        <w:t xml:space="preserve">Artículo 28. </w:t>
      </w:r>
      <w:r w:rsidRPr="00B64D8A">
        <w:rPr>
          <w:rFonts w:cs="Arial"/>
          <w:b/>
        </w:rPr>
        <w:t>Planes de austeridad</w:t>
      </w:r>
    </w:p>
    <w:p w14:paraId="7445FC8D" w14:textId="77777777" w:rsidR="00B64D8A" w:rsidRDefault="00B64D8A" w:rsidP="00B64D8A">
      <w:pPr>
        <w:ind w:left="-6"/>
        <w:jc w:val="both"/>
        <w:rPr>
          <w:rFonts w:cs="Arial"/>
        </w:rPr>
      </w:pPr>
    </w:p>
    <w:p w14:paraId="6DF8F761" w14:textId="32A24E76" w:rsidR="00815C87" w:rsidRDefault="00CD5F52" w:rsidP="00B64D8A">
      <w:pPr>
        <w:ind w:left="-6"/>
        <w:jc w:val="both"/>
        <w:rPr>
          <w:rFonts w:cs="Arial"/>
        </w:rPr>
      </w:pPr>
      <w:r w:rsidRPr="00E1209E">
        <w:rPr>
          <w:rFonts w:cs="Arial"/>
        </w:rPr>
        <w:t>Se revisó el</w:t>
      </w:r>
      <w:r w:rsidR="0005761D" w:rsidRPr="00E1209E">
        <w:rPr>
          <w:rFonts w:cs="Arial"/>
        </w:rPr>
        <w:t xml:space="preserve"> Plan de austeridad implementado por el Instituto Distrital de </w:t>
      </w:r>
      <w:r w:rsidR="00FB3CB3" w:rsidRPr="00E1209E">
        <w:rPr>
          <w:rFonts w:cs="Arial"/>
        </w:rPr>
        <w:t xml:space="preserve">Patrimonio Cultural </w:t>
      </w:r>
      <w:r w:rsidRPr="00E1209E">
        <w:rPr>
          <w:rFonts w:cs="Arial"/>
        </w:rPr>
        <w:t>que</w:t>
      </w:r>
      <w:r w:rsidR="00FB3CB3" w:rsidRPr="00E1209E">
        <w:rPr>
          <w:rFonts w:cs="Arial"/>
        </w:rPr>
        <w:t xml:space="preserve"> contiene </w:t>
      </w:r>
      <w:r w:rsidRPr="00E1209E">
        <w:rPr>
          <w:rFonts w:cs="Arial"/>
        </w:rPr>
        <w:t xml:space="preserve">como </w:t>
      </w:r>
      <w:r w:rsidR="00FB3CB3" w:rsidRPr="00E1209E">
        <w:rPr>
          <w:rFonts w:cs="Arial"/>
        </w:rPr>
        <w:t xml:space="preserve">gastos elegibles </w:t>
      </w:r>
      <w:r w:rsidRPr="00E1209E">
        <w:rPr>
          <w:rFonts w:cs="Arial"/>
        </w:rPr>
        <w:t xml:space="preserve">telefonía celular, vehículos, </w:t>
      </w:r>
      <w:r w:rsidR="00E1209E" w:rsidRPr="00E1209E">
        <w:rPr>
          <w:rFonts w:cs="Arial"/>
        </w:rPr>
        <w:t>fotocopiado, servicios públicos y</w:t>
      </w:r>
      <w:r w:rsidRPr="00E1209E">
        <w:rPr>
          <w:rFonts w:cs="Arial"/>
        </w:rPr>
        <w:t xml:space="preserve"> elementos de consumo. Representados en </w:t>
      </w:r>
      <w:r w:rsidR="000F1FA3" w:rsidRPr="00E1209E">
        <w:rPr>
          <w:rFonts w:cs="Arial"/>
        </w:rPr>
        <w:t>6</w:t>
      </w:r>
      <w:r w:rsidR="00FB3CB3" w:rsidRPr="00E1209E">
        <w:rPr>
          <w:rFonts w:cs="Arial"/>
        </w:rPr>
        <w:t xml:space="preserve"> actividades, las cuales cuentan con una meta propuesta</w:t>
      </w:r>
      <w:r w:rsidR="00815C87" w:rsidRPr="00E1209E">
        <w:rPr>
          <w:rFonts w:cs="Arial"/>
        </w:rPr>
        <w:t>.</w:t>
      </w:r>
      <w:r w:rsidR="000F488C" w:rsidRPr="00E1209E">
        <w:rPr>
          <w:rFonts w:cs="Arial"/>
        </w:rPr>
        <w:t xml:space="preserve"> El detalle de su ejecución se </w:t>
      </w:r>
      <w:r w:rsidR="00E1209E" w:rsidRPr="00E1209E">
        <w:rPr>
          <w:rFonts w:cs="Arial"/>
        </w:rPr>
        <w:t>evaluó</w:t>
      </w:r>
      <w:r w:rsidR="00E5614D" w:rsidRPr="00E1209E">
        <w:rPr>
          <w:rFonts w:cs="Arial"/>
        </w:rPr>
        <w:t xml:space="preserve"> en el </w:t>
      </w:r>
      <w:r w:rsidR="00E1209E" w:rsidRPr="00E1209E">
        <w:rPr>
          <w:rFonts w:cs="Arial"/>
        </w:rPr>
        <w:t>numeral 1.1</w:t>
      </w:r>
      <w:r w:rsidR="000F488C" w:rsidRPr="00E1209E">
        <w:rPr>
          <w:rFonts w:cs="Arial"/>
        </w:rPr>
        <w:t>.</w:t>
      </w:r>
    </w:p>
    <w:p w14:paraId="7245BBEC" w14:textId="77777777" w:rsidR="00CD5F52" w:rsidRDefault="00CD5F52" w:rsidP="00B64D8A">
      <w:pPr>
        <w:ind w:left="-6"/>
        <w:jc w:val="both"/>
        <w:rPr>
          <w:rFonts w:cs="Arial"/>
        </w:rPr>
      </w:pPr>
    </w:p>
    <w:p w14:paraId="14815614" w14:textId="77777777" w:rsidR="00E5614D" w:rsidRDefault="00E5614D" w:rsidP="00B64D8A">
      <w:pPr>
        <w:ind w:left="-6"/>
        <w:jc w:val="both"/>
        <w:rPr>
          <w:rFonts w:cs="Arial"/>
        </w:rPr>
      </w:pPr>
    </w:p>
    <w:p w14:paraId="1996C044" w14:textId="33DC6D4C" w:rsidR="00E5614D" w:rsidRDefault="00E5614D" w:rsidP="00AA2B29">
      <w:pPr>
        <w:pStyle w:val="Prrafodelista"/>
        <w:numPr>
          <w:ilvl w:val="2"/>
          <w:numId w:val="5"/>
        </w:numPr>
        <w:jc w:val="both"/>
        <w:rPr>
          <w:rFonts w:cs="Arial"/>
          <w:b/>
        </w:rPr>
      </w:pPr>
      <w:r>
        <w:rPr>
          <w:rFonts w:cs="Arial"/>
          <w:b/>
        </w:rPr>
        <w:t>Artículo 29. Indicadores</w:t>
      </w:r>
    </w:p>
    <w:p w14:paraId="475ABE2E" w14:textId="77777777" w:rsidR="00E5614D" w:rsidRDefault="00E5614D" w:rsidP="00E5614D">
      <w:pPr>
        <w:shd w:val="clear" w:color="auto" w:fill="FFFFFF" w:themeFill="background1"/>
        <w:ind w:left="-6"/>
        <w:jc w:val="both"/>
        <w:rPr>
          <w:rFonts w:cs="Arial"/>
        </w:rPr>
      </w:pPr>
    </w:p>
    <w:p w14:paraId="47DBDB15" w14:textId="77777777" w:rsidR="00E5614D" w:rsidRDefault="00E5614D" w:rsidP="00E5614D">
      <w:pPr>
        <w:shd w:val="clear" w:color="auto" w:fill="FFFFFF" w:themeFill="background1"/>
        <w:ind w:left="-6"/>
        <w:jc w:val="both"/>
        <w:rPr>
          <w:rFonts w:cs="Arial"/>
        </w:rPr>
      </w:pPr>
      <w:r w:rsidRPr="00E1209E">
        <w:rPr>
          <w:rFonts w:cs="Arial"/>
        </w:rPr>
        <w:t>El Plan de Austeridad de la vigencia 2021 fue estructurado y aprobado en Comité Institucional de Gestión y Desempeño el día 28 de abril de 2021, este contiene indicadores a partir de la vigencia anterior para medir la austeridad y de cumplimiento de las actividades programadas.</w:t>
      </w:r>
    </w:p>
    <w:p w14:paraId="052E14B1" w14:textId="77777777" w:rsidR="00504195" w:rsidRDefault="00504195" w:rsidP="00215880">
      <w:pPr>
        <w:jc w:val="both"/>
        <w:rPr>
          <w:rFonts w:cs="Arial"/>
        </w:rPr>
      </w:pPr>
    </w:p>
    <w:p w14:paraId="40D0002D" w14:textId="77777777" w:rsidR="00E5614D" w:rsidRPr="00B64D8A" w:rsidRDefault="00E5614D" w:rsidP="00215880">
      <w:pPr>
        <w:jc w:val="both"/>
        <w:rPr>
          <w:rFonts w:cs="Arial"/>
        </w:rPr>
      </w:pPr>
    </w:p>
    <w:p w14:paraId="0DE38F72" w14:textId="3512277A" w:rsidR="00504195" w:rsidRDefault="00E5614D" w:rsidP="00AA2B29">
      <w:pPr>
        <w:pStyle w:val="Prrafodelista"/>
        <w:numPr>
          <w:ilvl w:val="2"/>
          <w:numId w:val="5"/>
        </w:numPr>
        <w:jc w:val="both"/>
        <w:rPr>
          <w:rFonts w:cs="Arial"/>
          <w:b/>
        </w:rPr>
      </w:pPr>
      <w:r>
        <w:rPr>
          <w:rFonts w:cs="Arial"/>
          <w:b/>
        </w:rPr>
        <w:t>Artículo 30. Info</w:t>
      </w:r>
      <w:r w:rsidR="00504195">
        <w:rPr>
          <w:rFonts w:cs="Arial"/>
          <w:b/>
        </w:rPr>
        <w:t>r</w:t>
      </w:r>
      <w:r>
        <w:rPr>
          <w:rFonts w:cs="Arial"/>
          <w:b/>
        </w:rPr>
        <w:t>m</w:t>
      </w:r>
      <w:r w:rsidR="00504195">
        <w:rPr>
          <w:rFonts w:cs="Arial"/>
          <w:b/>
        </w:rPr>
        <w:t>es</w:t>
      </w:r>
    </w:p>
    <w:p w14:paraId="485C7B51" w14:textId="77777777" w:rsidR="00504195" w:rsidRDefault="00504195" w:rsidP="008021F5">
      <w:pPr>
        <w:shd w:val="clear" w:color="auto" w:fill="FFFFFF" w:themeFill="background1"/>
        <w:ind w:left="-6"/>
        <w:jc w:val="both"/>
        <w:rPr>
          <w:rFonts w:cs="Arial"/>
        </w:rPr>
      </w:pPr>
    </w:p>
    <w:p w14:paraId="2F606E27" w14:textId="6A66922B" w:rsidR="00504195" w:rsidRDefault="00E5614D" w:rsidP="008021F5">
      <w:pPr>
        <w:shd w:val="clear" w:color="auto" w:fill="FFFFFF" w:themeFill="background1"/>
        <w:ind w:left="-6"/>
        <w:jc w:val="both"/>
        <w:rPr>
          <w:rFonts w:cs="Arial"/>
        </w:rPr>
      </w:pPr>
      <w:r w:rsidRPr="007D567B">
        <w:rPr>
          <w:rFonts w:cs="Arial"/>
        </w:rPr>
        <w:t>S</w:t>
      </w:r>
      <w:r w:rsidR="007D567B" w:rsidRPr="007D567B">
        <w:rPr>
          <w:rFonts w:cs="Arial"/>
        </w:rPr>
        <w:t>i bien s</w:t>
      </w:r>
      <w:r w:rsidRPr="007D567B">
        <w:rPr>
          <w:rFonts w:cs="Arial"/>
        </w:rPr>
        <w:t xml:space="preserve">e evidencia </w:t>
      </w:r>
      <w:r w:rsidR="007D567B" w:rsidRPr="007D567B">
        <w:rPr>
          <w:rFonts w:cs="Arial"/>
        </w:rPr>
        <w:t xml:space="preserve">monitoreo al Plan de Austeridad en el Gasto Público, correspondiente al </w:t>
      </w:r>
      <w:r w:rsidR="005A6CD8">
        <w:rPr>
          <w:rFonts w:cs="Arial"/>
        </w:rPr>
        <w:t>segundo</w:t>
      </w:r>
      <w:r w:rsidR="007D567B" w:rsidRPr="007D567B">
        <w:rPr>
          <w:rFonts w:cs="Arial"/>
        </w:rPr>
        <w:t xml:space="preserve"> semestre de </w:t>
      </w:r>
      <w:r w:rsidRPr="007D567B">
        <w:rPr>
          <w:rFonts w:cs="Arial"/>
        </w:rPr>
        <w:t xml:space="preserve">2021, </w:t>
      </w:r>
      <w:r w:rsidR="007D567B" w:rsidRPr="007D567B">
        <w:rPr>
          <w:rFonts w:cs="Arial"/>
        </w:rPr>
        <w:t>no se encuentra soporte mediante el cual se remita</w:t>
      </w:r>
      <w:r w:rsidRPr="007D567B">
        <w:rPr>
          <w:rFonts w:cs="Arial"/>
        </w:rPr>
        <w:t xml:space="preserve"> a la Secretaría de Cultura, Recreación y Deporte el informe</w:t>
      </w:r>
      <w:r w:rsidR="007D567B" w:rsidRPr="007D567B">
        <w:rPr>
          <w:rFonts w:cs="Arial"/>
        </w:rPr>
        <w:t>, de igual manera, no se observa la publicación del mismo</w:t>
      </w:r>
      <w:r w:rsidR="005A6CD8">
        <w:rPr>
          <w:rFonts w:cs="Arial"/>
        </w:rPr>
        <w:t xml:space="preserve"> en la página Web de la Entidad</w:t>
      </w:r>
      <w:r w:rsidRPr="007D567B">
        <w:rPr>
          <w:rFonts w:cs="Arial"/>
        </w:rPr>
        <w:t>.</w:t>
      </w:r>
    </w:p>
    <w:p w14:paraId="6EED8D4F" w14:textId="77777777" w:rsidR="00162A2F" w:rsidRDefault="00162A2F" w:rsidP="00504195">
      <w:pPr>
        <w:jc w:val="both"/>
        <w:rPr>
          <w:rFonts w:cs="Arial"/>
        </w:rPr>
      </w:pPr>
    </w:p>
    <w:p w14:paraId="413BF9DE" w14:textId="77777777" w:rsidR="006209C5" w:rsidRPr="006209C5" w:rsidRDefault="006209C5" w:rsidP="006209C5">
      <w:pPr>
        <w:ind w:left="-6"/>
        <w:jc w:val="both"/>
        <w:rPr>
          <w:rFonts w:cs="Arial"/>
        </w:rPr>
      </w:pPr>
    </w:p>
    <w:p w14:paraId="4DED78E6" w14:textId="45C4D5F6" w:rsidR="00347C21" w:rsidRDefault="00347C21" w:rsidP="00AA2B29">
      <w:pPr>
        <w:pStyle w:val="Prrafodelista"/>
        <w:numPr>
          <w:ilvl w:val="2"/>
          <w:numId w:val="5"/>
        </w:numPr>
        <w:jc w:val="both"/>
        <w:rPr>
          <w:rFonts w:cs="Arial"/>
          <w:b/>
        </w:rPr>
      </w:pPr>
      <w:r w:rsidRPr="00347C21">
        <w:rPr>
          <w:rFonts w:cs="Arial"/>
          <w:b/>
        </w:rPr>
        <w:t>Artículo 31</w:t>
      </w:r>
      <w:r>
        <w:rPr>
          <w:rFonts w:cs="Arial"/>
          <w:b/>
        </w:rPr>
        <w:t>.</w:t>
      </w:r>
      <w:r w:rsidRPr="00347C21">
        <w:rPr>
          <w:rFonts w:cs="Arial"/>
          <w:b/>
        </w:rPr>
        <w:t xml:space="preserve"> Acuerdos marco de precios</w:t>
      </w:r>
    </w:p>
    <w:p w14:paraId="34ED949D" w14:textId="77777777" w:rsidR="006209C5" w:rsidRDefault="006209C5" w:rsidP="006209C5">
      <w:pPr>
        <w:ind w:left="-6"/>
        <w:jc w:val="both"/>
        <w:rPr>
          <w:rFonts w:cs="Arial"/>
        </w:rPr>
      </w:pPr>
    </w:p>
    <w:p w14:paraId="6F2498AD" w14:textId="01DBBE1D" w:rsidR="00162A2F" w:rsidRDefault="00162A2F" w:rsidP="006209C5">
      <w:pPr>
        <w:ind w:left="-6"/>
        <w:jc w:val="both"/>
        <w:rPr>
          <w:rFonts w:cs="Arial"/>
        </w:rPr>
      </w:pPr>
      <w:r w:rsidRPr="007D567B">
        <w:rPr>
          <w:rFonts w:cs="Arial"/>
        </w:rPr>
        <w:t>De acuerdo con lo informado por la Oficina As</w:t>
      </w:r>
      <w:r w:rsidR="007D567B" w:rsidRPr="007D567B">
        <w:rPr>
          <w:rFonts w:cs="Arial"/>
        </w:rPr>
        <w:t>esora Jurídica se hizo uso de 1 Acuerdo</w:t>
      </w:r>
      <w:r w:rsidRPr="007D567B">
        <w:rPr>
          <w:rFonts w:cs="Arial"/>
        </w:rPr>
        <w:t xml:space="preserve"> Marco de Precios durante el período evaluado.</w:t>
      </w:r>
    </w:p>
    <w:p w14:paraId="47D2E2CB" w14:textId="77777777" w:rsidR="00162A2F" w:rsidRDefault="00162A2F" w:rsidP="006209C5">
      <w:pPr>
        <w:ind w:left="-6"/>
        <w:jc w:val="both"/>
        <w:rPr>
          <w:rFonts w:cs="Arial"/>
        </w:rPr>
      </w:pPr>
    </w:p>
    <w:p w14:paraId="2B5BFB82" w14:textId="77777777" w:rsidR="006209C5" w:rsidRPr="006209C5" w:rsidRDefault="006209C5" w:rsidP="006209C5">
      <w:pPr>
        <w:ind w:left="-6"/>
        <w:jc w:val="both"/>
        <w:rPr>
          <w:rFonts w:cs="Arial"/>
        </w:rPr>
      </w:pPr>
    </w:p>
    <w:p w14:paraId="6A988C78" w14:textId="2B512159" w:rsidR="00347C21" w:rsidRDefault="00347C21" w:rsidP="00AA2B29">
      <w:pPr>
        <w:pStyle w:val="Prrafodelista"/>
        <w:numPr>
          <w:ilvl w:val="2"/>
          <w:numId w:val="5"/>
        </w:numPr>
        <w:jc w:val="both"/>
        <w:rPr>
          <w:rFonts w:cs="Arial"/>
          <w:b/>
        </w:rPr>
      </w:pPr>
      <w:r w:rsidRPr="00347C21">
        <w:rPr>
          <w:rFonts w:cs="Arial"/>
          <w:b/>
        </w:rPr>
        <w:t>Artículo 32</w:t>
      </w:r>
      <w:r>
        <w:rPr>
          <w:rFonts w:cs="Arial"/>
          <w:b/>
        </w:rPr>
        <w:t>.</w:t>
      </w:r>
      <w:r w:rsidRPr="00347C21">
        <w:rPr>
          <w:rFonts w:cs="Arial"/>
          <w:b/>
        </w:rPr>
        <w:t xml:space="preserve"> Con</w:t>
      </w:r>
      <w:r>
        <w:rPr>
          <w:rFonts w:cs="Arial"/>
          <w:b/>
        </w:rPr>
        <w:t>tratación de bienes y servicios</w:t>
      </w:r>
    </w:p>
    <w:p w14:paraId="02CC7502" w14:textId="77777777" w:rsidR="006209C5" w:rsidRDefault="006209C5" w:rsidP="006209C5">
      <w:pPr>
        <w:ind w:left="-6"/>
        <w:jc w:val="both"/>
        <w:rPr>
          <w:rFonts w:cs="Arial"/>
        </w:rPr>
      </w:pPr>
    </w:p>
    <w:p w14:paraId="5AD27087" w14:textId="6EE7F578" w:rsidR="00162A2F" w:rsidRDefault="00162A2F" w:rsidP="006209C5">
      <w:pPr>
        <w:ind w:left="-6"/>
        <w:jc w:val="both"/>
        <w:rPr>
          <w:rFonts w:cs="Arial"/>
        </w:rPr>
      </w:pPr>
      <w:r w:rsidRPr="007D567B">
        <w:rPr>
          <w:rFonts w:cs="Arial"/>
        </w:rPr>
        <w:t>Para la contratación de servicios tales como vigilancia, aseo, cafetería, transporte, archivo, mensajería, etc., se llevan a cabo procesos de selección objetiva,</w:t>
      </w:r>
      <w:r w:rsidR="003E7092" w:rsidRPr="007D567B">
        <w:rPr>
          <w:rFonts w:cs="Arial"/>
        </w:rPr>
        <w:t xml:space="preserve"> tales como licitación pública,</w:t>
      </w:r>
      <w:r w:rsidRPr="007D567B">
        <w:rPr>
          <w:rFonts w:cs="Arial"/>
        </w:rPr>
        <w:t xml:space="preserve"> Mínima cuantía</w:t>
      </w:r>
      <w:r w:rsidR="003E7092" w:rsidRPr="007D567B">
        <w:rPr>
          <w:rFonts w:cs="Arial"/>
        </w:rPr>
        <w:t xml:space="preserve"> y Acuerdos Marco de Precios</w:t>
      </w:r>
      <w:r w:rsidRPr="007D567B">
        <w:rPr>
          <w:rFonts w:cs="Arial"/>
        </w:rPr>
        <w:t>, dando cumplimiento a la Ley de Contratación.</w:t>
      </w:r>
    </w:p>
    <w:p w14:paraId="3C749F33" w14:textId="77777777" w:rsidR="00162A2F" w:rsidRDefault="00162A2F" w:rsidP="006209C5">
      <w:pPr>
        <w:ind w:left="-6"/>
        <w:jc w:val="both"/>
        <w:rPr>
          <w:rFonts w:cs="Arial"/>
        </w:rPr>
      </w:pPr>
    </w:p>
    <w:p w14:paraId="7D2C99E7" w14:textId="77777777" w:rsidR="006209C5" w:rsidRPr="006209C5" w:rsidRDefault="006209C5" w:rsidP="006209C5">
      <w:pPr>
        <w:ind w:left="-6"/>
        <w:jc w:val="both"/>
        <w:rPr>
          <w:rFonts w:cs="Arial"/>
        </w:rPr>
      </w:pPr>
    </w:p>
    <w:p w14:paraId="62792B25" w14:textId="6EF82CA7" w:rsidR="00347C21" w:rsidRDefault="00347C21" w:rsidP="00AA2B29">
      <w:pPr>
        <w:pStyle w:val="Prrafodelista"/>
        <w:numPr>
          <w:ilvl w:val="2"/>
          <w:numId w:val="5"/>
        </w:numPr>
        <w:jc w:val="both"/>
        <w:rPr>
          <w:rFonts w:cs="Arial"/>
          <w:b/>
        </w:rPr>
      </w:pPr>
      <w:r w:rsidRPr="00347C21">
        <w:rPr>
          <w:rFonts w:cs="Arial"/>
          <w:b/>
        </w:rPr>
        <w:t>Artículo 33</w:t>
      </w:r>
      <w:r>
        <w:rPr>
          <w:rFonts w:cs="Arial"/>
          <w:b/>
        </w:rPr>
        <w:t>.</w:t>
      </w:r>
      <w:r w:rsidRPr="00347C21">
        <w:rPr>
          <w:rFonts w:cs="Arial"/>
          <w:b/>
        </w:rPr>
        <w:t xml:space="preserve"> Plantas de personal</w:t>
      </w:r>
    </w:p>
    <w:p w14:paraId="3776ED2F" w14:textId="77777777" w:rsidR="006209C5" w:rsidRDefault="006209C5" w:rsidP="006209C5">
      <w:pPr>
        <w:ind w:left="-6"/>
        <w:jc w:val="both"/>
        <w:rPr>
          <w:rFonts w:cs="Arial"/>
        </w:rPr>
      </w:pPr>
    </w:p>
    <w:p w14:paraId="57077D06" w14:textId="18A81723" w:rsidR="00162A2F" w:rsidRDefault="00162A2F" w:rsidP="006209C5">
      <w:pPr>
        <w:ind w:left="-6"/>
        <w:jc w:val="both"/>
        <w:rPr>
          <w:rFonts w:cs="Arial"/>
        </w:rPr>
      </w:pPr>
      <w:r w:rsidRPr="007D567B">
        <w:rPr>
          <w:rFonts w:cs="Arial"/>
        </w:rPr>
        <w:t>La entidad de manera general cumple con lo normado</w:t>
      </w:r>
    </w:p>
    <w:p w14:paraId="038C615A" w14:textId="77777777" w:rsidR="00162A2F" w:rsidRDefault="00162A2F" w:rsidP="006209C5">
      <w:pPr>
        <w:ind w:left="-6"/>
        <w:jc w:val="both"/>
        <w:rPr>
          <w:rFonts w:cs="Arial"/>
        </w:rPr>
      </w:pPr>
    </w:p>
    <w:p w14:paraId="12920090" w14:textId="77777777" w:rsidR="006209C5" w:rsidRPr="006209C5" w:rsidRDefault="006209C5" w:rsidP="006209C5">
      <w:pPr>
        <w:ind w:left="-6"/>
        <w:jc w:val="both"/>
        <w:rPr>
          <w:rFonts w:cs="Arial"/>
        </w:rPr>
      </w:pPr>
    </w:p>
    <w:p w14:paraId="708E0A15" w14:textId="408D337C" w:rsidR="00347C21" w:rsidRDefault="00347C21" w:rsidP="00AA2B29">
      <w:pPr>
        <w:pStyle w:val="Prrafodelista"/>
        <w:numPr>
          <w:ilvl w:val="2"/>
          <w:numId w:val="5"/>
        </w:numPr>
        <w:jc w:val="both"/>
        <w:rPr>
          <w:rFonts w:cs="Arial"/>
          <w:b/>
        </w:rPr>
      </w:pPr>
      <w:r w:rsidRPr="00347C21">
        <w:rPr>
          <w:rFonts w:cs="Arial"/>
          <w:b/>
        </w:rPr>
        <w:t>Artículo 35</w:t>
      </w:r>
      <w:r>
        <w:rPr>
          <w:rFonts w:cs="Arial"/>
          <w:b/>
        </w:rPr>
        <w:t>.</w:t>
      </w:r>
      <w:r w:rsidRPr="00347C21">
        <w:rPr>
          <w:rFonts w:cs="Arial"/>
          <w:b/>
        </w:rPr>
        <w:t xml:space="preserve"> Procesos y procedimientos</w:t>
      </w:r>
    </w:p>
    <w:p w14:paraId="062C3E34" w14:textId="77777777" w:rsidR="006209C5" w:rsidRDefault="006209C5" w:rsidP="006209C5">
      <w:pPr>
        <w:ind w:left="-6"/>
        <w:jc w:val="both"/>
        <w:rPr>
          <w:rFonts w:cs="Arial"/>
        </w:rPr>
      </w:pPr>
    </w:p>
    <w:p w14:paraId="184C605E" w14:textId="543126CD" w:rsidR="008C1B55" w:rsidRPr="003B2404" w:rsidRDefault="008C1B55" w:rsidP="003B2404">
      <w:pPr>
        <w:ind w:left="-6"/>
        <w:jc w:val="both"/>
        <w:rPr>
          <w:rFonts w:eastAsia="Arial" w:cs="Arial"/>
          <w:szCs w:val="22"/>
        </w:rPr>
      </w:pPr>
      <w:r w:rsidRPr="007D567B">
        <w:rPr>
          <w:rFonts w:cs="Arial"/>
        </w:rPr>
        <w:t xml:space="preserve">De acuerdo con lo informado por la Oficina Asesora de Planeación, durante el </w:t>
      </w:r>
      <w:r w:rsidR="004F223E" w:rsidRPr="007D567B">
        <w:rPr>
          <w:rFonts w:cs="Arial"/>
        </w:rPr>
        <w:t>cuarto</w:t>
      </w:r>
      <w:r w:rsidRPr="007D567B">
        <w:rPr>
          <w:rFonts w:cs="Arial"/>
        </w:rPr>
        <w:t xml:space="preserve"> trimestre de la vigencia 202</w:t>
      </w:r>
      <w:r w:rsidR="003E7092" w:rsidRPr="007D567B">
        <w:rPr>
          <w:rFonts w:cs="Arial"/>
        </w:rPr>
        <w:t>1</w:t>
      </w:r>
      <w:r w:rsidRPr="007D567B">
        <w:rPr>
          <w:rFonts w:cs="Arial"/>
        </w:rPr>
        <w:t xml:space="preserve">, se </w:t>
      </w:r>
      <w:r w:rsidRPr="007D567B">
        <w:rPr>
          <w:rFonts w:eastAsia="Arial" w:cs="Arial"/>
          <w:szCs w:val="22"/>
        </w:rPr>
        <w:t>adelantaron acciones de racio</w:t>
      </w:r>
      <w:r w:rsidR="003E7092" w:rsidRPr="007D567B">
        <w:rPr>
          <w:rFonts w:eastAsia="Arial" w:cs="Arial"/>
          <w:szCs w:val="22"/>
        </w:rPr>
        <w:t xml:space="preserve">nalización y simplificación de </w:t>
      </w:r>
      <w:r w:rsidR="004F223E" w:rsidRPr="007D567B">
        <w:rPr>
          <w:rFonts w:eastAsia="Arial" w:cs="Arial"/>
          <w:szCs w:val="22"/>
        </w:rPr>
        <w:t>10</w:t>
      </w:r>
      <w:r w:rsidRPr="007D567B">
        <w:rPr>
          <w:rFonts w:eastAsia="Arial" w:cs="Arial"/>
          <w:szCs w:val="22"/>
        </w:rPr>
        <w:t xml:space="preserve"> pr</w:t>
      </w:r>
      <w:r w:rsidR="003E7092" w:rsidRPr="007D567B">
        <w:rPr>
          <w:rFonts w:eastAsia="Arial" w:cs="Arial"/>
          <w:szCs w:val="22"/>
        </w:rPr>
        <w:t>ocedimientos</w:t>
      </w:r>
      <w:r w:rsidR="004F223E" w:rsidRPr="007D567B">
        <w:rPr>
          <w:rFonts w:eastAsia="Arial" w:cs="Arial"/>
          <w:szCs w:val="22"/>
        </w:rPr>
        <w:t xml:space="preserve"> y 3 instructivos,</w:t>
      </w:r>
      <w:r w:rsidR="003E7092" w:rsidRPr="007D567B">
        <w:rPr>
          <w:rFonts w:eastAsia="Arial" w:cs="Arial"/>
          <w:szCs w:val="22"/>
        </w:rPr>
        <w:t xml:space="preserve"> </w:t>
      </w:r>
      <w:r w:rsidR="000F488C" w:rsidRPr="007D567B">
        <w:rPr>
          <w:rFonts w:eastAsia="Arial" w:cs="Arial"/>
          <w:szCs w:val="22"/>
        </w:rPr>
        <w:t>correspondientes a</w:t>
      </w:r>
      <w:r w:rsidR="003E7092" w:rsidRPr="007D567B">
        <w:rPr>
          <w:rFonts w:eastAsia="Arial" w:cs="Arial"/>
          <w:szCs w:val="22"/>
        </w:rPr>
        <w:t xml:space="preserve"> los procesos</w:t>
      </w:r>
      <w:r w:rsidR="004F223E" w:rsidRPr="007D567B">
        <w:rPr>
          <w:rFonts w:eastAsia="Arial" w:cs="Arial"/>
          <w:szCs w:val="22"/>
        </w:rPr>
        <w:t xml:space="preserve"> Gestión Contractual, Control Interno Disciplinario, Gestión de Sistemas de Información y Tecnología,</w:t>
      </w:r>
      <w:r w:rsidR="003E7092" w:rsidRPr="007D567B">
        <w:rPr>
          <w:rFonts w:eastAsia="Arial" w:cs="Arial"/>
          <w:szCs w:val="22"/>
        </w:rPr>
        <w:t xml:space="preserve"> </w:t>
      </w:r>
      <w:r w:rsidR="000F488C" w:rsidRPr="007D567B">
        <w:rPr>
          <w:rFonts w:eastAsia="Arial" w:cs="Arial"/>
          <w:szCs w:val="22"/>
        </w:rPr>
        <w:t xml:space="preserve">Gestión del </w:t>
      </w:r>
      <w:r w:rsidR="003E7092" w:rsidRPr="007D567B">
        <w:rPr>
          <w:rFonts w:eastAsia="Arial" w:cs="Arial"/>
          <w:szCs w:val="22"/>
        </w:rPr>
        <w:t>T</w:t>
      </w:r>
      <w:r w:rsidR="004F223E" w:rsidRPr="007D567B">
        <w:rPr>
          <w:rFonts w:eastAsia="Arial" w:cs="Arial"/>
          <w:szCs w:val="22"/>
        </w:rPr>
        <w:t>alento Humano,</w:t>
      </w:r>
      <w:r w:rsidR="000F488C" w:rsidRPr="007D567B">
        <w:rPr>
          <w:rFonts w:eastAsia="Arial" w:cs="Arial"/>
          <w:szCs w:val="22"/>
        </w:rPr>
        <w:t xml:space="preserve"> Gestión Financiera</w:t>
      </w:r>
      <w:r w:rsidR="003E7092" w:rsidRPr="007D567B">
        <w:rPr>
          <w:rFonts w:eastAsia="Arial" w:cs="Arial"/>
          <w:szCs w:val="22"/>
        </w:rPr>
        <w:t xml:space="preserve">, </w:t>
      </w:r>
      <w:r w:rsidR="004F223E" w:rsidRPr="007D567B">
        <w:rPr>
          <w:rFonts w:eastAsia="Arial" w:cs="Arial"/>
          <w:szCs w:val="22"/>
        </w:rPr>
        <w:t xml:space="preserve">Direccionamiento Estratégico y Fortalecimiento del SIG </w:t>
      </w:r>
      <w:r w:rsidR="003E7092" w:rsidRPr="007D567B">
        <w:rPr>
          <w:rFonts w:eastAsia="Arial" w:cs="Arial"/>
          <w:szCs w:val="22"/>
        </w:rPr>
        <w:t xml:space="preserve">que </w:t>
      </w:r>
      <w:r w:rsidR="00AB03F4" w:rsidRPr="007D567B">
        <w:rPr>
          <w:rFonts w:eastAsia="Arial" w:cs="Arial"/>
          <w:szCs w:val="22"/>
        </w:rPr>
        <w:t>conciernen</w:t>
      </w:r>
      <w:r w:rsidR="003E7092" w:rsidRPr="007D567B">
        <w:rPr>
          <w:rFonts w:eastAsia="Arial" w:cs="Arial"/>
          <w:szCs w:val="22"/>
        </w:rPr>
        <w:t xml:space="preserve"> a documentos de trámites internos que de manera directa o indirecta permiten optimizar los recursos </w:t>
      </w:r>
      <w:r w:rsidR="00AB03F4" w:rsidRPr="007D567B">
        <w:rPr>
          <w:rFonts w:eastAsia="Arial" w:cs="Arial"/>
          <w:szCs w:val="22"/>
        </w:rPr>
        <w:t xml:space="preserve">humanos, </w:t>
      </w:r>
      <w:r w:rsidR="003E7092" w:rsidRPr="007D567B">
        <w:rPr>
          <w:rFonts w:eastAsia="Arial" w:cs="Arial"/>
          <w:szCs w:val="22"/>
        </w:rPr>
        <w:t>físicos y financieros.</w:t>
      </w:r>
    </w:p>
    <w:p w14:paraId="0A9DA851" w14:textId="77777777" w:rsidR="00347C21" w:rsidRDefault="00347C21" w:rsidP="003B2404">
      <w:pPr>
        <w:jc w:val="both"/>
        <w:rPr>
          <w:rFonts w:cs="Arial"/>
        </w:rPr>
      </w:pPr>
    </w:p>
    <w:p w14:paraId="7260206B" w14:textId="77777777" w:rsidR="00D81F0C" w:rsidRPr="00E5614D" w:rsidRDefault="00D81F0C" w:rsidP="00E5614D">
      <w:pPr>
        <w:pStyle w:val="Prrafodelista"/>
        <w:jc w:val="both"/>
        <w:rPr>
          <w:rFonts w:cs="Arial"/>
          <w:b/>
        </w:rPr>
      </w:pPr>
    </w:p>
    <w:p w14:paraId="4F990146" w14:textId="5CD4F7A3" w:rsidR="00D81F0C" w:rsidRPr="00D81F0C" w:rsidRDefault="00D81F0C" w:rsidP="00AA2B29">
      <w:pPr>
        <w:pStyle w:val="Prrafodelista"/>
        <w:numPr>
          <w:ilvl w:val="2"/>
          <w:numId w:val="5"/>
        </w:numPr>
        <w:jc w:val="both"/>
        <w:rPr>
          <w:rFonts w:cs="Arial"/>
          <w:b/>
        </w:rPr>
      </w:pPr>
      <w:r w:rsidRPr="00D81F0C">
        <w:rPr>
          <w:rFonts w:cs="Arial"/>
          <w:b/>
        </w:rPr>
        <w:t>Artículo 36. Transparencia en la información</w:t>
      </w:r>
    </w:p>
    <w:p w14:paraId="5D4EEE1C" w14:textId="77777777" w:rsidR="00347C21" w:rsidRDefault="00347C21" w:rsidP="00347C21">
      <w:pPr>
        <w:ind w:left="-6"/>
        <w:jc w:val="both"/>
        <w:rPr>
          <w:rFonts w:cs="Arial"/>
        </w:rPr>
      </w:pPr>
    </w:p>
    <w:p w14:paraId="06383A73" w14:textId="77777777" w:rsidR="005A6CD8" w:rsidRDefault="005A6CD8" w:rsidP="005A6CD8">
      <w:pPr>
        <w:shd w:val="clear" w:color="auto" w:fill="FFFFFF" w:themeFill="background1"/>
        <w:ind w:left="-6"/>
        <w:jc w:val="both"/>
        <w:rPr>
          <w:rFonts w:cs="Arial"/>
        </w:rPr>
      </w:pPr>
      <w:r w:rsidRPr="007D567B">
        <w:rPr>
          <w:rFonts w:cs="Arial"/>
        </w:rPr>
        <w:t xml:space="preserve">Si bien se evidencia monitoreo al Plan de Austeridad en el Gasto Público, correspondiente al </w:t>
      </w:r>
      <w:r>
        <w:rPr>
          <w:rFonts w:cs="Arial"/>
        </w:rPr>
        <w:t>segundo</w:t>
      </w:r>
      <w:r w:rsidRPr="007D567B">
        <w:rPr>
          <w:rFonts w:cs="Arial"/>
        </w:rPr>
        <w:t xml:space="preserve"> semestre de 2021, no se encuentra soporte mediante el cual se remita a la Secretaría de Cultura, Recreación y Deporte el informe, de igual manera, no se observa la publicación del mismo</w:t>
      </w:r>
      <w:r>
        <w:rPr>
          <w:rFonts w:cs="Arial"/>
        </w:rPr>
        <w:t xml:space="preserve"> en la página Web de la Entidad</w:t>
      </w:r>
      <w:r w:rsidRPr="007D567B">
        <w:rPr>
          <w:rFonts w:cs="Arial"/>
        </w:rPr>
        <w:t>.</w:t>
      </w:r>
    </w:p>
    <w:p w14:paraId="1CE68B6A" w14:textId="77777777" w:rsidR="00D81F0C" w:rsidRDefault="00D81F0C" w:rsidP="007D567B">
      <w:pPr>
        <w:jc w:val="both"/>
        <w:rPr>
          <w:rFonts w:cs="Arial"/>
        </w:rPr>
      </w:pPr>
    </w:p>
    <w:p w14:paraId="6ADC34E8" w14:textId="77777777" w:rsidR="00D81F0C" w:rsidRPr="00347C21" w:rsidRDefault="00D81F0C" w:rsidP="00347C21">
      <w:pPr>
        <w:ind w:left="-6"/>
        <w:jc w:val="both"/>
        <w:rPr>
          <w:rFonts w:cs="Arial"/>
        </w:rPr>
      </w:pPr>
    </w:p>
    <w:p w14:paraId="66E104CF" w14:textId="77777777" w:rsidR="007E187A" w:rsidRPr="007E187A" w:rsidRDefault="007E187A" w:rsidP="00AA2B29">
      <w:pPr>
        <w:pStyle w:val="Prrafodelista"/>
        <w:numPr>
          <w:ilvl w:val="0"/>
          <w:numId w:val="1"/>
        </w:numPr>
        <w:jc w:val="center"/>
        <w:rPr>
          <w:rFonts w:cs="Arial"/>
          <w:b/>
        </w:rPr>
      </w:pPr>
      <w:r w:rsidRPr="007E187A">
        <w:rPr>
          <w:rFonts w:cs="Arial"/>
          <w:b/>
        </w:rPr>
        <w:t>FORTALEZAS EVIDENCIADAS</w:t>
      </w:r>
    </w:p>
    <w:p w14:paraId="61D259E2" w14:textId="77777777" w:rsidR="009862D5" w:rsidRPr="00C67D58" w:rsidRDefault="009862D5" w:rsidP="005A1565">
      <w:pPr>
        <w:jc w:val="both"/>
        <w:rPr>
          <w:rFonts w:cs="Arial"/>
          <w:szCs w:val="22"/>
          <w:highlight w:val="yellow"/>
        </w:rPr>
      </w:pPr>
    </w:p>
    <w:p w14:paraId="1CEACEA6" w14:textId="77777777" w:rsidR="00497292" w:rsidRDefault="000D5F46" w:rsidP="00AA2B29">
      <w:pPr>
        <w:pStyle w:val="Prrafodelista"/>
        <w:numPr>
          <w:ilvl w:val="1"/>
          <w:numId w:val="11"/>
        </w:numPr>
        <w:ind w:left="567" w:hanging="567"/>
        <w:jc w:val="both"/>
        <w:rPr>
          <w:rFonts w:cs="Arial"/>
          <w:szCs w:val="22"/>
        </w:rPr>
      </w:pPr>
      <w:r w:rsidRPr="00497292">
        <w:rPr>
          <w:rFonts w:cs="Arial"/>
          <w:szCs w:val="22"/>
        </w:rPr>
        <w:t xml:space="preserve">El </w:t>
      </w:r>
      <w:r w:rsidR="001205A4" w:rsidRPr="00497292">
        <w:rPr>
          <w:rFonts w:cs="Arial"/>
          <w:szCs w:val="22"/>
        </w:rPr>
        <w:t xml:space="preserve"> Plan de Auste</w:t>
      </w:r>
      <w:r w:rsidRPr="00497292">
        <w:rPr>
          <w:rFonts w:cs="Arial"/>
          <w:szCs w:val="22"/>
        </w:rPr>
        <w:t>ridad para la vigencia 2021</w:t>
      </w:r>
      <w:r w:rsidR="001205A4" w:rsidRPr="00497292">
        <w:rPr>
          <w:rFonts w:cs="Arial"/>
          <w:szCs w:val="22"/>
        </w:rPr>
        <w:t xml:space="preserve"> contiene los indicadores establecidos en la normatividad vigente.</w:t>
      </w:r>
    </w:p>
    <w:p w14:paraId="2DD0AF28" w14:textId="77777777" w:rsidR="00497292" w:rsidRDefault="009862D5" w:rsidP="00AA2B29">
      <w:pPr>
        <w:pStyle w:val="Prrafodelista"/>
        <w:numPr>
          <w:ilvl w:val="1"/>
          <w:numId w:val="11"/>
        </w:numPr>
        <w:ind w:left="567" w:hanging="567"/>
        <w:jc w:val="both"/>
        <w:rPr>
          <w:rFonts w:cs="Arial"/>
          <w:szCs w:val="22"/>
        </w:rPr>
      </w:pPr>
      <w:r w:rsidRPr="00497292">
        <w:rPr>
          <w:rFonts w:cs="Arial"/>
          <w:szCs w:val="22"/>
        </w:rPr>
        <w:t>Se cuenta con Plan de Gestión Ambiental, a partir del cual se generan campañas de ahorro, mediciones de consumos y recomendaciones para la mejora en materia ambiental.</w:t>
      </w:r>
    </w:p>
    <w:p w14:paraId="1D9F28AB" w14:textId="39DC5C03" w:rsidR="005A1565" w:rsidRPr="00497292" w:rsidRDefault="005A1565" w:rsidP="00AA2B29">
      <w:pPr>
        <w:pStyle w:val="Prrafodelista"/>
        <w:numPr>
          <w:ilvl w:val="1"/>
          <w:numId w:val="11"/>
        </w:numPr>
        <w:ind w:left="567" w:hanging="567"/>
        <w:jc w:val="both"/>
        <w:rPr>
          <w:rFonts w:cs="Arial"/>
          <w:szCs w:val="22"/>
        </w:rPr>
      </w:pPr>
      <w:r w:rsidRPr="00497292">
        <w:rPr>
          <w:rFonts w:cs="Arial"/>
          <w:szCs w:val="22"/>
        </w:rPr>
        <w:t>Se evidencia la mejora en algunos de los ítems evaluados, a partir de las acciones incluidas en el plan de mejoramiento suscrito, particularmente en el diligenciamiento de planillas de control de rutas.</w:t>
      </w:r>
    </w:p>
    <w:p w14:paraId="160E90F4" w14:textId="77777777" w:rsidR="00EB3EAC" w:rsidRDefault="00EB3EAC" w:rsidP="00EB3EAC">
      <w:pPr>
        <w:jc w:val="both"/>
        <w:rPr>
          <w:rFonts w:cs="Arial"/>
          <w:szCs w:val="22"/>
        </w:rPr>
      </w:pPr>
    </w:p>
    <w:p w14:paraId="3DF01847" w14:textId="77777777" w:rsidR="00117848" w:rsidRDefault="00117848" w:rsidP="00EB3EAC">
      <w:pPr>
        <w:jc w:val="both"/>
        <w:rPr>
          <w:rFonts w:cs="Arial"/>
          <w:szCs w:val="22"/>
        </w:rPr>
      </w:pPr>
    </w:p>
    <w:p w14:paraId="6DF4F29C" w14:textId="77777777" w:rsidR="001E171B" w:rsidRPr="00EB3EAC" w:rsidRDefault="001E171B" w:rsidP="00EB3EAC">
      <w:pPr>
        <w:jc w:val="both"/>
        <w:rPr>
          <w:rFonts w:cs="Arial"/>
          <w:szCs w:val="22"/>
        </w:rPr>
      </w:pPr>
    </w:p>
    <w:p w14:paraId="58737FF6" w14:textId="77777777" w:rsidR="007E187A" w:rsidRPr="007E187A" w:rsidRDefault="007E187A" w:rsidP="00AA2B29">
      <w:pPr>
        <w:pStyle w:val="Prrafodelista"/>
        <w:numPr>
          <w:ilvl w:val="0"/>
          <w:numId w:val="1"/>
        </w:numPr>
        <w:jc w:val="center"/>
        <w:rPr>
          <w:rFonts w:cs="Arial"/>
          <w:b/>
        </w:rPr>
      </w:pPr>
      <w:r w:rsidRPr="007E187A">
        <w:rPr>
          <w:rFonts w:cs="Arial"/>
          <w:b/>
        </w:rPr>
        <w:lastRenderedPageBreak/>
        <w:t>OBSERVACIONES</w:t>
      </w:r>
    </w:p>
    <w:p w14:paraId="6726BB9E" w14:textId="1D8785AE" w:rsidR="007E187A" w:rsidRDefault="007E187A" w:rsidP="007E187A">
      <w:pPr>
        <w:pStyle w:val="Prrafodelista"/>
        <w:rPr>
          <w:rFonts w:cs="Arial"/>
          <w:b/>
        </w:rPr>
      </w:pPr>
    </w:p>
    <w:p w14:paraId="7729FE57" w14:textId="77777777" w:rsidR="00497292" w:rsidRDefault="000D5F46" w:rsidP="00AA2B29">
      <w:pPr>
        <w:pStyle w:val="Prrafodelista"/>
        <w:numPr>
          <w:ilvl w:val="1"/>
          <w:numId w:val="12"/>
        </w:numPr>
        <w:ind w:left="567" w:hanging="567"/>
        <w:jc w:val="both"/>
        <w:rPr>
          <w:rFonts w:cs="Arial"/>
        </w:rPr>
      </w:pPr>
      <w:r w:rsidRPr="00497292">
        <w:rPr>
          <w:rFonts w:cs="Arial"/>
        </w:rPr>
        <w:t xml:space="preserve">Para el caso de contratos de prestación de servicios personales, </w:t>
      </w:r>
      <w:r w:rsidR="0059758B" w:rsidRPr="00497292">
        <w:rPr>
          <w:rFonts w:cs="Arial"/>
        </w:rPr>
        <w:t xml:space="preserve">se evidencia que </w:t>
      </w:r>
      <w:r w:rsidR="005A1565" w:rsidRPr="00497292">
        <w:rPr>
          <w:rFonts w:cs="Arial"/>
        </w:rPr>
        <w:t>la base de datos remitida por la Oficina Asesora Jurídica presenta inconsistencia en la información relacionada con el valor final de los contratos suscritos, con respecto a lo reportado en el Sistema ORFEO y en los Clausulados respectivos</w:t>
      </w:r>
      <w:r w:rsidRPr="00497292">
        <w:rPr>
          <w:rFonts w:cs="Arial"/>
        </w:rPr>
        <w:t>.</w:t>
      </w:r>
    </w:p>
    <w:p w14:paraId="6AEA8898" w14:textId="77777777" w:rsidR="00497292" w:rsidRDefault="005A1565" w:rsidP="00AA2B29">
      <w:pPr>
        <w:pStyle w:val="Prrafodelista"/>
        <w:numPr>
          <w:ilvl w:val="1"/>
          <w:numId w:val="12"/>
        </w:numPr>
        <w:ind w:left="567" w:hanging="567"/>
        <w:jc w:val="both"/>
        <w:rPr>
          <w:rFonts w:cs="Arial"/>
        </w:rPr>
      </w:pPr>
      <w:r w:rsidRPr="00497292">
        <w:rPr>
          <w:rFonts w:cs="Arial"/>
        </w:rPr>
        <w:t>E</w:t>
      </w:r>
      <w:r w:rsidR="00645185" w:rsidRPr="00497292">
        <w:rPr>
          <w:rFonts w:cs="Arial"/>
        </w:rPr>
        <w:t xml:space="preserve">l contrato de prestación de servicios </w:t>
      </w:r>
      <w:r w:rsidRPr="00497292">
        <w:rPr>
          <w:rFonts w:cs="Arial"/>
        </w:rPr>
        <w:t>IDPC-PSP-530-2021</w:t>
      </w:r>
      <w:r w:rsidR="00645185" w:rsidRPr="00497292">
        <w:rPr>
          <w:rFonts w:cs="Arial"/>
        </w:rPr>
        <w:t xml:space="preserve">, </w:t>
      </w:r>
      <w:r w:rsidRPr="00497292">
        <w:rPr>
          <w:rFonts w:cs="Arial"/>
        </w:rPr>
        <w:t>tiene inconsistencia en el clausulado registrado en SECOP, ya que, presenta un valor total del contrato por $3.748.067 y las mensualidades registradas en la forma de pago, quedaron por valor de $5.622.100.</w:t>
      </w:r>
    </w:p>
    <w:p w14:paraId="690127F5" w14:textId="77777777" w:rsidR="00497292" w:rsidRDefault="00291776" w:rsidP="00AA2B29">
      <w:pPr>
        <w:pStyle w:val="Prrafodelista"/>
        <w:numPr>
          <w:ilvl w:val="1"/>
          <w:numId w:val="12"/>
        </w:numPr>
        <w:ind w:left="567" w:hanging="567"/>
        <w:jc w:val="both"/>
        <w:rPr>
          <w:rFonts w:cs="Arial"/>
        </w:rPr>
      </w:pPr>
      <w:r w:rsidRPr="00497292">
        <w:rPr>
          <w:rFonts w:cs="Arial"/>
        </w:rPr>
        <w:t>La información remitida por la Subdirección de Gestión Corporativa respecto a indemnización por vacaciones, presenta un error en el valor correspondiente a Gladys Sierra Linares, registrándose $8.969.096, siendo el correcto $1.793.811.</w:t>
      </w:r>
    </w:p>
    <w:p w14:paraId="33D1A40D" w14:textId="77777777" w:rsidR="00497292" w:rsidRDefault="00497292" w:rsidP="00AA2B29">
      <w:pPr>
        <w:pStyle w:val="Prrafodelista"/>
        <w:numPr>
          <w:ilvl w:val="1"/>
          <w:numId w:val="12"/>
        </w:numPr>
        <w:ind w:left="567" w:hanging="567"/>
        <w:jc w:val="both"/>
        <w:rPr>
          <w:rFonts w:cs="Arial"/>
        </w:rPr>
      </w:pPr>
      <w:r w:rsidRPr="00497292">
        <w:rPr>
          <w:rFonts w:cs="Arial"/>
        </w:rPr>
        <w:t>No fueron ejecutadas en su totalidad las actividades del Plan de Bienestar y Plan de Capacitación.</w:t>
      </w:r>
    </w:p>
    <w:p w14:paraId="2C8BB652" w14:textId="0C8F44FE" w:rsidR="00497292" w:rsidRPr="00497292" w:rsidRDefault="00497292" w:rsidP="00AA2B29">
      <w:pPr>
        <w:pStyle w:val="Prrafodelista"/>
        <w:numPr>
          <w:ilvl w:val="1"/>
          <w:numId w:val="12"/>
        </w:numPr>
        <w:ind w:left="567" w:hanging="567"/>
        <w:jc w:val="both"/>
        <w:rPr>
          <w:rFonts w:cs="Arial"/>
        </w:rPr>
      </w:pPr>
      <w:r w:rsidRPr="00497292">
        <w:rPr>
          <w:rFonts w:cs="Arial"/>
          <w:color w:val="000000"/>
        </w:rPr>
        <w:t>De acuerdo con lo verificado en las planillas de control de rutas de servicio de transporte entregadas, se observó lo siguiente:</w:t>
      </w:r>
    </w:p>
    <w:p w14:paraId="0FF06E01" w14:textId="77777777" w:rsidR="00497292" w:rsidRPr="00497292" w:rsidRDefault="00497292" w:rsidP="00AA2B29">
      <w:pPr>
        <w:pStyle w:val="Prrafodelista"/>
        <w:numPr>
          <w:ilvl w:val="1"/>
          <w:numId w:val="3"/>
        </w:numPr>
        <w:ind w:left="1134" w:hanging="567"/>
        <w:jc w:val="both"/>
        <w:rPr>
          <w:rFonts w:cs="Arial"/>
        </w:rPr>
      </w:pPr>
      <w:r w:rsidRPr="00497292">
        <w:rPr>
          <w:rFonts w:cs="Arial"/>
          <w:color w:val="000000"/>
        </w:rPr>
        <w:t>A partir del 20 de diciembre de 2021, la información del kilometraje del vehículo con placa OBH307 no pudo ser incluida en el reporte debido a un daño.</w:t>
      </w:r>
    </w:p>
    <w:p w14:paraId="326742E9" w14:textId="15B8C80D" w:rsidR="00497292" w:rsidRPr="00497292" w:rsidRDefault="00497292" w:rsidP="00AA2B29">
      <w:pPr>
        <w:pStyle w:val="Prrafodelista"/>
        <w:numPr>
          <w:ilvl w:val="1"/>
          <w:numId w:val="3"/>
        </w:numPr>
        <w:ind w:left="1134" w:hanging="567"/>
        <w:jc w:val="both"/>
        <w:rPr>
          <w:rFonts w:cs="Arial"/>
        </w:rPr>
      </w:pPr>
      <w:r w:rsidRPr="00497292">
        <w:rPr>
          <w:rFonts w:cs="Arial"/>
          <w:color w:val="000000"/>
        </w:rPr>
        <w:t>El control de rutas correspondiente al vehículo placa OLN296 se presenta en formato excel sin incluir la información precisa sobre el kilometraje, de igual forma, no se evidencian las firmas correspondientes.</w:t>
      </w:r>
    </w:p>
    <w:p w14:paraId="6737DE8D" w14:textId="42364AEF" w:rsidR="00497292" w:rsidRPr="00497292" w:rsidRDefault="00497292" w:rsidP="00AA2B29">
      <w:pPr>
        <w:pStyle w:val="Prrafodelista"/>
        <w:numPr>
          <w:ilvl w:val="1"/>
          <w:numId w:val="12"/>
        </w:numPr>
        <w:ind w:left="567" w:hanging="567"/>
        <w:jc w:val="both"/>
        <w:rPr>
          <w:rFonts w:cs="Arial"/>
          <w:color w:val="000000"/>
        </w:rPr>
      </w:pPr>
      <w:r w:rsidRPr="00497292">
        <w:rPr>
          <w:rFonts w:cs="Arial"/>
          <w:color w:val="000000"/>
        </w:rPr>
        <w:t>Si bien los comprobantes de caja menor cumplen con los requisitos establecidos en la norma, algunos de estos ítems pueden ser objeto de inclusión dentro del contrato de mantenimiento de instalaciones físicas o ferretería para la vigencia</w:t>
      </w:r>
      <w:r w:rsidR="001E171B">
        <w:rPr>
          <w:rFonts w:cs="Arial"/>
          <w:color w:val="000000"/>
        </w:rPr>
        <w:t xml:space="preserve"> 2022</w:t>
      </w:r>
      <w:r w:rsidRPr="00497292">
        <w:rPr>
          <w:rFonts w:cs="Arial"/>
          <w:color w:val="000000"/>
        </w:rPr>
        <w:t>.</w:t>
      </w:r>
    </w:p>
    <w:p w14:paraId="60948C4F" w14:textId="27AE13BF" w:rsidR="004C7E4C" w:rsidRPr="00497292" w:rsidRDefault="004C7E4C" w:rsidP="00AA2B29">
      <w:pPr>
        <w:pStyle w:val="Prrafodelista"/>
        <w:numPr>
          <w:ilvl w:val="1"/>
          <w:numId w:val="12"/>
        </w:numPr>
        <w:ind w:left="567" w:hanging="567"/>
        <w:jc w:val="both"/>
        <w:rPr>
          <w:rFonts w:cs="Arial"/>
          <w:color w:val="000000"/>
        </w:rPr>
      </w:pPr>
      <w:r w:rsidRPr="00497292">
        <w:rPr>
          <w:rFonts w:cs="Arial"/>
          <w:color w:val="000000"/>
        </w:rPr>
        <w:t>El comprobante No 12 de caja menor no fue reconocido en ninguno de los reembolsos de la misma</w:t>
      </w:r>
      <w:r w:rsidR="00497292" w:rsidRPr="00497292">
        <w:rPr>
          <w:rFonts w:cs="Arial"/>
          <w:color w:val="000000"/>
        </w:rPr>
        <w:t>, lo cual no fue incluido en el acta de cierre</w:t>
      </w:r>
      <w:r w:rsidRPr="00497292">
        <w:rPr>
          <w:rFonts w:cs="Arial"/>
          <w:color w:val="000000"/>
        </w:rPr>
        <w:t>.</w:t>
      </w:r>
    </w:p>
    <w:p w14:paraId="47DF114F" w14:textId="77777777" w:rsidR="00645185" w:rsidRDefault="00645185" w:rsidP="00645185">
      <w:pPr>
        <w:pStyle w:val="Prrafodelista"/>
        <w:ind w:left="426"/>
        <w:jc w:val="both"/>
        <w:rPr>
          <w:rFonts w:cs="Arial"/>
        </w:rPr>
      </w:pPr>
    </w:p>
    <w:p w14:paraId="11376D5A" w14:textId="77777777" w:rsidR="007E187A" w:rsidRPr="007E187A" w:rsidRDefault="007E187A" w:rsidP="007E187A">
      <w:pPr>
        <w:pStyle w:val="Prrafodelista"/>
        <w:rPr>
          <w:rFonts w:cs="Arial"/>
          <w:b/>
        </w:rPr>
      </w:pPr>
    </w:p>
    <w:p w14:paraId="53F88F30" w14:textId="77777777" w:rsidR="007E187A" w:rsidRPr="007E187A" w:rsidRDefault="007E187A" w:rsidP="00AA2B29">
      <w:pPr>
        <w:pStyle w:val="Prrafodelista"/>
        <w:numPr>
          <w:ilvl w:val="0"/>
          <w:numId w:val="1"/>
        </w:numPr>
        <w:jc w:val="center"/>
        <w:rPr>
          <w:rFonts w:cs="Arial"/>
          <w:b/>
        </w:rPr>
      </w:pPr>
      <w:r w:rsidRPr="007E187A">
        <w:rPr>
          <w:rFonts w:cs="Arial"/>
          <w:b/>
        </w:rPr>
        <w:t>NO CONFORMIDADES DETECTADAS</w:t>
      </w:r>
    </w:p>
    <w:p w14:paraId="451438C4" w14:textId="77777777" w:rsidR="00A63AAA" w:rsidRDefault="00A63AAA" w:rsidP="00A63AAA">
      <w:pPr>
        <w:pStyle w:val="Prrafodelista"/>
        <w:ind w:left="426"/>
        <w:jc w:val="both"/>
        <w:rPr>
          <w:rFonts w:cs="Arial"/>
          <w:szCs w:val="22"/>
          <w:highlight w:val="yellow"/>
        </w:rPr>
      </w:pPr>
    </w:p>
    <w:p w14:paraId="3C983A21" w14:textId="77777777" w:rsidR="00497292" w:rsidRDefault="00497292" w:rsidP="00AA2B29">
      <w:pPr>
        <w:pStyle w:val="Prrafodelista"/>
        <w:numPr>
          <w:ilvl w:val="1"/>
          <w:numId w:val="10"/>
        </w:numPr>
        <w:ind w:left="567" w:hanging="567"/>
        <w:jc w:val="both"/>
        <w:rPr>
          <w:rFonts w:cs="Arial"/>
        </w:rPr>
      </w:pPr>
      <w:r w:rsidRPr="00497292">
        <w:rPr>
          <w:rFonts w:cs="Arial"/>
        </w:rPr>
        <w:t>Incumplimiento de 3 metas fijadas en el plan de austeridad de la vigencia 2021, pese a las actividades realizadas para lograr la meta.</w:t>
      </w:r>
    </w:p>
    <w:p w14:paraId="06E4B625" w14:textId="7495C345" w:rsidR="00497292" w:rsidRPr="00497292" w:rsidRDefault="00497292" w:rsidP="00AA2B29">
      <w:pPr>
        <w:pStyle w:val="Prrafodelista"/>
        <w:numPr>
          <w:ilvl w:val="1"/>
          <w:numId w:val="10"/>
        </w:numPr>
        <w:ind w:left="567" w:hanging="567"/>
        <w:jc w:val="both"/>
        <w:rPr>
          <w:rFonts w:cs="Arial"/>
        </w:rPr>
      </w:pPr>
      <w:r w:rsidRPr="00497292">
        <w:rPr>
          <w:rFonts w:ascii="LiberationSans" w:hAnsi="LiberationSans" w:cs="LiberationSans"/>
          <w:color w:val="00000A"/>
          <w:szCs w:val="22"/>
        </w:rPr>
        <w:t>Al verificar el contrato IDPC-PS-522-2021 en el SECOP, se evidencia que el documento de ventajas y desventajas fue cargado el 17 de febrero de 2022, es decir, posterior a la solicitud de la Asesoría de Control Interno, aun cuando el contrato fue suscrito el 18 de noviembre de 2021. Adicional a esto, el documento no cuenta con radicado, lo cual no permite garantizar que el mismo haya sido emitido previo a la contratación respectiva.</w:t>
      </w:r>
      <w:r w:rsidR="005A6CD8">
        <w:rPr>
          <w:rFonts w:ascii="LiberationSans" w:hAnsi="LiberationSans" w:cs="LiberationSans"/>
          <w:color w:val="00000A"/>
          <w:szCs w:val="22"/>
        </w:rPr>
        <w:t xml:space="preserve"> Incumpliendo el artículo 13 del Decreto 492 de 2019.</w:t>
      </w:r>
    </w:p>
    <w:p w14:paraId="189378EB" w14:textId="4F125271" w:rsidR="00497292" w:rsidRPr="005A6CD8" w:rsidRDefault="005A6CD8" w:rsidP="00AA2B29">
      <w:pPr>
        <w:pStyle w:val="Prrafodelista"/>
        <w:numPr>
          <w:ilvl w:val="1"/>
          <w:numId w:val="10"/>
        </w:numPr>
        <w:ind w:left="567" w:hanging="567"/>
        <w:jc w:val="both"/>
        <w:rPr>
          <w:rFonts w:cs="Arial"/>
        </w:rPr>
      </w:pPr>
      <w:r w:rsidRPr="007D567B">
        <w:rPr>
          <w:rFonts w:cs="Arial"/>
        </w:rPr>
        <w:t xml:space="preserve">Si bien se evidencia monitoreo al Plan de Austeridad en el Gasto Público, correspondiente al </w:t>
      </w:r>
      <w:r>
        <w:rPr>
          <w:rFonts w:cs="Arial"/>
        </w:rPr>
        <w:t>segundo</w:t>
      </w:r>
      <w:r w:rsidRPr="007D567B">
        <w:rPr>
          <w:rFonts w:cs="Arial"/>
        </w:rPr>
        <w:t xml:space="preserve"> semestre de 2021, no se encuentra soporte mediante el cual se remita a la Secretaría de Cultura, Recreación y Deporte el informe, </w:t>
      </w:r>
      <w:r>
        <w:rPr>
          <w:rFonts w:cs="Arial"/>
        </w:rPr>
        <w:t xml:space="preserve">incumpliendo el artículo 30 </w:t>
      </w:r>
      <w:r>
        <w:rPr>
          <w:rFonts w:ascii="LiberationSans" w:hAnsi="LiberationSans" w:cs="LiberationSans"/>
          <w:color w:val="00000A"/>
          <w:szCs w:val="22"/>
        </w:rPr>
        <w:t>del Decreto 492 de 2019.</w:t>
      </w:r>
    </w:p>
    <w:p w14:paraId="7D1EAD60" w14:textId="554B521A" w:rsidR="005A6CD8" w:rsidRPr="005A6CD8" w:rsidRDefault="005A6CD8" w:rsidP="00AA2B29">
      <w:pPr>
        <w:pStyle w:val="Prrafodelista"/>
        <w:numPr>
          <w:ilvl w:val="1"/>
          <w:numId w:val="10"/>
        </w:numPr>
        <w:ind w:left="567" w:hanging="567"/>
        <w:jc w:val="both"/>
        <w:rPr>
          <w:rFonts w:cs="Arial"/>
        </w:rPr>
      </w:pPr>
      <w:r w:rsidRPr="007D567B">
        <w:rPr>
          <w:rFonts w:cs="Arial"/>
        </w:rPr>
        <w:t xml:space="preserve">Si bien se evidencia monitoreo al Plan de Austeridad en el Gasto Público, correspondiente al </w:t>
      </w:r>
      <w:r>
        <w:rPr>
          <w:rFonts w:cs="Arial"/>
        </w:rPr>
        <w:t>segundo</w:t>
      </w:r>
      <w:r w:rsidRPr="007D567B">
        <w:rPr>
          <w:rFonts w:cs="Arial"/>
        </w:rPr>
        <w:t xml:space="preserve"> semestre de 2021, no se observa la publicación del mismo</w:t>
      </w:r>
      <w:r>
        <w:rPr>
          <w:rFonts w:cs="Arial"/>
        </w:rPr>
        <w:t xml:space="preserve"> en la página Web de la Entidad, incumpliendo el artículo 36 </w:t>
      </w:r>
      <w:r>
        <w:rPr>
          <w:rFonts w:ascii="LiberationSans" w:hAnsi="LiberationSans" w:cs="LiberationSans"/>
          <w:color w:val="00000A"/>
          <w:szCs w:val="22"/>
        </w:rPr>
        <w:t>del Decreto 492 de 2019.</w:t>
      </w:r>
    </w:p>
    <w:p w14:paraId="23D7B760" w14:textId="77777777" w:rsidR="00704D83" w:rsidRDefault="00704D83" w:rsidP="007E187A">
      <w:pPr>
        <w:pStyle w:val="Prrafodelista"/>
        <w:rPr>
          <w:rFonts w:cs="Arial"/>
          <w:b/>
        </w:rPr>
      </w:pPr>
    </w:p>
    <w:p w14:paraId="3626F830" w14:textId="77777777" w:rsidR="005A6CD8" w:rsidRDefault="005A6CD8" w:rsidP="007E187A">
      <w:pPr>
        <w:pStyle w:val="Prrafodelista"/>
        <w:rPr>
          <w:rFonts w:cs="Arial"/>
          <w:b/>
        </w:rPr>
      </w:pPr>
    </w:p>
    <w:p w14:paraId="6F5B231E" w14:textId="77777777" w:rsidR="00117848" w:rsidRDefault="00117848" w:rsidP="007E187A">
      <w:pPr>
        <w:pStyle w:val="Prrafodelista"/>
        <w:rPr>
          <w:rFonts w:cs="Arial"/>
          <w:b/>
        </w:rPr>
      </w:pPr>
    </w:p>
    <w:p w14:paraId="631792E0" w14:textId="77777777" w:rsidR="007E187A" w:rsidRPr="007E187A" w:rsidRDefault="007E187A" w:rsidP="00AA2B29">
      <w:pPr>
        <w:pStyle w:val="Prrafodelista"/>
        <w:numPr>
          <w:ilvl w:val="0"/>
          <w:numId w:val="1"/>
        </w:numPr>
        <w:jc w:val="center"/>
        <w:rPr>
          <w:rFonts w:cs="Arial"/>
          <w:b/>
        </w:rPr>
      </w:pPr>
      <w:r w:rsidRPr="007E187A">
        <w:rPr>
          <w:rFonts w:cs="Arial"/>
          <w:b/>
        </w:rPr>
        <w:lastRenderedPageBreak/>
        <w:t>CONCLUSIÓN GENERAL</w:t>
      </w:r>
    </w:p>
    <w:p w14:paraId="1A6A7B79" w14:textId="77777777" w:rsidR="007E187A" w:rsidRPr="007E187A" w:rsidRDefault="007E187A" w:rsidP="007E187A">
      <w:pPr>
        <w:pStyle w:val="Prrafodelista"/>
        <w:rPr>
          <w:rFonts w:cs="Arial"/>
          <w:b/>
        </w:rPr>
      </w:pPr>
    </w:p>
    <w:p w14:paraId="020F95E5" w14:textId="20B2B1B0" w:rsidR="007E187A" w:rsidRPr="009862D5" w:rsidRDefault="009862D5" w:rsidP="009862D5">
      <w:pPr>
        <w:jc w:val="both"/>
        <w:rPr>
          <w:rFonts w:cs="Arial"/>
        </w:rPr>
      </w:pPr>
      <w:r w:rsidRPr="005A6CD8">
        <w:rPr>
          <w:rFonts w:cs="Arial"/>
          <w:color w:val="000000"/>
        </w:rPr>
        <w:t>El IDPC de manera general, ha dado cumplimiento a los parámetros establecidos en materia de austeridad en el gasto en la normatividad vigente a excepción de algunos caso</w:t>
      </w:r>
      <w:r w:rsidR="000D5F46" w:rsidRPr="005A6CD8">
        <w:rPr>
          <w:rFonts w:cs="Arial"/>
          <w:color w:val="000000"/>
        </w:rPr>
        <w:t>s particulares</w:t>
      </w:r>
      <w:r w:rsidRPr="005A6CD8">
        <w:rPr>
          <w:rFonts w:cs="Arial"/>
          <w:color w:val="000000"/>
        </w:rPr>
        <w:t xml:space="preserve">. El Instituto cuenta con Plan </w:t>
      </w:r>
      <w:r w:rsidR="005A6CD8">
        <w:rPr>
          <w:rFonts w:cs="Arial"/>
          <w:color w:val="000000"/>
        </w:rPr>
        <w:t>de Austeridad en el Gasto, sin embargo, se logró el cumplimiento únicamente del 50% de las metas programadas.</w:t>
      </w:r>
    </w:p>
    <w:p w14:paraId="2AF629DD" w14:textId="77777777" w:rsidR="007E187A" w:rsidRDefault="007E187A" w:rsidP="007E187A">
      <w:pPr>
        <w:pStyle w:val="Prrafodelista"/>
        <w:rPr>
          <w:rFonts w:cs="Arial"/>
          <w:b/>
        </w:rPr>
      </w:pPr>
    </w:p>
    <w:p w14:paraId="4487426C" w14:textId="77777777" w:rsidR="009862D5" w:rsidRPr="007E187A" w:rsidRDefault="009862D5" w:rsidP="007E187A">
      <w:pPr>
        <w:pStyle w:val="Prrafodelista"/>
        <w:rPr>
          <w:rFonts w:cs="Arial"/>
          <w:b/>
        </w:rPr>
      </w:pPr>
    </w:p>
    <w:p w14:paraId="40B0DB8E" w14:textId="77777777" w:rsidR="007E187A" w:rsidRPr="007E187A" w:rsidRDefault="007E187A" w:rsidP="00AA2B29">
      <w:pPr>
        <w:pStyle w:val="Prrafodelista"/>
        <w:numPr>
          <w:ilvl w:val="0"/>
          <w:numId w:val="1"/>
        </w:numPr>
        <w:jc w:val="center"/>
        <w:rPr>
          <w:rFonts w:cs="Arial"/>
          <w:b/>
        </w:rPr>
      </w:pPr>
      <w:r w:rsidRPr="007E187A">
        <w:rPr>
          <w:rFonts w:cs="Arial"/>
          <w:b/>
        </w:rPr>
        <w:t>RECOMENDACIONES</w:t>
      </w:r>
    </w:p>
    <w:p w14:paraId="7A0F0705" w14:textId="77777777" w:rsidR="001E171B" w:rsidRDefault="001E171B" w:rsidP="001E171B">
      <w:pPr>
        <w:pStyle w:val="Prrafodelista"/>
        <w:ind w:left="360"/>
        <w:jc w:val="both"/>
        <w:rPr>
          <w:rFonts w:cs="Arial"/>
        </w:rPr>
      </w:pPr>
    </w:p>
    <w:p w14:paraId="0D55DDD1" w14:textId="1EF92C2C" w:rsidR="009862D5" w:rsidRPr="001E171B" w:rsidRDefault="00EB3EAC" w:rsidP="00AA2B29">
      <w:pPr>
        <w:pStyle w:val="Prrafodelista"/>
        <w:numPr>
          <w:ilvl w:val="1"/>
          <w:numId w:val="7"/>
        </w:numPr>
        <w:ind w:left="567" w:hanging="567"/>
        <w:jc w:val="both"/>
        <w:rPr>
          <w:rFonts w:cs="Arial"/>
        </w:rPr>
      </w:pPr>
      <w:r w:rsidRPr="001E171B">
        <w:rPr>
          <w:rFonts w:cs="Arial"/>
        </w:rPr>
        <w:t>Continuar con la ejecución del</w:t>
      </w:r>
      <w:r w:rsidR="009862D5" w:rsidRPr="001E171B">
        <w:rPr>
          <w:rFonts w:cs="Arial"/>
        </w:rPr>
        <w:t xml:space="preserve"> plan de mejoramiento abierto.</w:t>
      </w:r>
    </w:p>
    <w:p w14:paraId="3C6D5835" w14:textId="77777777" w:rsidR="001E171B" w:rsidRPr="001E171B" w:rsidRDefault="005A6CD8" w:rsidP="00AA2B29">
      <w:pPr>
        <w:pStyle w:val="Prrafodelista"/>
        <w:numPr>
          <w:ilvl w:val="1"/>
          <w:numId w:val="7"/>
        </w:numPr>
        <w:ind w:left="567" w:hanging="567"/>
        <w:jc w:val="both"/>
        <w:rPr>
          <w:rFonts w:cs="Arial"/>
          <w:b/>
        </w:rPr>
      </w:pPr>
      <w:r w:rsidRPr="001E171B">
        <w:rPr>
          <w:rFonts w:cs="Arial"/>
        </w:rPr>
        <w:t>Generar y/o ejecutar controles en la base de contratación, así como en los documentos precontractuales y contractuales que permitan garantizar que la información allí contenida, se encuentra ajustada a la realidad.</w:t>
      </w:r>
    </w:p>
    <w:p w14:paraId="01A1ECBE" w14:textId="77777777" w:rsidR="001E171B" w:rsidRPr="001E171B" w:rsidRDefault="00226E8B" w:rsidP="00AA2B29">
      <w:pPr>
        <w:pStyle w:val="Prrafodelista"/>
        <w:numPr>
          <w:ilvl w:val="1"/>
          <w:numId w:val="7"/>
        </w:numPr>
        <w:ind w:left="567" w:hanging="567"/>
        <w:jc w:val="both"/>
        <w:rPr>
          <w:rFonts w:cs="Arial"/>
          <w:b/>
        </w:rPr>
      </w:pPr>
      <w:r w:rsidRPr="001E171B">
        <w:rPr>
          <w:rFonts w:cs="Arial"/>
        </w:rPr>
        <w:t>Ajustar la información correspondiente a la liquidación de la indemnización de vacaciones, de forma tal que la misma se encuentre alineada con todos los documentos y bases de información asociadas.</w:t>
      </w:r>
    </w:p>
    <w:p w14:paraId="784BBB7B" w14:textId="77777777" w:rsidR="001E171B" w:rsidRPr="001E171B" w:rsidRDefault="005A6CD8" w:rsidP="00AA2B29">
      <w:pPr>
        <w:pStyle w:val="Prrafodelista"/>
        <w:numPr>
          <w:ilvl w:val="1"/>
          <w:numId w:val="7"/>
        </w:numPr>
        <w:ind w:left="567" w:hanging="567"/>
        <w:jc w:val="both"/>
        <w:rPr>
          <w:rFonts w:cs="Arial"/>
          <w:b/>
        </w:rPr>
      </w:pPr>
      <w:r w:rsidRPr="001E171B">
        <w:rPr>
          <w:rFonts w:cs="Arial"/>
        </w:rPr>
        <w:t>Establecer y/o ejecutar controles que eviten el incumplimiento de actividades o metas, incluidas en los diferentes planes institucionales.</w:t>
      </w:r>
    </w:p>
    <w:p w14:paraId="1EEEF8CD" w14:textId="77777777" w:rsidR="001E171B" w:rsidRPr="001E171B" w:rsidRDefault="00226E8B" w:rsidP="00AA2B29">
      <w:pPr>
        <w:pStyle w:val="Prrafodelista"/>
        <w:numPr>
          <w:ilvl w:val="1"/>
          <w:numId w:val="7"/>
        </w:numPr>
        <w:ind w:left="567" w:hanging="567"/>
        <w:jc w:val="both"/>
        <w:rPr>
          <w:rFonts w:cs="Arial"/>
          <w:b/>
        </w:rPr>
      </w:pPr>
      <w:r w:rsidRPr="001E171B">
        <w:rPr>
          <w:rFonts w:cs="Arial"/>
        </w:rPr>
        <w:t xml:space="preserve">Realizar una revisión sobre el daño presentado en el vehículo </w:t>
      </w:r>
      <w:r w:rsidRPr="001E171B">
        <w:rPr>
          <w:rFonts w:cs="Arial"/>
          <w:color w:val="000000"/>
        </w:rPr>
        <w:t>OBH307 que impide la identificación del kilometraje.</w:t>
      </w:r>
    </w:p>
    <w:p w14:paraId="12F17004" w14:textId="77777777" w:rsidR="001E171B" w:rsidRPr="001E171B" w:rsidRDefault="00657051" w:rsidP="00AA2B29">
      <w:pPr>
        <w:pStyle w:val="Prrafodelista"/>
        <w:numPr>
          <w:ilvl w:val="1"/>
          <w:numId w:val="7"/>
        </w:numPr>
        <w:ind w:left="567" w:hanging="567"/>
        <w:jc w:val="both"/>
        <w:rPr>
          <w:rFonts w:cs="Arial"/>
          <w:b/>
        </w:rPr>
      </w:pPr>
      <w:r w:rsidRPr="001E171B">
        <w:rPr>
          <w:rFonts w:cs="Arial"/>
        </w:rPr>
        <w:t xml:space="preserve">Revisar la posibilidad de incluir ítems como </w:t>
      </w:r>
      <w:r w:rsidR="001E171B" w:rsidRPr="001E171B">
        <w:rPr>
          <w:rFonts w:cs="Arial"/>
        </w:rPr>
        <w:t>repuestos</w:t>
      </w:r>
      <w:r w:rsidRPr="001E171B">
        <w:rPr>
          <w:rFonts w:cs="Arial"/>
        </w:rPr>
        <w:t xml:space="preserve">, dentro del contrato de mantenimiento de instalaciones físicas </w:t>
      </w:r>
      <w:r w:rsidR="001E171B" w:rsidRPr="001E171B">
        <w:rPr>
          <w:rFonts w:cs="Arial"/>
        </w:rPr>
        <w:t xml:space="preserve">o ferretería </w:t>
      </w:r>
      <w:r w:rsidRPr="001E171B">
        <w:rPr>
          <w:rFonts w:cs="Arial"/>
        </w:rPr>
        <w:t>programado para la vigencia</w:t>
      </w:r>
      <w:r w:rsidR="001E171B" w:rsidRPr="001E171B">
        <w:rPr>
          <w:rFonts w:cs="Arial"/>
        </w:rPr>
        <w:t xml:space="preserve"> 2022</w:t>
      </w:r>
      <w:r w:rsidRPr="001E171B">
        <w:rPr>
          <w:rFonts w:cs="Arial"/>
        </w:rPr>
        <w:t>.</w:t>
      </w:r>
    </w:p>
    <w:p w14:paraId="13513672" w14:textId="77777777" w:rsidR="001E171B" w:rsidRPr="001E171B" w:rsidRDefault="001E171B" w:rsidP="00AA2B29">
      <w:pPr>
        <w:pStyle w:val="Prrafodelista"/>
        <w:numPr>
          <w:ilvl w:val="1"/>
          <w:numId w:val="7"/>
        </w:numPr>
        <w:ind w:left="567" w:hanging="567"/>
        <w:jc w:val="both"/>
        <w:rPr>
          <w:rFonts w:cs="Arial"/>
          <w:b/>
        </w:rPr>
      </w:pPr>
      <w:r w:rsidRPr="001E171B">
        <w:rPr>
          <w:rFonts w:cs="Arial"/>
        </w:rPr>
        <w:t>Verificar que todos los comprobantes de caja menor sean incluidos en los reembolsos correspondientes, previo al acta de cierre de la misma.</w:t>
      </w:r>
    </w:p>
    <w:p w14:paraId="31F179FC" w14:textId="77777777" w:rsidR="001E171B" w:rsidRPr="001E171B" w:rsidRDefault="001E171B" w:rsidP="00AA2B29">
      <w:pPr>
        <w:pStyle w:val="Prrafodelista"/>
        <w:numPr>
          <w:ilvl w:val="1"/>
          <w:numId w:val="7"/>
        </w:numPr>
        <w:ind w:left="567" w:hanging="567"/>
        <w:jc w:val="both"/>
        <w:rPr>
          <w:rFonts w:cs="Arial"/>
          <w:b/>
        </w:rPr>
      </w:pPr>
      <w:r w:rsidRPr="001E171B">
        <w:rPr>
          <w:rFonts w:cs="Arial"/>
        </w:rPr>
        <w:t xml:space="preserve">Generar e incluir el análisis de ventajas y desventajas mencionado en </w:t>
      </w:r>
      <w:r w:rsidRPr="001E171B">
        <w:rPr>
          <w:rFonts w:ascii="LiberationSans" w:hAnsi="LiberationSans" w:cs="LiberationSans"/>
          <w:color w:val="00000A"/>
          <w:szCs w:val="22"/>
        </w:rPr>
        <w:t>el artículo 13 del Decreto 492 de 2019, dentro de los documentos previos a la contratación.</w:t>
      </w:r>
    </w:p>
    <w:p w14:paraId="31D933CF" w14:textId="77777777" w:rsidR="001E171B" w:rsidRPr="001E171B" w:rsidRDefault="001E171B" w:rsidP="00AA2B29">
      <w:pPr>
        <w:pStyle w:val="Prrafodelista"/>
        <w:numPr>
          <w:ilvl w:val="1"/>
          <w:numId w:val="7"/>
        </w:numPr>
        <w:ind w:left="567" w:hanging="567"/>
        <w:jc w:val="both"/>
        <w:rPr>
          <w:rFonts w:cs="Arial"/>
          <w:b/>
        </w:rPr>
      </w:pPr>
      <w:r w:rsidRPr="001E171B">
        <w:rPr>
          <w:rFonts w:cs="Arial"/>
        </w:rPr>
        <w:t>Socializar el Plan de Austeridad en el Gasto Público adoptado al interior de la Entidad.</w:t>
      </w:r>
    </w:p>
    <w:p w14:paraId="0469DEFD" w14:textId="74A55567" w:rsidR="001E171B" w:rsidRPr="00117848" w:rsidRDefault="001E171B" w:rsidP="00AA2B29">
      <w:pPr>
        <w:pStyle w:val="Prrafodelista"/>
        <w:numPr>
          <w:ilvl w:val="1"/>
          <w:numId w:val="7"/>
        </w:numPr>
        <w:ind w:left="567" w:hanging="567"/>
        <w:jc w:val="both"/>
        <w:rPr>
          <w:rFonts w:cs="Arial"/>
          <w:b/>
        </w:rPr>
      </w:pPr>
      <w:r w:rsidRPr="001E171B">
        <w:rPr>
          <w:rFonts w:cs="Arial"/>
        </w:rPr>
        <w:t>Remitir el informe de seguimiento al Plan de Austeridad en el Gasto Público correspondiente al segundo semestre de la vigencia 2021 a la Secretaría de Cultura, Recreación y Deporte y publicarlo en la página Web de la Entidad.</w:t>
      </w:r>
    </w:p>
    <w:p w14:paraId="0FB71618" w14:textId="77777777" w:rsidR="00117848" w:rsidRDefault="00117848" w:rsidP="00117848">
      <w:pPr>
        <w:jc w:val="both"/>
        <w:rPr>
          <w:rFonts w:cs="Arial"/>
          <w:b/>
        </w:rPr>
      </w:pPr>
    </w:p>
    <w:p w14:paraId="708BCACD" w14:textId="77777777" w:rsidR="00117848" w:rsidRPr="00117848" w:rsidRDefault="00117848" w:rsidP="00117848">
      <w:pPr>
        <w:jc w:val="both"/>
        <w:rPr>
          <w:rFonts w:cs="Arial"/>
          <w:b/>
        </w:rPr>
      </w:pPr>
    </w:p>
    <w:sectPr w:rsidR="00117848" w:rsidRPr="00117848" w:rsidSect="00FC3200">
      <w:headerReference w:type="default" r:id="rId16"/>
      <w:footerReference w:type="default" r:id="rId17"/>
      <w:pgSz w:w="12240" w:h="15840"/>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BB1085" w14:textId="77777777" w:rsidR="00300BDE" w:rsidRDefault="00300BDE" w:rsidP="00106E49">
      <w:r>
        <w:separator/>
      </w:r>
    </w:p>
  </w:endnote>
  <w:endnote w:type="continuationSeparator" w:id="0">
    <w:p w14:paraId="3269678F" w14:textId="77777777" w:rsidR="00300BDE" w:rsidRDefault="00300BDE" w:rsidP="00106E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Cuerpo en alf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iberationSans">
    <w:panose1 w:val="00000000000000000000"/>
    <w:charset w:val="00"/>
    <w:family w:val="auto"/>
    <w:notTrueType/>
    <w:pitch w:val="default"/>
    <w:sig w:usb0="00000003" w:usb1="00000000" w:usb2="00000000" w:usb3="00000000" w:csb0="00000001" w:csb1="00000000"/>
  </w:font>
  <w:font w:name="Code3of9">
    <w:panose1 w:val="00000000000000000000"/>
    <w:charset w:val="00"/>
    <w:family w:val="auto"/>
    <w:pitch w:val="variable"/>
    <w:sig w:usb0="00000003" w:usb1="00000000" w:usb2="00000000" w:usb3="00000000" w:csb0="00000001" w:csb1="00000000"/>
  </w:font>
  <w:font w:name="Andale Sans UI">
    <w:panose1 w:val="00000000000000000000"/>
    <w:charset w:val="00"/>
    <w:family w:val="roman"/>
    <w:notTrueType/>
    <w:pitch w:val="default"/>
  </w:font>
  <w:font w:name="Lucidasans, '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2942"/>
      <w:gridCol w:w="2943"/>
      <w:gridCol w:w="2943"/>
    </w:tblGrid>
    <w:tr w:rsidR="005A1565" w14:paraId="4649E5C5" w14:textId="77777777" w:rsidTr="00455B38">
      <w:tc>
        <w:tcPr>
          <w:tcW w:w="2942" w:type="dxa"/>
        </w:tcPr>
        <w:p w14:paraId="5B4A80BF" w14:textId="260E9B2A" w:rsidR="005A1565" w:rsidRPr="00455B38" w:rsidRDefault="005A1565" w:rsidP="001D2412">
          <w:pPr>
            <w:pStyle w:val="Piedepgina"/>
            <w:rPr>
              <w:sz w:val="18"/>
              <w:szCs w:val="18"/>
            </w:rPr>
          </w:pPr>
          <w:r>
            <w:rPr>
              <w:sz w:val="18"/>
              <w:szCs w:val="18"/>
            </w:rPr>
            <w:t>Versión 03</w:t>
          </w:r>
          <w:r w:rsidRPr="00455B38">
            <w:rPr>
              <w:sz w:val="18"/>
              <w:szCs w:val="18"/>
            </w:rPr>
            <w:t xml:space="preserve">   3</w:t>
          </w:r>
          <w:r>
            <w:rPr>
              <w:sz w:val="18"/>
              <w:szCs w:val="18"/>
            </w:rPr>
            <w:t>1</w:t>
          </w:r>
          <w:r w:rsidRPr="00455B38">
            <w:rPr>
              <w:sz w:val="18"/>
              <w:szCs w:val="18"/>
            </w:rPr>
            <w:t>/</w:t>
          </w:r>
          <w:r>
            <w:rPr>
              <w:sz w:val="18"/>
              <w:szCs w:val="18"/>
            </w:rPr>
            <w:t>12</w:t>
          </w:r>
          <w:r w:rsidRPr="00455B38">
            <w:rPr>
              <w:sz w:val="18"/>
              <w:szCs w:val="18"/>
            </w:rPr>
            <w:t>/2020</w:t>
          </w:r>
        </w:p>
      </w:tc>
      <w:tc>
        <w:tcPr>
          <w:tcW w:w="2943" w:type="dxa"/>
        </w:tcPr>
        <w:p w14:paraId="543A11A7" w14:textId="77777777" w:rsidR="005A1565" w:rsidRDefault="005A1565">
          <w:pPr>
            <w:pStyle w:val="Piedepgina"/>
          </w:pPr>
        </w:p>
      </w:tc>
      <w:tc>
        <w:tcPr>
          <w:tcW w:w="2943" w:type="dxa"/>
        </w:tcPr>
        <w:p w14:paraId="52C40D95" w14:textId="77777777" w:rsidR="005A1565" w:rsidRDefault="005A1565">
          <w:pPr>
            <w:pStyle w:val="Piedepgina"/>
          </w:pPr>
        </w:p>
      </w:tc>
    </w:tr>
  </w:tbl>
  <w:p w14:paraId="5B4AE9E1" w14:textId="77777777" w:rsidR="005A1565" w:rsidRPr="00455B38" w:rsidRDefault="005A1565" w:rsidP="00455B38">
    <w:pPr>
      <w:pStyle w:val="Piedepgina"/>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4C652" w14:textId="77777777" w:rsidR="00300BDE" w:rsidRDefault="00300BDE" w:rsidP="00106E49">
      <w:r>
        <w:separator/>
      </w:r>
    </w:p>
  </w:footnote>
  <w:footnote w:type="continuationSeparator" w:id="0">
    <w:p w14:paraId="194ABEE3" w14:textId="77777777" w:rsidR="00300BDE" w:rsidRDefault="00300BDE" w:rsidP="00106E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4395"/>
      <w:gridCol w:w="3021"/>
    </w:tblGrid>
    <w:tr w:rsidR="005A1565" w14:paraId="17F55E8E" w14:textId="77777777" w:rsidTr="00244108">
      <w:trPr>
        <w:trHeight w:val="268"/>
      </w:trPr>
      <w:tc>
        <w:tcPr>
          <w:tcW w:w="800" w:type="pct"/>
          <w:vMerge w:val="restart"/>
          <w:vAlign w:val="center"/>
        </w:tcPr>
        <w:p w14:paraId="7FFF3766" w14:textId="301B7BC8" w:rsidR="005A1565" w:rsidRDefault="005A1565" w:rsidP="00455B38">
          <w:pPr>
            <w:pStyle w:val="Encabezado"/>
            <w:jc w:val="center"/>
          </w:pPr>
          <w:r>
            <w:rPr>
              <w:noProof/>
              <w:lang w:eastAsia="es-CO"/>
            </w:rPr>
            <w:drawing>
              <wp:inline distT="0" distB="0" distL="0" distR="0" wp14:anchorId="296869BF" wp14:editId="0EE6423E">
                <wp:extent cx="775970" cy="672465"/>
                <wp:effectExtent l="0" t="0" r="0" b="635"/>
                <wp:docPr id="3"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75970" cy="672465"/>
                        </a:xfrm>
                        <a:prstGeom prst="rect">
                          <a:avLst/>
                        </a:prstGeom>
                        <a:ln/>
                      </pic:spPr>
                    </pic:pic>
                  </a:graphicData>
                </a:graphic>
              </wp:inline>
            </w:drawing>
          </w:r>
        </w:p>
      </w:tc>
      <w:tc>
        <w:tcPr>
          <w:tcW w:w="2489" w:type="pct"/>
          <w:vAlign w:val="center"/>
        </w:tcPr>
        <w:p w14:paraId="7CFD37E4" w14:textId="6B6BB5CD" w:rsidR="005A1565" w:rsidRPr="002F1F7E" w:rsidRDefault="005A1565" w:rsidP="00455B38">
          <w:pPr>
            <w:pStyle w:val="Encabezado"/>
            <w:jc w:val="center"/>
            <w:rPr>
              <w:b/>
              <w:bCs/>
              <w:sz w:val="18"/>
              <w:szCs w:val="18"/>
            </w:rPr>
          </w:pPr>
          <w:r w:rsidRPr="002F1F7E">
            <w:rPr>
              <w:b/>
              <w:bCs/>
              <w:sz w:val="18"/>
              <w:szCs w:val="18"/>
            </w:rPr>
            <w:t>INSTITUTO DISTRITAL DE PATRIMONIO CULTURAL</w:t>
          </w:r>
        </w:p>
      </w:tc>
      <w:tc>
        <w:tcPr>
          <w:tcW w:w="1711" w:type="pct"/>
          <w:vMerge w:val="restart"/>
          <w:vAlign w:val="center"/>
        </w:tcPr>
        <w:p w14:paraId="22B738FF" w14:textId="77777777" w:rsidR="005A1565" w:rsidRPr="00C2554A" w:rsidRDefault="005A1565" w:rsidP="00455B38">
          <w:pPr>
            <w:pStyle w:val="Encabezamiento"/>
            <w:jc w:val="right"/>
            <w:rPr>
              <w:rFonts w:ascii="Code3of9" w:eastAsia="Andale Sans UI" w:hAnsi="Code3of9" w:cs="Lucidasans, 'Times New Roman'"/>
              <w:sz w:val="28"/>
              <w:szCs w:val="28"/>
              <w:lang w:val="en-US"/>
            </w:rPr>
          </w:pPr>
          <w:r w:rsidRPr="00C2554A">
            <w:rPr>
              <w:rFonts w:ascii="Code3of9" w:eastAsia="Andale Sans UI" w:hAnsi="Code3of9" w:cs="Lucidasans, 'Times New Roman'"/>
              <w:sz w:val="28"/>
              <w:szCs w:val="28"/>
              <w:lang w:val="en-US"/>
            </w:rPr>
            <w:t>*20221200054793*</w:t>
          </w:r>
        </w:p>
        <w:p w14:paraId="6A124EDA" w14:textId="375563B4" w:rsidR="005A1565" w:rsidRDefault="005A1565" w:rsidP="00455B38">
          <w:pPr>
            <w:pStyle w:val="Sinespaciado"/>
            <w:jc w:val="right"/>
            <w:rPr>
              <w:rFonts w:ascii="Times New Roman" w:eastAsia="Times New Roman" w:hAnsi="Times New Roman" w:cs="Times New Roman"/>
              <w:sz w:val="16"/>
              <w:szCs w:val="16"/>
              <w:lang w:val="en-US"/>
            </w:rPr>
          </w:pPr>
          <w:r w:rsidRPr="00645334">
            <w:rPr>
              <w:rFonts w:ascii="Arial" w:eastAsia="Times New Roman" w:hAnsi="Arial" w:cs="Arial"/>
              <w:sz w:val="16"/>
              <w:szCs w:val="16"/>
              <w:lang w:val="en-US"/>
            </w:rPr>
            <w:t>Radicado:</w:t>
          </w:r>
          <w:r>
            <w:rPr>
              <w:rFonts w:ascii="Times New Roman" w:eastAsia="Times New Roman" w:hAnsi="Times New Roman" w:cs="Times New Roman"/>
              <w:sz w:val="16"/>
              <w:szCs w:val="16"/>
              <w:lang w:val="en-US"/>
            </w:rPr>
            <w:t xml:space="preserve"> </w:t>
          </w:r>
          <w:r>
            <w:rPr>
              <w:rFonts w:ascii="Arial" w:eastAsia="Times New Roman" w:hAnsi="Arial" w:cs="Times New Roman"/>
              <w:b/>
              <w:bCs/>
              <w:sz w:val="20"/>
              <w:szCs w:val="20"/>
              <w:lang w:val="en-US"/>
            </w:rPr>
            <w:t>20221200054793</w:t>
          </w:r>
        </w:p>
        <w:p w14:paraId="5B67E539" w14:textId="77777777" w:rsidR="005A1565" w:rsidRDefault="005A1565" w:rsidP="00455B38">
          <w:pPr>
            <w:pStyle w:val="Sinespaciado"/>
            <w:jc w:val="right"/>
            <w:rPr>
              <w:rFonts w:ascii="Arial" w:eastAsia="Times New Roman" w:hAnsi="Arial" w:cs="Times New Roman"/>
              <w:sz w:val="20"/>
              <w:szCs w:val="20"/>
              <w:lang w:val="en-US"/>
            </w:rPr>
          </w:pPr>
          <w:r w:rsidRPr="00645334">
            <w:rPr>
              <w:rFonts w:ascii="Arial" w:eastAsia="Times New Roman" w:hAnsi="Arial" w:cs="Times New Roman"/>
              <w:sz w:val="16"/>
              <w:szCs w:val="16"/>
              <w:lang w:val="en-US"/>
            </w:rPr>
            <w:t xml:space="preserve">Fecha: </w:t>
          </w:r>
          <w:r>
            <w:rPr>
              <w:rFonts w:ascii="Arial" w:eastAsia="Times New Roman" w:hAnsi="Arial" w:cs="Times New Roman"/>
              <w:sz w:val="20"/>
              <w:szCs w:val="20"/>
              <w:lang w:val="en-US"/>
            </w:rPr>
            <w:t>11-03-2022</w:t>
          </w:r>
        </w:p>
        <w:p w14:paraId="19561F24" w14:textId="2F8C69FD" w:rsidR="005A1565" w:rsidRDefault="005A1565" w:rsidP="00455B38">
          <w:pPr>
            <w:pStyle w:val="Encabezado"/>
            <w:jc w:val="right"/>
          </w:pPr>
          <w:r w:rsidRPr="006C56C7">
            <w:rPr>
              <w:rFonts w:cs="Arial"/>
              <w:sz w:val="18"/>
              <w:szCs w:val="18"/>
              <w:lang w:val="en-US"/>
            </w:rPr>
            <w:t xml:space="preserve">Pág. </w:t>
          </w:r>
          <w:r w:rsidRPr="006C56C7">
            <w:rPr>
              <w:rFonts w:cs="Arial"/>
              <w:sz w:val="18"/>
              <w:szCs w:val="18"/>
              <w:lang w:val="en-US"/>
            </w:rPr>
            <w:fldChar w:fldCharType="begin"/>
          </w:r>
          <w:r w:rsidRPr="006C56C7">
            <w:rPr>
              <w:rFonts w:cs="Arial"/>
              <w:sz w:val="18"/>
              <w:szCs w:val="18"/>
            </w:rPr>
            <w:instrText>PAGE</w:instrText>
          </w:r>
          <w:r w:rsidRPr="006C56C7">
            <w:rPr>
              <w:rFonts w:cs="Arial"/>
              <w:sz w:val="18"/>
              <w:szCs w:val="18"/>
            </w:rPr>
            <w:fldChar w:fldCharType="separate"/>
          </w:r>
          <w:r w:rsidR="00DF19D9">
            <w:rPr>
              <w:rFonts w:cs="Arial"/>
              <w:noProof/>
              <w:sz w:val="18"/>
              <w:szCs w:val="18"/>
            </w:rPr>
            <w:t>34</w:t>
          </w:r>
          <w:r w:rsidRPr="006C56C7">
            <w:rPr>
              <w:rFonts w:cs="Arial"/>
              <w:sz w:val="18"/>
              <w:szCs w:val="18"/>
            </w:rPr>
            <w:fldChar w:fldCharType="end"/>
          </w:r>
          <w:r w:rsidRPr="006C56C7">
            <w:rPr>
              <w:rFonts w:cs="Arial"/>
              <w:sz w:val="18"/>
              <w:szCs w:val="18"/>
              <w:lang w:val="en-US"/>
            </w:rPr>
            <w:t xml:space="preserve"> de </w:t>
          </w:r>
          <w:r w:rsidRPr="006C56C7">
            <w:rPr>
              <w:rFonts w:cs="Arial"/>
              <w:sz w:val="18"/>
              <w:szCs w:val="18"/>
              <w:lang w:val="en-US"/>
            </w:rPr>
            <w:fldChar w:fldCharType="begin"/>
          </w:r>
          <w:r w:rsidRPr="006C56C7">
            <w:rPr>
              <w:rFonts w:cs="Arial"/>
              <w:sz w:val="18"/>
              <w:szCs w:val="18"/>
            </w:rPr>
            <w:instrText>NUMPAGES</w:instrText>
          </w:r>
          <w:r w:rsidRPr="006C56C7">
            <w:rPr>
              <w:rFonts w:cs="Arial"/>
              <w:sz w:val="18"/>
              <w:szCs w:val="18"/>
            </w:rPr>
            <w:fldChar w:fldCharType="separate"/>
          </w:r>
          <w:r w:rsidR="00DF19D9">
            <w:rPr>
              <w:rFonts w:cs="Arial"/>
              <w:noProof/>
              <w:sz w:val="18"/>
              <w:szCs w:val="18"/>
            </w:rPr>
            <w:t>34</w:t>
          </w:r>
          <w:r w:rsidRPr="006C56C7">
            <w:rPr>
              <w:rFonts w:cs="Arial"/>
              <w:sz w:val="18"/>
              <w:szCs w:val="18"/>
            </w:rPr>
            <w:fldChar w:fldCharType="end"/>
          </w:r>
        </w:p>
      </w:tc>
    </w:tr>
    <w:tr w:rsidR="005A1565" w14:paraId="08F8725E" w14:textId="77777777" w:rsidTr="00244108">
      <w:trPr>
        <w:trHeight w:val="343"/>
      </w:trPr>
      <w:tc>
        <w:tcPr>
          <w:tcW w:w="800" w:type="pct"/>
          <w:vMerge/>
          <w:vAlign w:val="center"/>
        </w:tcPr>
        <w:p w14:paraId="657EB559" w14:textId="77777777" w:rsidR="005A1565" w:rsidRDefault="005A1565" w:rsidP="00455B38">
          <w:pPr>
            <w:pStyle w:val="Encabezado"/>
            <w:jc w:val="center"/>
          </w:pPr>
        </w:p>
      </w:tc>
      <w:tc>
        <w:tcPr>
          <w:tcW w:w="2489" w:type="pct"/>
          <w:vAlign w:val="center"/>
        </w:tcPr>
        <w:p w14:paraId="48FFF810" w14:textId="1FEBDBD4" w:rsidR="005A1565" w:rsidRPr="002F1F7E" w:rsidRDefault="005A1565" w:rsidP="00455B38">
          <w:pPr>
            <w:pStyle w:val="Encabezado"/>
            <w:jc w:val="center"/>
            <w:rPr>
              <w:b/>
              <w:bCs/>
              <w:sz w:val="18"/>
              <w:szCs w:val="18"/>
            </w:rPr>
          </w:pPr>
          <w:r>
            <w:rPr>
              <w:b/>
              <w:bCs/>
              <w:sz w:val="18"/>
              <w:szCs w:val="18"/>
            </w:rPr>
            <w:t>PROCESO DE SEGUIMIENTO Y EVALUACIÓN</w:t>
          </w:r>
        </w:p>
      </w:tc>
      <w:tc>
        <w:tcPr>
          <w:tcW w:w="1711" w:type="pct"/>
          <w:vMerge/>
          <w:vAlign w:val="center"/>
        </w:tcPr>
        <w:p w14:paraId="1EDC6AC3" w14:textId="77777777" w:rsidR="005A1565" w:rsidRDefault="005A1565" w:rsidP="00455B38">
          <w:pPr>
            <w:pStyle w:val="Encabezado"/>
            <w:jc w:val="center"/>
          </w:pPr>
        </w:p>
      </w:tc>
    </w:tr>
    <w:tr w:rsidR="005A1565" w14:paraId="3DC35361" w14:textId="77777777" w:rsidTr="00244108">
      <w:tc>
        <w:tcPr>
          <w:tcW w:w="800" w:type="pct"/>
          <w:vMerge/>
          <w:vAlign w:val="center"/>
        </w:tcPr>
        <w:p w14:paraId="581663E7" w14:textId="77777777" w:rsidR="005A1565" w:rsidRDefault="005A1565" w:rsidP="00455B38">
          <w:pPr>
            <w:pStyle w:val="Encabezado"/>
            <w:jc w:val="center"/>
          </w:pPr>
        </w:p>
      </w:tc>
      <w:tc>
        <w:tcPr>
          <w:tcW w:w="2489" w:type="pct"/>
          <w:vAlign w:val="center"/>
        </w:tcPr>
        <w:p w14:paraId="6E036EAE" w14:textId="216961A6" w:rsidR="005A1565" w:rsidRPr="002F1F7E" w:rsidRDefault="005A1565" w:rsidP="00455B38">
          <w:pPr>
            <w:pStyle w:val="Encabezado"/>
            <w:jc w:val="center"/>
            <w:rPr>
              <w:b/>
              <w:bCs/>
              <w:sz w:val="18"/>
              <w:szCs w:val="18"/>
            </w:rPr>
          </w:pPr>
          <w:r w:rsidRPr="0045782D">
            <w:rPr>
              <w:b/>
              <w:bCs/>
              <w:sz w:val="18"/>
              <w:szCs w:val="18"/>
            </w:rPr>
            <w:t>INFORME DE SEGUIMIENTO Y/O EVALUACIÓN</w:t>
          </w:r>
        </w:p>
      </w:tc>
      <w:tc>
        <w:tcPr>
          <w:tcW w:w="1711" w:type="pct"/>
          <w:vMerge/>
          <w:vAlign w:val="center"/>
        </w:tcPr>
        <w:p w14:paraId="14B9FA48" w14:textId="77777777" w:rsidR="005A1565" w:rsidRDefault="005A1565" w:rsidP="00455B38">
          <w:pPr>
            <w:pStyle w:val="Encabezado"/>
            <w:jc w:val="center"/>
          </w:pPr>
        </w:p>
      </w:tc>
    </w:tr>
  </w:tbl>
  <w:p w14:paraId="1D78BD1D" w14:textId="77777777" w:rsidR="005A1565" w:rsidRDefault="005A156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65B01"/>
    <w:multiLevelType w:val="hybridMultilevel"/>
    <w:tmpl w:val="BC3244E2"/>
    <w:lvl w:ilvl="0" w:tplc="240A000D">
      <w:start w:val="1"/>
      <w:numFmt w:val="bullet"/>
      <w:lvlText w:val=""/>
      <w:lvlJc w:val="left"/>
      <w:pPr>
        <w:ind w:left="720" w:hanging="360"/>
      </w:pPr>
      <w:rPr>
        <w:rFonts w:ascii="Wingdings" w:hAnsi="Wingdings" w:hint="default"/>
      </w:rPr>
    </w:lvl>
    <w:lvl w:ilvl="1" w:tplc="F86C0C1E">
      <w:numFmt w:val="bullet"/>
      <w:lvlText w:val=""/>
      <w:lvlJc w:val="left"/>
      <w:pPr>
        <w:ind w:left="1440" w:hanging="360"/>
      </w:pPr>
      <w:rPr>
        <w:rFonts w:ascii="Symbol" w:eastAsia="Calibri"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55B062B"/>
    <w:multiLevelType w:val="multilevel"/>
    <w:tmpl w:val="D30AE5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807D35"/>
    <w:multiLevelType w:val="hybridMultilevel"/>
    <w:tmpl w:val="19203230"/>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0B8793B"/>
    <w:multiLevelType w:val="multilevel"/>
    <w:tmpl w:val="411AD3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91D68C4"/>
    <w:multiLevelType w:val="multilevel"/>
    <w:tmpl w:val="A64E839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D635DAC"/>
    <w:multiLevelType w:val="hybridMultilevel"/>
    <w:tmpl w:val="979E174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C9F2EA5"/>
    <w:multiLevelType w:val="multilevel"/>
    <w:tmpl w:val="AC604A6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D656A4F"/>
    <w:multiLevelType w:val="multilevel"/>
    <w:tmpl w:val="B03EDC7C"/>
    <w:lvl w:ilvl="0">
      <w:start w:val="1"/>
      <w:numFmt w:val="decimal"/>
      <w:lvlText w:val="%1."/>
      <w:lvlJc w:val="left"/>
      <w:pPr>
        <w:ind w:left="354"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6" w:hanging="720"/>
      </w:pPr>
      <w:rPr>
        <w:rFonts w:hint="default"/>
        <w:b/>
      </w:rPr>
    </w:lvl>
    <w:lvl w:ilvl="3">
      <w:start w:val="1"/>
      <w:numFmt w:val="decimal"/>
      <w:isLgl/>
      <w:lvlText w:val="%1.%2.%3.%4"/>
      <w:lvlJc w:val="left"/>
      <w:pPr>
        <w:ind w:left="732" w:hanging="720"/>
      </w:pPr>
      <w:rPr>
        <w:rFonts w:hint="default"/>
        <w:b/>
      </w:rPr>
    </w:lvl>
    <w:lvl w:ilvl="4">
      <w:start w:val="1"/>
      <w:numFmt w:val="decimal"/>
      <w:isLgl/>
      <w:lvlText w:val="%1.%2.%3.%4.%5"/>
      <w:lvlJc w:val="left"/>
      <w:pPr>
        <w:ind w:left="1098" w:hanging="1080"/>
      </w:pPr>
      <w:rPr>
        <w:rFonts w:hint="default"/>
        <w:b/>
      </w:rPr>
    </w:lvl>
    <w:lvl w:ilvl="5">
      <w:start w:val="1"/>
      <w:numFmt w:val="decimal"/>
      <w:isLgl/>
      <w:lvlText w:val="%1.%2.%3.%4.%5.%6"/>
      <w:lvlJc w:val="left"/>
      <w:pPr>
        <w:ind w:left="1104" w:hanging="1080"/>
      </w:pPr>
      <w:rPr>
        <w:rFonts w:hint="default"/>
        <w:b/>
      </w:rPr>
    </w:lvl>
    <w:lvl w:ilvl="6">
      <w:start w:val="1"/>
      <w:numFmt w:val="decimal"/>
      <w:isLgl/>
      <w:lvlText w:val="%1.%2.%3.%4.%5.%6.%7"/>
      <w:lvlJc w:val="left"/>
      <w:pPr>
        <w:ind w:left="1470" w:hanging="1440"/>
      </w:pPr>
      <w:rPr>
        <w:rFonts w:hint="default"/>
        <w:b/>
      </w:rPr>
    </w:lvl>
    <w:lvl w:ilvl="7">
      <w:start w:val="1"/>
      <w:numFmt w:val="decimal"/>
      <w:isLgl/>
      <w:lvlText w:val="%1.%2.%3.%4.%5.%6.%7.%8"/>
      <w:lvlJc w:val="left"/>
      <w:pPr>
        <w:ind w:left="1476" w:hanging="1440"/>
      </w:pPr>
      <w:rPr>
        <w:rFonts w:hint="default"/>
        <w:b/>
      </w:rPr>
    </w:lvl>
    <w:lvl w:ilvl="8">
      <w:start w:val="1"/>
      <w:numFmt w:val="decimal"/>
      <w:isLgl/>
      <w:lvlText w:val="%1.%2.%3.%4.%5.%6.%7.%8.%9"/>
      <w:lvlJc w:val="left"/>
      <w:pPr>
        <w:ind w:left="1842" w:hanging="1800"/>
      </w:pPr>
      <w:rPr>
        <w:rFonts w:hint="default"/>
        <w:b/>
      </w:rPr>
    </w:lvl>
  </w:abstractNum>
  <w:abstractNum w:abstractNumId="8" w15:restartNumberingAfterBreak="0">
    <w:nsid w:val="578E34C2"/>
    <w:multiLevelType w:val="hybridMultilevel"/>
    <w:tmpl w:val="4E26647E"/>
    <w:lvl w:ilvl="0" w:tplc="0C0A000F">
      <w:start w:val="1"/>
      <w:numFmt w:val="decimal"/>
      <w:lvlText w:val="%1."/>
      <w:lvlJc w:val="left"/>
      <w:pPr>
        <w:ind w:left="720" w:hanging="360"/>
      </w:pPr>
    </w:lvl>
    <w:lvl w:ilvl="1" w:tplc="D0C0143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CF436D9"/>
    <w:multiLevelType w:val="hybridMultilevel"/>
    <w:tmpl w:val="2D36F63A"/>
    <w:lvl w:ilvl="0" w:tplc="7C66E87A">
      <w:start w:val="375"/>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756C7747"/>
    <w:multiLevelType w:val="multilevel"/>
    <w:tmpl w:val="5D4A7A42"/>
    <w:lvl w:ilvl="0">
      <w:start w:val="1"/>
      <w:numFmt w:val="decimal"/>
      <w:lvlText w:val="%1."/>
      <w:lvlJc w:val="left"/>
      <w:pPr>
        <w:ind w:left="360" w:hanging="360"/>
      </w:pPr>
      <w:rPr>
        <w:b/>
      </w:rPr>
    </w:lvl>
    <w:lvl w:ilvl="1">
      <w:start w:val="1"/>
      <w:numFmt w:val="bullet"/>
      <w:lvlText w:val=""/>
      <w:lvlJc w:val="left"/>
      <w:pPr>
        <w:ind w:left="792" w:hanging="432"/>
      </w:pPr>
      <w:rPr>
        <w:rFonts w:ascii="Wingdings" w:hAnsi="Wingding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7D625DDD"/>
    <w:multiLevelType w:val="hybridMultilevel"/>
    <w:tmpl w:val="34A8968E"/>
    <w:lvl w:ilvl="0" w:tplc="2EC21BA0">
      <w:numFmt w:val="bullet"/>
      <w:lvlText w:val="-"/>
      <w:lvlJc w:val="left"/>
      <w:pPr>
        <w:ind w:left="720" w:hanging="360"/>
      </w:pPr>
      <w:rPr>
        <w:rFonts w:ascii="Arial" w:eastAsiaTheme="minorHAnsi" w:hAnsi="Arial" w:cs="Arial"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10"/>
  </w:num>
  <w:num w:numId="5">
    <w:abstractNumId w:val="3"/>
  </w:num>
  <w:num w:numId="6">
    <w:abstractNumId w:val="11"/>
  </w:num>
  <w:num w:numId="7">
    <w:abstractNumId w:val="7"/>
  </w:num>
  <w:num w:numId="8">
    <w:abstractNumId w:val="5"/>
  </w:num>
  <w:num w:numId="9">
    <w:abstractNumId w:val="9"/>
  </w:num>
  <w:num w:numId="10">
    <w:abstractNumId w:val="4"/>
  </w:num>
  <w:num w:numId="11">
    <w:abstractNumId w:val="1"/>
  </w:num>
  <w:num w:numId="12">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2C5"/>
    <w:rsid w:val="00006CD5"/>
    <w:rsid w:val="00006EBC"/>
    <w:rsid w:val="00010C25"/>
    <w:rsid w:val="00014E3D"/>
    <w:rsid w:val="00015660"/>
    <w:rsid w:val="00016E21"/>
    <w:rsid w:val="0002269F"/>
    <w:rsid w:val="00034623"/>
    <w:rsid w:val="000444D7"/>
    <w:rsid w:val="000538B9"/>
    <w:rsid w:val="00053BD6"/>
    <w:rsid w:val="0005761D"/>
    <w:rsid w:val="0007148E"/>
    <w:rsid w:val="0007215B"/>
    <w:rsid w:val="00081B12"/>
    <w:rsid w:val="000862E0"/>
    <w:rsid w:val="00097C7B"/>
    <w:rsid w:val="000A1729"/>
    <w:rsid w:val="000A7801"/>
    <w:rsid w:val="000A78C6"/>
    <w:rsid w:val="000B6BAA"/>
    <w:rsid w:val="000D3C31"/>
    <w:rsid w:val="000D4041"/>
    <w:rsid w:val="000D5F46"/>
    <w:rsid w:val="000E2662"/>
    <w:rsid w:val="000E6BB7"/>
    <w:rsid w:val="000F1FA3"/>
    <w:rsid w:val="000F488C"/>
    <w:rsid w:val="000F72EC"/>
    <w:rsid w:val="00103BE8"/>
    <w:rsid w:val="00103E71"/>
    <w:rsid w:val="001050AE"/>
    <w:rsid w:val="00106E49"/>
    <w:rsid w:val="00113125"/>
    <w:rsid w:val="001158A6"/>
    <w:rsid w:val="00117848"/>
    <w:rsid w:val="001205A4"/>
    <w:rsid w:val="00127B55"/>
    <w:rsid w:val="00154CD7"/>
    <w:rsid w:val="00155D43"/>
    <w:rsid w:val="00162A2F"/>
    <w:rsid w:val="00172F30"/>
    <w:rsid w:val="00176B61"/>
    <w:rsid w:val="00176E1B"/>
    <w:rsid w:val="001A43FD"/>
    <w:rsid w:val="001B3C72"/>
    <w:rsid w:val="001B40B2"/>
    <w:rsid w:val="001C601C"/>
    <w:rsid w:val="001C6313"/>
    <w:rsid w:val="001D0880"/>
    <w:rsid w:val="001D2412"/>
    <w:rsid w:val="001D7862"/>
    <w:rsid w:val="001E171B"/>
    <w:rsid w:val="001E1DBE"/>
    <w:rsid w:val="001F32F9"/>
    <w:rsid w:val="001F7174"/>
    <w:rsid w:val="00203E64"/>
    <w:rsid w:val="00215880"/>
    <w:rsid w:val="002217C4"/>
    <w:rsid w:val="00226E8B"/>
    <w:rsid w:val="002315A0"/>
    <w:rsid w:val="002316D8"/>
    <w:rsid w:val="00232823"/>
    <w:rsid w:val="00244108"/>
    <w:rsid w:val="002764AF"/>
    <w:rsid w:val="002808A3"/>
    <w:rsid w:val="00282F4A"/>
    <w:rsid w:val="00291776"/>
    <w:rsid w:val="002A0C0A"/>
    <w:rsid w:val="002A0EED"/>
    <w:rsid w:val="002A37C9"/>
    <w:rsid w:val="002B148B"/>
    <w:rsid w:val="002B3337"/>
    <w:rsid w:val="002C14E7"/>
    <w:rsid w:val="002D0419"/>
    <w:rsid w:val="002D0F36"/>
    <w:rsid w:val="002D751C"/>
    <w:rsid w:val="002E21D0"/>
    <w:rsid w:val="002E29B4"/>
    <w:rsid w:val="002F1F7E"/>
    <w:rsid w:val="00300BDE"/>
    <w:rsid w:val="003030AD"/>
    <w:rsid w:val="00305D77"/>
    <w:rsid w:val="003101DE"/>
    <w:rsid w:val="00321B67"/>
    <w:rsid w:val="003279DD"/>
    <w:rsid w:val="00342504"/>
    <w:rsid w:val="003471B2"/>
    <w:rsid w:val="00347C21"/>
    <w:rsid w:val="00352FB0"/>
    <w:rsid w:val="00373B33"/>
    <w:rsid w:val="00374884"/>
    <w:rsid w:val="0038194B"/>
    <w:rsid w:val="00386030"/>
    <w:rsid w:val="003930B5"/>
    <w:rsid w:val="00393EE8"/>
    <w:rsid w:val="003B2404"/>
    <w:rsid w:val="003B4A6F"/>
    <w:rsid w:val="003C44AE"/>
    <w:rsid w:val="003C7619"/>
    <w:rsid w:val="003D3182"/>
    <w:rsid w:val="003D474A"/>
    <w:rsid w:val="003D71BA"/>
    <w:rsid w:val="003E082C"/>
    <w:rsid w:val="003E3A3C"/>
    <w:rsid w:val="003E5E1F"/>
    <w:rsid w:val="003E6C5C"/>
    <w:rsid w:val="003E7092"/>
    <w:rsid w:val="00402827"/>
    <w:rsid w:val="00404C03"/>
    <w:rsid w:val="00405722"/>
    <w:rsid w:val="00406C1A"/>
    <w:rsid w:val="00422C2D"/>
    <w:rsid w:val="00425EDA"/>
    <w:rsid w:val="00447D11"/>
    <w:rsid w:val="004559D4"/>
    <w:rsid w:val="00455B38"/>
    <w:rsid w:val="004564A7"/>
    <w:rsid w:val="0045782D"/>
    <w:rsid w:val="00470CB5"/>
    <w:rsid w:val="00477658"/>
    <w:rsid w:val="00480A69"/>
    <w:rsid w:val="0048399E"/>
    <w:rsid w:val="00497292"/>
    <w:rsid w:val="004B0F2C"/>
    <w:rsid w:val="004B3A6E"/>
    <w:rsid w:val="004B703E"/>
    <w:rsid w:val="004C2E31"/>
    <w:rsid w:val="004C718D"/>
    <w:rsid w:val="004C7E4C"/>
    <w:rsid w:val="004F223E"/>
    <w:rsid w:val="004F6625"/>
    <w:rsid w:val="00504195"/>
    <w:rsid w:val="005202A2"/>
    <w:rsid w:val="005238BC"/>
    <w:rsid w:val="00526352"/>
    <w:rsid w:val="005321D7"/>
    <w:rsid w:val="00533D5F"/>
    <w:rsid w:val="005374F3"/>
    <w:rsid w:val="005405D3"/>
    <w:rsid w:val="00550290"/>
    <w:rsid w:val="00552E0D"/>
    <w:rsid w:val="005568C8"/>
    <w:rsid w:val="00574561"/>
    <w:rsid w:val="00577CFD"/>
    <w:rsid w:val="005819CA"/>
    <w:rsid w:val="00585F11"/>
    <w:rsid w:val="0059758B"/>
    <w:rsid w:val="005A1083"/>
    <w:rsid w:val="005A1565"/>
    <w:rsid w:val="005A214A"/>
    <w:rsid w:val="005A3478"/>
    <w:rsid w:val="005A6CD8"/>
    <w:rsid w:val="005A71FD"/>
    <w:rsid w:val="005C2B60"/>
    <w:rsid w:val="005C5814"/>
    <w:rsid w:val="005E5196"/>
    <w:rsid w:val="005F2B0E"/>
    <w:rsid w:val="00606BC7"/>
    <w:rsid w:val="00617474"/>
    <w:rsid w:val="006209C5"/>
    <w:rsid w:val="006363D5"/>
    <w:rsid w:val="0064302F"/>
    <w:rsid w:val="00643BBD"/>
    <w:rsid w:val="00645185"/>
    <w:rsid w:val="00645947"/>
    <w:rsid w:val="00657051"/>
    <w:rsid w:val="006766A4"/>
    <w:rsid w:val="0068159D"/>
    <w:rsid w:val="0069365B"/>
    <w:rsid w:val="006A3B08"/>
    <w:rsid w:val="006A3E85"/>
    <w:rsid w:val="006B3958"/>
    <w:rsid w:val="006C7A14"/>
    <w:rsid w:val="006D43FC"/>
    <w:rsid w:val="006D49C8"/>
    <w:rsid w:val="006D6926"/>
    <w:rsid w:val="006E03E7"/>
    <w:rsid w:val="006E0894"/>
    <w:rsid w:val="00704D83"/>
    <w:rsid w:val="007107C6"/>
    <w:rsid w:val="007114B5"/>
    <w:rsid w:val="00715A7F"/>
    <w:rsid w:val="00721DA7"/>
    <w:rsid w:val="00724A50"/>
    <w:rsid w:val="00734591"/>
    <w:rsid w:val="0074212F"/>
    <w:rsid w:val="007454F7"/>
    <w:rsid w:val="00753CE6"/>
    <w:rsid w:val="007637D3"/>
    <w:rsid w:val="00763956"/>
    <w:rsid w:val="00764322"/>
    <w:rsid w:val="0076534E"/>
    <w:rsid w:val="00767423"/>
    <w:rsid w:val="00767BCE"/>
    <w:rsid w:val="007740FC"/>
    <w:rsid w:val="00796D7F"/>
    <w:rsid w:val="007A6C61"/>
    <w:rsid w:val="007A7B2F"/>
    <w:rsid w:val="007B56AF"/>
    <w:rsid w:val="007C5C16"/>
    <w:rsid w:val="007D430F"/>
    <w:rsid w:val="007D567B"/>
    <w:rsid w:val="007E168A"/>
    <w:rsid w:val="007E187A"/>
    <w:rsid w:val="008021F5"/>
    <w:rsid w:val="00815C87"/>
    <w:rsid w:val="00822561"/>
    <w:rsid w:val="00823C43"/>
    <w:rsid w:val="00824F15"/>
    <w:rsid w:val="00827D3C"/>
    <w:rsid w:val="0083180F"/>
    <w:rsid w:val="00844A3B"/>
    <w:rsid w:val="0085590F"/>
    <w:rsid w:val="0086264C"/>
    <w:rsid w:val="00864789"/>
    <w:rsid w:val="008805F3"/>
    <w:rsid w:val="00892032"/>
    <w:rsid w:val="00892549"/>
    <w:rsid w:val="00893E95"/>
    <w:rsid w:val="008A7A6A"/>
    <w:rsid w:val="008A7AB0"/>
    <w:rsid w:val="008C1B55"/>
    <w:rsid w:val="008D1378"/>
    <w:rsid w:val="008E16F6"/>
    <w:rsid w:val="008E5498"/>
    <w:rsid w:val="008F15B7"/>
    <w:rsid w:val="008F6545"/>
    <w:rsid w:val="00901100"/>
    <w:rsid w:val="009013A8"/>
    <w:rsid w:val="00901ECE"/>
    <w:rsid w:val="00906104"/>
    <w:rsid w:val="009164F9"/>
    <w:rsid w:val="00932D07"/>
    <w:rsid w:val="00934560"/>
    <w:rsid w:val="00940DE7"/>
    <w:rsid w:val="0094129F"/>
    <w:rsid w:val="0095055F"/>
    <w:rsid w:val="0095406F"/>
    <w:rsid w:val="00955685"/>
    <w:rsid w:val="00955D91"/>
    <w:rsid w:val="00965605"/>
    <w:rsid w:val="00972508"/>
    <w:rsid w:val="00972EAD"/>
    <w:rsid w:val="00980486"/>
    <w:rsid w:val="00982C78"/>
    <w:rsid w:val="009833AE"/>
    <w:rsid w:val="009862D5"/>
    <w:rsid w:val="00990308"/>
    <w:rsid w:val="0099593E"/>
    <w:rsid w:val="00995B44"/>
    <w:rsid w:val="009B2F10"/>
    <w:rsid w:val="009B68EB"/>
    <w:rsid w:val="009C239B"/>
    <w:rsid w:val="009C351D"/>
    <w:rsid w:val="009C5226"/>
    <w:rsid w:val="009C52A4"/>
    <w:rsid w:val="009D3721"/>
    <w:rsid w:val="009F643F"/>
    <w:rsid w:val="00A00840"/>
    <w:rsid w:val="00A175B5"/>
    <w:rsid w:val="00A17F7E"/>
    <w:rsid w:val="00A2331B"/>
    <w:rsid w:val="00A2546D"/>
    <w:rsid w:val="00A305DE"/>
    <w:rsid w:val="00A31D15"/>
    <w:rsid w:val="00A33DAE"/>
    <w:rsid w:val="00A425DB"/>
    <w:rsid w:val="00A43A17"/>
    <w:rsid w:val="00A63AAA"/>
    <w:rsid w:val="00A74FF7"/>
    <w:rsid w:val="00A75111"/>
    <w:rsid w:val="00A75752"/>
    <w:rsid w:val="00A90C73"/>
    <w:rsid w:val="00A96C4C"/>
    <w:rsid w:val="00AA2B29"/>
    <w:rsid w:val="00AA6BA0"/>
    <w:rsid w:val="00AB03F4"/>
    <w:rsid w:val="00AB080B"/>
    <w:rsid w:val="00AB425C"/>
    <w:rsid w:val="00AB65E8"/>
    <w:rsid w:val="00AD5687"/>
    <w:rsid w:val="00AD7A3F"/>
    <w:rsid w:val="00AE2258"/>
    <w:rsid w:val="00AE6480"/>
    <w:rsid w:val="00AF1239"/>
    <w:rsid w:val="00B036B5"/>
    <w:rsid w:val="00B21E96"/>
    <w:rsid w:val="00B24AFC"/>
    <w:rsid w:val="00B34250"/>
    <w:rsid w:val="00B35C16"/>
    <w:rsid w:val="00B36DA6"/>
    <w:rsid w:val="00B407BC"/>
    <w:rsid w:val="00B40A09"/>
    <w:rsid w:val="00B41C6D"/>
    <w:rsid w:val="00B427C7"/>
    <w:rsid w:val="00B52584"/>
    <w:rsid w:val="00B55138"/>
    <w:rsid w:val="00B570C9"/>
    <w:rsid w:val="00B61FAC"/>
    <w:rsid w:val="00B64D8A"/>
    <w:rsid w:val="00B661AB"/>
    <w:rsid w:val="00B82879"/>
    <w:rsid w:val="00B945A0"/>
    <w:rsid w:val="00B96245"/>
    <w:rsid w:val="00BA7FE6"/>
    <w:rsid w:val="00BB0FF7"/>
    <w:rsid w:val="00BD29A2"/>
    <w:rsid w:val="00BE00D0"/>
    <w:rsid w:val="00BE0B72"/>
    <w:rsid w:val="00BE1EFC"/>
    <w:rsid w:val="00C0661D"/>
    <w:rsid w:val="00C10DEE"/>
    <w:rsid w:val="00C23768"/>
    <w:rsid w:val="00C33B93"/>
    <w:rsid w:val="00C5538B"/>
    <w:rsid w:val="00C57254"/>
    <w:rsid w:val="00C65777"/>
    <w:rsid w:val="00C67D58"/>
    <w:rsid w:val="00C71BE5"/>
    <w:rsid w:val="00C82B53"/>
    <w:rsid w:val="00CA7B99"/>
    <w:rsid w:val="00CC1901"/>
    <w:rsid w:val="00CC2476"/>
    <w:rsid w:val="00CC7F1B"/>
    <w:rsid w:val="00CD0F23"/>
    <w:rsid w:val="00CD5F52"/>
    <w:rsid w:val="00CD65BE"/>
    <w:rsid w:val="00CE56BF"/>
    <w:rsid w:val="00CF0EDA"/>
    <w:rsid w:val="00CF3FB4"/>
    <w:rsid w:val="00CF44F8"/>
    <w:rsid w:val="00D02A83"/>
    <w:rsid w:val="00D14A6D"/>
    <w:rsid w:val="00D205D1"/>
    <w:rsid w:val="00D23678"/>
    <w:rsid w:val="00D4295A"/>
    <w:rsid w:val="00D50EA7"/>
    <w:rsid w:val="00D533FD"/>
    <w:rsid w:val="00D624C8"/>
    <w:rsid w:val="00D67381"/>
    <w:rsid w:val="00D7598B"/>
    <w:rsid w:val="00D77F6A"/>
    <w:rsid w:val="00D81F0C"/>
    <w:rsid w:val="00D932C5"/>
    <w:rsid w:val="00D93DDE"/>
    <w:rsid w:val="00D950D8"/>
    <w:rsid w:val="00DA0059"/>
    <w:rsid w:val="00DA41CC"/>
    <w:rsid w:val="00DB6B12"/>
    <w:rsid w:val="00DB7412"/>
    <w:rsid w:val="00DC210E"/>
    <w:rsid w:val="00DC4252"/>
    <w:rsid w:val="00DC5B51"/>
    <w:rsid w:val="00DC733D"/>
    <w:rsid w:val="00DD174E"/>
    <w:rsid w:val="00DD2009"/>
    <w:rsid w:val="00DE64B7"/>
    <w:rsid w:val="00DE7E65"/>
    <w:rsid w:val="00DF185B"/>
    <w:rsid w:val="00DF19D9"/>
    <w:rsid w:val="00DF19F6"/>
    <w:rsid w:val="00DF42A9"/>
    <w:rsid w:val="00E0182D"/>
    <w:rsid w:val="00E05633"/>
    <w:rsid w:val="00E1209E"/>
    <w:rsid w:val="00E167BA"/>
    <w:rsid w:val="00E326D3"/>
    <w:rsid w:val="00E370C4"/>
    <w:rsid w:val="00E43496"/>
    <w:rsid w:val="00E53BE4"/>
    <w:rsid w:val="00E55BB7"/>
    <w:rsid w:val="00E5614D"/>
    <w:rsid w:val="00E605C5"/>
    <w:rsid w:val="00E60E2A"/>
    <w:rsid w:val="00E65B03"/>
    <w:rsid w:val="00E72D47"/>
    <w:rsid w:val="00E73E3C"/>
    <w:rsid w:val="00E74516"/>
    <w:rsid w:val="00E75BEF"/>
    <w:rsid w:val="00E81DC8"/>
    <w:rsid w:val="00E94F36"/>
    <w:rsid w:val="00EA0276"/>
    <w:rsid w:val="00EA63A6"/>
    <w:rsid w:val="00EA6C55"/>
    <w:rsid w:val="00EB252B"/>
    <w:rsid w:val="00EB3EAC"/>
    <w:rsid w:val="00EB46FF"/>
    <w:rsid w:val="00EC5ED8"/>
    <w:rsid w:val="00EE5E7A"/>
    <w:rsid w:val="00EE7542"/>
    <w:rsid w:val="00EF64D2"/>
    <w:rsid w:val="00F00516"/>
    <w:rsid w:val="00F02096"/>
    <w:rsid w:val="00F1289E"/>
    <w:rsid w:val="00F12E2D"/>
    <w:rsid w:val="00F1402C"/>
    <w:rsid w:val="00F14B74"/>
    <w:rsid w:val="00F56829"/>
    <w:rsid w:val="00F5759E"/>
    <w:rsid w:val="00F61EE9"/>
    <w:rsid w:val="00F63A39"/>
    <w:rsid w:val="00F66C98"/>
    <w:rsid w:val="00F73ADD"/>
    <w:rsid w:val="00F91BD0"/>
    <w:rsid w:val="00F97EF3"/>
    <w:rsid w:val="00FA2A22"/>
    <w:rsid w:val="00FA498D"/>
    <w:rsid w:val="00FA5D80"/>
    <w:rsid w:val="00FB0098"/>
    <w:rsid w:val="00FB0544"/>
    <w:rsid w:val="00FB3CB3"/>
    <w:rsid w:val="00FB7F11"/>
    <w:rsid w:val="00FC3200"/>
    <w:rsid w:val="00FD10D0"/>
    <w:rsid w:val="00FE78D3"/>
    <w:rsid w:val="00FF1B97"/>
    <w:rsid w:val="00FF48C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0631E"/>
  <w15:chartTrackingRefBased/>
  <w15:docId w15:val="{B7AFE833-6E12-41A5-BFC9-F39367332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imes New Roman (Cuerpo en alfa"/>
        <w:sz w:val="22"/>
        <w:szCs w:val="24"/>
        <w:lang w:val="es-CO"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1"/>
    <w:qFormat/>
    <w:rsid w:val="00B036B5"/>
    <w:pPr>
      <w:widowControl w:val="0"/>
      <w:autoSpaceDE w:val="0"/>
      <w:autoSpaceDN w:val="0"/>
      <w:ind w:left="837" w:hanging="360"/>
      <w:outlineLvl w:val="0"/>
    </w:pPr>
    <w:rPr>
      <w:rFonts w:eastAsia="Arial" w:cs="Arial"/>
      <w:b/>
      <w:bCs/>
      <w:sz w:val="24"/>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uiPriority w:val="1"/>
    <w:qFormat/>
    <w:rsid w:val="002F1F7E"/>
    <w:pPr>
      <w:suppressAutoHyphens/>
      <w:spacing w:line="100" w:lineRule="atLeast"/>
    </w:pPr>
    <w:rPr>
      <w:rFonts w:ascii="Calibri" w:eastAsia="Arial Unicode MS" w:hAnsi="Calibri" w:cs="Mangal"/>
      <w:color w:val="00000A"/>
      <w:szCs w:val="22"/>
      <w:lang w:eastAsia="es-CO"/>
    </w:rPr>
  </w:style>
  <w:style w:type="paragraph" w:styleId="Prrafodelista">
    <w:name w:val="List Paragraph"/>
    <w:basedOn w:val="Normal"/>
    <w:link w:val="PrrafodelistaCar"/>
    <w:uiPriority w:val="34"/>
    <w:qFormat/>
    <w:rsid w:val="00B036B5"/>
    <w:pPr>
      <w:ind w:left="720"/>
      <w:contextualSpacing/>
    </w:pPr>
  </w:style>
  <w:style w:type="character" w:customStyle="1" w:styleId="PrrafodelistaCar">
    <w:name w:val="Párrafo de lista Car"/>
    <w:link w:val="Prrafodelista"/>
    <w:uiPriority w:val="34"/>
    <w:locked/>
    <w:rsid w:val="00A2331B"/>
  </w:style>
  <w:style w:type="table" w:styleId="Tabladecuadrcula4-nfasis6">
    <w:name w:val="Grid Table 4 Accent 6"/>
    <w:basedOn w:val="Tablanormal"/>
    <w:uiPriority w:val="49"/>
    <w:rsid w:val="00B036B5"/>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CarCarCarCarCar">
    <w:name w:val="Car Car Car Car Car"/>
    <w:basedOn w:val="Normal"/>
    <w:rsid w:val="00767423"/>
    <w:pPr>
      <w:suppressAutoHyphens/>
      <w:autoSpaceDN w:val="0"/>
      <w:spacing w:after="160" w:line="240" w:lineRule="exact"/>
    </w:pPr>
    <w:rPr>
      <w:rFonts w:ascii="Verdana" w:eastAsia="Times New Roman" w:hAnsi="Verdana" w:cs="Verdana"/>
      <w:sz w:val="20"/>
      <w:szCs w:val="20"/>
      <w:lang w:val="en-US"/>
    </w:rPr>
  </w:style>
  <w:style w:type="character" w:styleId="Textoennegrita">
    <w:name w:val="Strong"/>
    <w:uiPriority w:val="22"/>
    <w:qFormat/>
    <w:rsid w:val="00767423"/>
    <w:rPr>
      <w:b/>
      <w:bCs/>
    </w:rPr>
  </w:style>
  <w:style w:type="paragraph" w:styleId="NormalWeb">
    <w:name w:val="Normal (Web)"/>
    <w:basedOn w:val="Normal"/>
    <w:uiPriority w:val="99"/>
    <w:unhideWhenUsed/>
    <w:rsid w:val="00824F15"/>
    <w:pPr>
      <w:spacing w:before="100" w:beforeAutospacing="1" w:after="100" w:afterAutospacing="1"/>
    </w:pPr>
    <w:rPr>
      <w:rFonts w:ascii="Times New Roman" w:eastAsia="Times New Roman" w:hAnsi="Times New Roman" w:cs="Times New Roman"/>
      <w:sz w:val="24"/>
      <w:lang w:eastAsia="es-CO"/>
    </w:rPr>
  </w:style>
  <w:style w:type="paragraph" w:customStyle="1" w:styleId="Default">
    <w:name w:val="Default"/>
    <w:rsid w:val="00D205D1"/>
    <w:pPr>
      <w:autoSpaceDE w:val="0"/>
      <w:autoSpaceDN w:val="0"/>
      <w:adjustRightInd w:val="0"/>
    </w:pPr>
    <w:rPr>
      <w:rFonts w:eastAsia="SimSun" w:cs="Arial"/>
      <w:color w:val="000000"/>
      <w:sz w:val="24"/>
      <w:lang w:eastAsia="zh-CN"/>
    </w:rPr>
  </w:style>
  <w:style w:type="character" w:styleId="Hipervnculo">
    <w:name w:val="Hyperlink"/>
    <w:basedOn w:val="Fuentedeprrafopredeter"/>
    <w:uiPriority w:val="99"/>
    <w:unhideWhenUsed/>
    <w:rsid w:val="00F00516"/>
    <w:rPr>
      <w:color w:val="0000FF"/>
      <w:u w:val="single"/>
    </w:rPr>
  </w:style>
  <w:style w:type="character" w:styleId="Hipervnculovisitado">
    <w:name w:val="FollowedHyperlink"/>
    <w:basedOn w:val="Fuentedeprrafopredeter"/>
    <w:uiPriority w:val="99"/>
    <w:semiHidden/>
    <w:unhideWhenUsed/>
    <w:rsid w:val="00F00516"/>
    <w:rPr>
      <w:color w:val="0000FF"/>
      <w:u w:val="single"/>
    </w:rPr>
  </w:style>
  <w:style w:type="paragraph" w:customStyle="1" w:styleId="xl75">
    <w:name w:val="xl75"/>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6">
    <w:name w:val="xl76"/>
    <w:basedOn w:val="Normal"/>
    <w:rsid w:val="00F00516"/>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jc w:val="center"/>
      <w:textAlignment w:val="center"/>
    </w:pPr>
    <w:rPr>
      <w:rFonts w:ascii="Arial Narrow" w:eastAsia="Times New Roman" w:hAnsi="Arial Narrow" w:cs="Times New Roman"/>
      <w:b/>
      <w:bCs/>
      <w:sz w:val="20"/>
      <w:szCs w:val="20"/>
      <w:lang w:eastAsia="es-CO"/>
    </w:rPr>
  </w:style>
  <w:style w:type="paragraph" w:customStyle="1" w:styleId="xl77">
    <w:name w:val="xl7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78">
    <w:name w:val="xl7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79">
    <w:name w:val="xl79"/>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0">
    <w:name w:val="xl80"/>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1">
    <w:name w:val="xl81"/>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2">
    <w:name w:val="xl82"/>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3">
    <w:name w:val="xl83"/>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4">
    <w:name w:val="xl84"/>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5">
    <w:name w:val="xl85"/>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Arial Narrow" w:eastAsia="Times New Roman" w:hAnsi="Arial Narrow" w:cs="Times New Roman"/>
      <w:sz w:val="20"/>
      <w:szCs w:val="20"/>
      <w:lang w:eastAsia="es-CO"/>
    </w:rPr>
  </w:style>
  <w:style w:type="paragraph" w:customStyle="1" w:styleId="xl86">
    <w:name w:val="xl86"/>
    <w:basedOn w:val="Normal"/>
    <w:rsid w:val="00F00516"/>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7">
    <w:name w:val="xl87"/>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Narrow" w:eastAsia="Times New Roman" w:hAnsi="Arial Narrow" w:cs="Times New Roman"/>
      <w:sz w:val="20"/>
      <w:szCs w:val="20"/>
      <w:lang w:eastAsia="es-CO"/>
    </w:rPr>
  </w:style>
  <w:style w:type="paragraph" w:customStyle="1" w:styleId="xl88">
    <w:name w:val="xl88"/>
    <w:basedOn w:val="Normal"/>
    <w:rsid w:val="00F00516"/>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Narrow" w:eastAsia="Times New Roman" w:hAnsi="Arial Narrow" w:cs="Times New Roman"/>
      <w:sz w:val="20"/>
      <w:szCs w:val="20"/>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5470">
      <w:bodyDiv w:val="1"/>
      <w:marLeft w:val="0"/>
      <w:marRight w:val="0"/>
      <w:marTop w:val="0"/>
      <w:marBottom w:val="0"/>
      <w:divBdr>
        <w:top w:val="none" w:sz="0" w:space="0" w:color="auto"/>
        <w:left w:val="none" w:sz="0" w:space="0" w:color="auto"/>
        <w:bottom w:val="none" w:sz="0" w:space="0" w:color="auto"/>
        <w:right w:val="none" w:sz="0" w:space="0" w:color="auto"/>
      </w:divBdr>
    </w:div>
    <w:div w:id="53698608">
      <w:bodyDiv w:val="1"/>
      <w:marLeft w:val="0"/>
      <w:marRight w:val="0"/>
      <w:marTop w:val="0"/>
      <w:marBottom w:val="0"/>
      <w:divBdr>
        <w:top w:val="none" w:sz="0" w:space="0" w:color="auto"/>
        <w:left w:val="none" w:sz="0" w:space="0" w:color="auto"/>
        <w:bottom w:val="none" w:sz="0" w:space="0" w:color="auto"/>
        <w:right w:val="none" w:sz="0" w:space="0" w:color="auto"/>
      </w:divBdr>
    </w:div>
    <w:div w:id="60181052">
      <w:bodyDiv w:val="1"/>
      <w:marLeft w:val="0"/>
      <w:marRight w:val="0"/>
      <w:marTop w:val="0"/>
      <w:marBottom w:val="0"/>
      <w:divBdr>
        <w:top w:val="none" w:sz="0" w:space="0" w:color="auto"/>
        <w:left w:val="none" w:sz="0" w:space="0" w:color="auto"/>
        <w:bottom w:val="none" w:sz="0" w:space="0" w:color="auto"/>
        <w:right w:val="none" w:sz="0" w:space="0" w:color="auto"/>
      </w:divBdr>
    </w:div>
    <w:div w:id="147601037">
      <w:bodyDiv w:val="1"/>
      <w:marLeft w:val="0"/>
      <w:marRight w:val="0"/>
      <w:marTop w:val="0"/>
      <w:marBottom w:val="0"/>
      <w:divBdr>
        <w:top w:val="none" w:sz="0" w:space="0" w:color="auto"/>
        <w:left w:val="none" w:sz="0" w:space="0" w:color="auto"/>
        <w:bottom w:val="none" w:sz="0" w:space="0" w:color="auto"/>
        <w:right w:val="none" w:sz="0" w:space="0" w:color="auto"/>
      </w:divBdr>
    </w:div>
    <w:div w:id="157816958">
      <w:bodyDiv w:val="1"/>
      <w:marLeft w:val="0"/>
      <w:marRight w:val="0"/>
      <w:marTop w:val="0"/>
      <w:marBottom w:val="0"/>
      <w:divBdr>
        <w:top w:val="none" w:sz="0" w:space="0" w:color="auto"/>
        <w:left w:val="none" w:sz="0" w:space="0" w:color="auto"/>
        <w:bottom w:val="none" w:sz="0" w:space="0" w:color="auto"/>
        <w:right w:val="none" w:sz="0" w:space="0" w:color="auto"/>
      </w:divBdr>
    </w:div>
    <w:div w:id="157891594">
      <w:bodyDiv w:val="1"/>
      <w:marLeft w:val="0"/>
      <w:marRight w:val="0"/>
      <w:marTop w:val="0"/>
      <w:marBottom w:val="0"/>
      <w:divBdr>
        <w:top w:val="none" w:sz="0" w:space="0" w:color="auto"/>
        <w:left w:val="none" w:sz="0" w:space="0" w:color="auto"/>
        <w:bottom w:val="none" w:sz="0" w:space="0" w:color="auto"/>
        <w:right w:val="none" w:sz="0" w:space="0" w:color="auto"/>
      </w:divBdr>
    </w:div>
    <w:div w:id="159004743">
      <w:bodyDiv w:val="1"/>
      <w:marLeft w:val="0"/>
      <w:marRight w:val="0"/>
      <w:marTop w:val="0"/>
      <w:marBottom w:val="0"/>
      <w:divBdr>
        <w:top w:val="none" w:sz="0" w:space="0" w:color="auto"/>
        <w:left w:val="none" w:sz="0" w:space="0" w:color="auto"/>
        <w:bottom w:val="none" w:sz="0" w:space="0" w:color="auto"/>
        <w:right w:val="none" w:sz="0" w:space="0" w:color="auto"/>
      </w:divBdr>
    </w:div>
    <w:div w:id="222108459">
      <w:bodyDiv w:val="1"/>
      <w:marLeft w:val="0"/>
      <w:marRight w:val="0"/>
      <w:marTop w:val="0"/>
      <w:marBottom w:val="0"/>
      <w:divBdr>
        <w:top w:val="none" w:sz="0" w:space="0" w:color="auto"/>
        <w:left w:val="none" w:sz="0" w:space="0" w:color="auto"/>
        <w:bottom w:val="none" w:sz="0" w:space="0" w:color="auto"/>
        <w:right w:val="none" w:sz="0" w:space="0" w:color="auto"/>
      </w:divBdr>
    </w:div>
    <w:div w:id="307053737">
      <w:bodyDiv w:val="1"/>
      <w:marLeft w:val="0"/>
      <w:marRight w:val="0"/>
      <w:marTop w:val="0"/>
      <w:marBottom w:val="0"/>
      <w:divBdr>
        <w:top w:val="none" w:sz="0" w:space="0" w:color="auto"/>
        <w:left w:val="none" w:sz="0" w:space="0" w:color="auto"/>
        <w:bottom w:val="none" w:sz="0" w:space="0" w:color="auto"/>
        <w:right w:val="none" w:sz="0" w:space="0" w:color="auto"/>
      </w:divBdr>
      <w:divsChild>
        <w:div w:id="1583950105">
          <w:marLeft w:val="0"/>
          <w:marRight w:val="0"/>
          <w:marTop w:val="0"/>
          <w:marBottom w:val="0"/>
          <w:divBdr>
            <w:top w:val="none" w:sz="0" w:space="0" w:color="auto"/>
            <w:left w:val="none" w:sz="0" w:space="0" w:color="auto"/>
            <w:bottom w:val="none" w:sz="0" w:space="0" w:color="auto"/>
            <w:right w:val="none" w:sz="0" w:space="0" w:color="auto"/>
          </w:divBdr>
        </w:div>
        <w:div w:id="670185419">
          <w:marLeft w:val="0"/>
          <w:marRight w:val="0"/>
          <w:marTop w:val="0"/>
          <w:marBottom w:val="0"/>
          <w:divBdr>
            <w:top w:val="none" w:sz="0" w:space="0" w:color="auto"/>
            <w:left w:val="none" w:sz="0" w:space="0" w:color="auto"/>
            <w:bottom w:val="none" w:sz="0" w:space="0" w:color="auto"/>
            <w:right w:val="none" w:sz="0" w:space="0" w:color="auto"/>
          </w:divBdr>
        </w:div>
        <w:div w:id="1974364668">
          <w:marLeft w:val="0"/>
          <w:marRight w:val="0"/>
          <w:marTop w:val="0"/>
          <w:marBottom w:val="0"/>
          <w:divBdr>
            <w:top w:val="none" w:sz="0" w:space="0" w:color="auto"/>
            <w:left w:val="none" w:sz="0" w:space="0" w:color="auto"/>
            <w:bottom w:val="none" w:sz="0" w:space="0" w:color="auto"/>
            <w:right w:val="none" w:sz="0" w:space="0" w:color="auto"/>
          </w:divBdr>
        </w:div>
      </w:divsChild>
    </w:div>
    <w:div w:id="360209217">
      <w:bodyDiv w:val="1"/>
      <w:marLeft w:val="0"/>
      <w:marRight w:val="0"/>
      <w:marTop w:val="0"/>
      <w:marBottom w:val="0"/>
      <w:divBdr>
        <w:top w:val="none" w:sz="0" w:space="0" w:color="auto"/>
        <w:left w:val="none" w:sz="0" w:space="0" w:color="auto"/>
        <w:bottom w:val="none" w:sz="0" w:space="0" w:color="auto"/>
        <w:right w:val="none" w:sz="0" w:space="0" w:color="auto"/>
      </w:divBdr>
    </w:div>
    <w:div w:id="361396801">
      <w:bodyDiv w:val="1"/>
      <w:marLeft w:val="0"/>
      <w:marRight w:val="0"/>
      <w:marTop w:val="0"/>
      <w:marBottom w:val="0"/>
      <w:divBdr>
        <w:top w:val="none" w:sz="0" w:space="0" w:color="auto"/>
        <w:left w:val="none" w:sz="0" w:space="0" w:color="auto"/>
        <w:bottom w:val="none" w:sz="0" w:space="0" w:color="auto"/>
        <w:right w:val="none" w:sz="0" w:space="0" w:color="auto"/>
      </w:divBdr>
    </w:div>
    <w:div w:id="430200156">
      <w:bodyDiv w:val="1"/>
      <w:marLeft w:val="0"/>
      <w:marRight w:val="0"/>
      <w:marTop w:val="0"/>
      <w:marBottom w:val="0"/>
      <w:divBdr>
        <w:top w:val="none" w:sz="0" w:space="0" w:color="auto"/>
        <w:left w:val="none" w:sz="0" w:space="0" w:color="auto"/>
        <w:bottom w:val="none" w:sz="0" w:space="0" w:color="auto"/>
        <w:right w:val="none" w:sz="0" w:space="0" w:color="auto"/>
      </w:divBdr>
    </w:div>
    <w:div w:id="475998474">
      <w:bodyDiv w:val="1"/>
      <w:marLeft w:val="0"/>
      <w:marRight w:val="0"/>
      <w:marTop w:val="0"/>
      <w:marBottom w:val="0"/>
      <w:divBdr>
        <w:top w:val="none" w:sz="0" w:space="0" w:color="auto"/>
        <w:left w:val="none" w:sz="0" w:space="0" w:color="auto"/>
        <w:bottom w:val="none" w:sz="0" w:space="0" w:color="auto"/>
        <w:right w:val="none" w:sz="0" w:space="0" w:color="auto"/>
      </w:divBdr>
      <w:divsChild>
        <w:div w:id="1105152427">
          <w:marLeft w:val="0"/>
          <w:marRight w:val="0"/>
          <w:marTop w:val="0"/>
          <w:marBottom w:val="0"/>
          <w:divBdr>
            <w:top w:val="none" w:sz="0" w:space="0" w:color="auto"/>
            <w:left w:val="none" w:sz="0" w:space="0" w:color="auto"/>
            <w:bottom w:val="none" w:sz="0" w:space="0" w:color="auto"/>
            <w:right w:val="none" w:sz="0" w:space="0" w:color="auto"/>
          </w:divBdr>
        </w:div>
        <w:div w:id="1389694773">
          <w:marLeft w:val="0"/>
          <w:marRight w:val="0"/>
          <w:marTop w:val="0"/>
          <w:marBottom w:val="0"/>
          <w:divBdr>
            <w:top w:val="none" w:sz="0" w:space="0" w:color="auto"/>
            <w:left w:val="none" w:sz="0" w:space="0" w:color="auto"/>
            <w:bottom w:val="none" w:sz="0" w:space="0" w:color="auto"/>
            <w:right w:val="none" w:sz="0" w:space="0" w:color="auto"/>
          </w:divBdr>
        </w:div>
        <w:div w:id="1948387356">
          <w:marLeft w:val="0"/>
          <w:marRight w:val="0"/>
          <w:marTop w:val="0"/>
          <w:marBottom w:val="0"/>
          <w:divBdr>
            <w:top w:val="none" w:sz="0" w:space="0" w:color="auto"/>
            <w:left w:val="none" w:sz="0" w:space="0" w:color="auto"/>
            <w:bottom w:val="none" w:sz="0" w:space="0" w:color="auto"/>
            <w:right w:val="none" w:sz="0" w:space="0" w:color="auto"/>
          </w:divBdr>
        </w:div>
        <w:div w:id="582833776">
          <w:marLeft w:val="0"/>
          <w:marRight w:val="0"/>
          <w:marTop w:val="0"/>
          <w:marBottom w:val="0"/>
          <w:divBdr>
            <w:top w:val="none" w:sz="0" w:space="0" w:color="auto"/>
            <w:left w:val="none" w:sz="0" w:space="0" w:color="auto"/>
            <w:bottom w:val="none" w:sz="0" w:space="0" w:color="auto"/>
            <w:right w:val="none" w:sz="0" w:space="0" w:color="auto"/>
          </w:divBdr>
        </w:div>
      </w:divsChild>
    </w:div>
    <w:div w:id="498471409">
      <w:bodyDiv w:val="1"/>
      <w:marLeft w:val="0"/>
      <w:marRight w:val="0"/>
      <w:marTop w:val="0"/>
      <w:marBottom w:val="0"/>
      <w:divBdr>
        <w:top w:val="none" w:sz="0" w:space="0" w:color="auto"/>
        <w:left w:val="none" w:sz="0" w:space="0" w:color="auto"/>
        <w:bottom w:val="none" w:sz="0" w:space="0" w:color="auto"/>
        <w:right w:val="none" w:sz="0" w:space="0" w:color="auto"/>
      </w:divBdr>
    </w:div>
    <w:div w:id="506217454">
      <w:bodyDiv w:val="1"/>
      <w:marLeft w:val="0"/>
      <w:marRight w:val="0"/>
      <w:marTop w:val="0"/>
      <w:marBottom w:val="0"/>
      <w:divBdr>
        <w:top w:val="none" w:sz="0" w:space="0" w:color="auto"/>
        <w:left w:val="none" w:sz="0" w:space="0" w:color="auto"/>
        <w:bottom w:val="none" w:sz="0" w:space="0" w:color="auto"/>
        <w:right w:val="none" w:sz="0" w:space="0" w:color="auto"/>
      </w:divBdr>
    </w:div>
    <w:div w:id="520972250">
      <w:bodyDiv w:val="1"/>
      <w:marLeft w:val="0"/>
      <w:marRight w:val="0"/>
      <w:marTop w:val="0"/>
      <w:marBottom w:val="0"/>
      <w:divBdr>
        <w:top w:val="none" w:sz="0" w:space="0" w:color="auto"/>
        <w:left w:val="none" w:sz="0" w:space="0" w:color="auto"/>
        <w:bottom w:val="none" w:sz="0" w:space="0" w:color="auto"/>
        <w:right w:val="none" w:sz="0" w:space="0" w:color="auto"/>
      </w:divBdr>
    </w:div>
    <w:div w:id="526874895">
      <w:bodyDiv w:val="1"/>
      <w:marLeft w:val="0"/>
      <w:marRight w:val="0"/>
      <w:marTop w:val="0"/>
      <w:marBottom w:val="0"/>
      <w:divBdr>
        <w:top w:val="none" w:sz="0" w:space="0" w:color="auto"/>
        <w:left w:val="none" w:sz="0" w:space="0" w:color="auto"/>
        <w:bottom w:val="none" w:sz="0" w:space="0" w:color="auto"/>
        <w:right w:val="none" w:sz="0" w:space="0" w:color="auto"/>
      </w:divBdr>
    </w:div>
    <w:div w:id="552814529">
      <w:bodyDiv w:val="1"/>
      <w:marLeft w:val="0"/>
      <w:marRight w:val="0"/>
      <w:marTop w:val="0"/>
      <w:marBottom w:val="0"/>
      <w:divBdr>
        <w:top w:val="none" w:sz="0" w:space="0" w:color="auto"/>
        <w:left w:val="none" w:sz="0" w:space="0" w:color="auto"/>
        <w:bottom w:val="none" w:sz="0" w:space="0" w:color="auto"/>
        <w:right w:val="none" w:sz="0" w:space="0" w:color="auto"/>
      </w:divBdr>
    </w:div>
    <w:div w:id="571430034">
      <w:bodyDiv w:val="1"/>
      <w:marLeft w:val="0"/>
      <w:marRight w:val="0"/>
      <w:marTop w:val="0"/>
      <w:marBottom w:val="0"/>
      <w:divBdr>
        <w:top w:val="none" w:sz="0" w:space="0" w:color="auto"/>
        <w:left w:val="none" w:sz="0" w:space="0" w:color="auto"/>
        <w:bottom w:val="none" w:sz="0" w:space="0" w:color="auto"/>
        <w:right w:val="none" w:sz="0" w:space="0" w:color="auto"/>
      </w:divBdr>
    </w:div>
    <w:div w:id="576667613">
      <w:bodyDiv w:val="1"/>
      <w:marLeft w:val="0"/>
      <w:marRight w:val="0"/>
      <w:marTop w:val="0"/>
      <w:marBottom w:val="0"/>
      <w:divBdr>
        <w:top w:val="none" w:sz="0" w:space="0" w:color="auto"/>
        <w:left w:val="none" w:sz="0" w:space="0" w:color="auto"/>
        <w:bottom w:val="none" w:sz="0" w:space="0" w:color="auto"/>
        <w:right w:val="none" w:sz="0" w:space="0" w:color="auto"/>
      </w:divBdr>
    </w:div>
    <w:div w:id="589966996">
      <w:bodyDiv w:val="1"/>
      <w:marLeft w:val="0"/>
      <w:marRight w:val="0"/>
      <w:marTop w:val="0"/>
      <w:marBottom w:val="0"/>
      <w:divBdr>
        <w:top w:val="none" w:sz="0" w:space="0" w:color="auto"/>
        <w:left w:val="none" w:sz="0" w:space="0" w:color="auto"/>
        <w:bottom w:val="none" w:sz="0" w:space="0" w:color="auto"/>
        <w:right w:val="none" w:sz="0" w:space="0" w:color="auto"/>
      </w:divBdr>
    </w:div>
    <w:div w:id="597371777">
      <w:bodyDiv w:val="1"/>
      <w:marLeft w:val="0"/>
      <w:marRight w:val="0"/>
      <w:marTop w:val="0"/>
      <w:marBottom w:val="0"/>
      <w:divBdr>
        <w:top w:val="none" w:sz="0" w:space="0" w:color="auto"/>
        <w:left w:val="none" w:sz="0" w:space="0" w:color="auto"/>
        <w:bottom w:val="none" w:sz="0" w:space="0" w:color="auto"/>
        <w:right w:val="none" w:sz="0" w:space="0" w:color="auto"/>
      </w:divBdr>
    </w:div>
    <w:div w:id="656567915">
      <w:bodyDiv w:val="1"/>
      <w:marLeft w:val="0"/>
      <w:marRight w:val="0"/>
      <w:marTop w:val="0"/>
      <w:marBottom w:val="0"/>
      <w:divBdr>
        <w:top w:val="none" w:sz="0" w:space="0" w:color="auto"/>
        <w:left w:val="none" w:sz="0" w:space="0" w:color="auto"/>
        <w:bottom w:val="none" w:sz="0" w:space="0" w:color="auto"/>
        <w:right w:val="none" w:sz="0" w:space="0" w:color="auto"/>
      </w:divBdr>
    </w:div>
    <w:div w:id="697239243">
      <w:bodyDiv w:val="1"/>
      <w:marLeft w:val="0"/>
      <w:marRight w:val="0"/>
      <w:marTop w:val="0"/>
      <w:marBottom w:val="0"/>
      <w:divBdr>
        <w:top w:val="none" w:sz="0" w:space="0" w:color="auto"/>
        <w:left w:val="none" w:sz="0" w:space="0" w:color="auto"/>
        <w:bottom w:val="none" w:sz="0" w:space="0" w:color="auto"/>
        <w:right w:val="none" w:sz="0" w:space="0" w:color="auto"/>
      </w:divBdr>
    </w:div>
    <w:div w:id="710421512">
      <w:bodyDiv w:val="1"/>
      <w:marLeft w:val="0"/>
      <w:marRight w:val="0"/>
      <w:marTop w:val="0"/>
      <w:marBottom w:val="0"/>
      <w:divBdr>
        <w:top w:val="none" w:sz="0" w:space="0" w:color="auto"/>
        <w:left w:val="none" w:sz="0" w:space="0" w:color="auto"/>
        <w:bottom w:val="none" w:sz="0" w:space="0" w:color="auto"/>
        <w:right w:val="none" w:sz="0" w:space="0" w:color="auto"/>
      </w:divBdr>
    </w:div>
    <w:div w:id="771436939">
      <w:bodyDiv w:val="1"/>
      <w:marLeft w:val="0"/>
      <w:marRight w:val="0"/>
      <w:marTop w:val="0"/>
      <w:marBottom w:val="0"/>
      <w:divBdr>
        <w:top w:val="none" w:sz="0" w:space="0" w:color="auto"/>
        <w:left w:val="none" w:sz="0" w:space="0" w:color="auto"/>
        <w:bottom w:val="none" w:sz="0" w:space="0" w:color="auto"/>
        <w:right w:val="none" w:sz="0" w:space="0" w:color="auto"/>
      </w:divBdr>
    </w:div>
    <w:div w:id="777986441">
      <w:bodyDiv w:val="1"/>
      <w:marLeft w:val="0"/>
      <w:marRight w:val="0"/>
      <w:marTop w:val="0"/>
      <w:marBottom w:val="0"/>
      <w:divBdr>
        <w:top w:val="none" w:sz="0" w:space="0" w:color="auto"/>
        <w:left w:val="none" w:sz="0" w:space="0" w:color="auto"/>
        <w:bottom w:val="none" w:sz="0" w:space="0" w:color="auto"/>
        <w:right w:val="none" w:sz="0" w:space="0" w:color="auto"/>
      </w:divBdr>
    </w:div>
    <w:div w:id="858931508">
      <w:bodyDiv w:val="1"/>
      <w:marLeft w:val="0"/>
      <w:marRight w:val="0"/>
      <w:marTop w:val="0"/>
      <w:marBottom w:val="0"/>
      <w:divBdr>
        <w:top w:val="none" w:sz="0" w:space="0" w:color="auto"/>
        <w:left w:val="none" w:sz="0" w:space="0" w:color="auto"/>
        <w:bottom w:val="none" w:sz="0" w:space="0" w:color="auto"/>
        <w:right w:val="none" w:sz="0" w:space="0" w:color="auto"/>
      </w:divBdr>
    </w:div>
    <w:div w:id="863248115">
      <w:bodyDiv w:val="1"/>
      <w:marLeft w:val="0"/>
      <w:marRight w:val="0"/>
      <w:marTop w:val="0"/>
      <w:marBottom w:val="0"/>
      <w:divBdr>
        <w:top w:val="none" w:sz="0" w:space="0" w:color="auto"/>
        <w:left w:val="none" w:sz="0" w:space="0" w:color="auto"/>
        <w:bottom w:val="none" w:sz="0" w:space="0" w:color="auto"/>
        <w:right w:val="none" w:sz="0" w:space="0" w:color="auto"/>
      </w:divBdr>
      <w:divsChild>
        <w:div w:id="1168131131">
          <w:marLeft w:val="0"/>
          <w:marRight w:val="0"/>
          <w:marTop w:val="0"/>
          <w:marBottom w:val="0"/>
          <w:divBdr>
            <w:top w:val="none" w:sz="0" w:space="0" w:color="auto"/>
            <w:left w:val="none" w:sz="0" w:space="0" w:color="auto"/>
            <w:bottom w:val="none" w:sz="0" w:space="0" w:color="auto"/>
            <w:right w:val="none" w:sz="0" w:space="0" w:color="auto"/>
          </w:divBdr>
        </w:div>
        <w:div w:id="694505414">
          <w:marLeft w:val="0"/>
          <w:marRight w:val="0"/>
          <w:marTop w:val="0"/>
          <w:marBottom w:val="0"/>
          <w:divBdr>
            <w:top w:val="none" w:sz="0" w:space="0" w:color="auto"/>
            <w:left w:val="none" w:sz="0" w:space="0" w:color="auto"/>
            <w:bottom w:val="none" w:sz="0" w:space="0" w:color="auto"/>
            <w:right w:val="none" w:sz="0" w:space="0" w:color="auto"/>
          </w:divBdr>
        </w:div>
        <w:div w:id="1946889277">
          <w:marLeft w:val="0"/>
          <w:marRight w:val="0"/>
          <w:marTop w:val="0"/>
          <w:marBottom w:val="0"/>
          <w:divBdr>
            <w:top w:val="none" w:sz="0" w:space="0" w:color="auto"/>
            <w:left w:val="none" w:sz="0" w:space="0" w:color="auto"/>
            <w:bottom w:val="none" w:sz="0" w:space="0" w:color="auto"/>
            <w:right w:val="none" w:sz="0" w:space="0" w:color="auto"/>
          </w:divBdr>
        </w:div>
      </w:divsChild>
    </w:div>
    <w:div w:id="900405073">
      <w:bodyDiv w:val="1"/>
      <w:marLeft w:val="0"/>
      <w:marRight w:val="0"/>
      <w:marTop w:val="0"/>
      <w:marBottom w:val="0"/>
      <w:divBdr>
        <w:top w:val="none" w:sz="0" w:space="0" w:color="auto"/>
        <w:left w:val="none" w:sz="0" w:space="0" w:color="auto"/>
        <w:bottom w:val="none" w:sz="0" w:space="0" w:color="auto"/>
        <w:right w:val="none" w:sz="0" w:space="0" w:color="auto"/>
      </w:divBdr>
      <w:divsChild>
        <w:div w:id="696084015">
          <w:marLeft w:val="0"/>
          <w:marRight w:val="0"/>
          <w:marTop w:val="0"/>
          <w:marBottom w:val="0"/>
          <w:divBdr>
            <w:top w:val="none" w:sz="0" w:space="0" w:color="auto"/>
            <w:left w:val="none" w:sz="0" w:space="0" w:color="auto"/>
            <w:bottom w:val="none" w:sz="0" w:space="0" w:color="auto"/>
            <w:right w:val="none" w:sz="0" w:space="0" w:color="auto"/>
          </w:divBdr>
        </w:div>
      </w:divsChild>
    </w:div>
    <w:div w:id="980498429">
      <w:bodyDiv w:val="1"/>
      <w:marLeft w:val="0"/>
      <w:marRight w:val="0"/>
      <w:marTop w:val="0"/>
      <w:marBottom w:val="0"/>
      <w:divBdr>
        <w:top w:val="none" w:sz="0" w:space="0" w:color="auto"/>
        <w:left w:val="none" w:sz="0" w:space="0" w:color="auto"/>
        <w:bottom w:val="none" w:sz="0" w:space="0" w:color="auto"/>
        <w:right w:val="none" w:sz="0" w:space="0" w:color="auto"/>
      </w:divBdr>
    </w:div>
    <w:div w:id="1014384690">
      <w:bodyDiv w:val="1"/>
      <w:marLeft w:val="0"/>
      <w:marRight w:val="0"/>
      <w:marTop w:val="0"/>
      <w:marBottom w:val="0"/>
      <w:divBdr>
        <w:top w:val="none" w:sz="0" w:space="0" w:color="auto"/>
        <w:left w:val="none" w:sz="0" w:space="0" w:color="auto"/>
        <w:bottom w:val="none" w:sz="0" w:space="0" w:color="auto"/>
        <w:right w:val="none" w:sz="0" w:space="0" w:color="auto"/>
      </w:divBdr>
    </w:div>
    <w:div w:id="1017123256">
      <w:bodyDiv w:val="1"/>
      <w:marLeft w:val="0"/>
      <w:marRight w:val="0"/>
      <w:marTop w:val="0"/>
      <w:marBottom w:val="0"/>
      <w:divBdr>
        <w:top w:val="none" w:sz="0" w:space="0" w:color="auto"/>
        <w:left w:val="none" w:sz="0" w:space="0" w:color="auto"/>
        <w:bottom w:val="none" w:sz="0" w:space="0" w:color="auto"/>
        <w:right w:val="none" w:sz="0" w:space="0" w:color="auto"/>
      </w:divBdr>
    </w:div>
    <w:div w:id="1025520345">
      <w:bodyDiv w:val="1"/>
      <w:marLeft w:val="0"/>
      <w:marRight w:val="0"/>
      <w:marTop w:val="0"/>
      <w:marBottom w:val="0"/>
      <w:divBdr>
        <w:top w:val="none" w:sz="0" w:space="0" w:color="auto"/>
        <w:left w:val="none" w:sz="0" w:space="0" w:color="auto"/>
        <w:bottom w:val="none" w:sz="0" w:space="0" w:color="auto"/>
        <w:right w:val="none" w:sz="0" w:space="0" w:color="auto"/>
      </w:divBdr>
    </w:div>
    <w:div w:id="1085758593">
      <w:bodyDiv w:val="1"/>
      <w:marLeft w:val="0"/>
      <w:marRight w:val="0"/>
      <w:marTop w:val="0"/>
      <w:marBottom w:val="0"/>
      <w:divBdr>
        <w:top w:val="none" w:sz="0" w:space="0" w:color="auto"/>
        <w:left w:val="none" w:sz="0" w:space="0" w:color="auto"/>
        <w:bottom w:val="none" w:sz="0" w:space="0" w:color="auto"/>
        <w:right w:val="none" w:sz="0" w:space="0" w:color="auto"/>
      </w:divBdr>
    </w:div>
    <w:div w:id="1092119187">
      <w:bodyDiv w:val="1"/>
      <w:marLeft w:val="0"/>
      <w:marRight w:val="0"/>
      <w:marTop w:val="0"/>
      <w:marBottom w:val="0"/>
      <w:divBdr>
        <w:top w:val="none" w:sz="0" w:space="0" w:color="auto"/>
        <w:left w:val="none" w:sz="0" w:space="0" w:color="auto"/>
        <w:bottom w:val="none" w:sz="0" w:space="0" w:color="auto"/>
        <w:right w:val="none" w:sz="0" w:space="0" w:color="auto"/>
      </w:divBdr>
    </w:div>
    <w:div w:id="1116221443">
      <w:bodyDiv w:val="1"/>
      <w:marLeft w:val="0"/>
      <w:marRight w:val="0"/>
      <w:marTop w:val="0"/>
      <w:marBottom w:val="0"/>
      <w:divBdr>
        <w:top w:val="none" w:sz="0" w:space="0" w:color="auto"/>
        <w:left w:val="none" w:sz="0" w:space="0" w:color="auto"/>
        <w:bottom w:val="none" w:sz="0" w:space="0" w:color="auto"/>
        <w:right w:val="none" w:sz="0" w:space="0" w:color="auto"/>
      </w:divBdr>
    </w:div>
    <w:div w:id="1159922145">
      <w:bodyDiv w:val="1"/>
      <w:marLeft w:val="0"/>
      <w:marRight w:val="0"/>
      <w:marTop w:val="0"/>
      <w:marBottom w:val="0"/>
      <w:divBdr>
        <w:top w:val="none" w:sz="0" w:space="0" w:color="auto"/>
        <w:left w:val="none" w:sz="0" w:space="0" w:color="auto"/>
        <w:bottom w:val="none" w:sz="0" w:space="0" w:color="auto"/>
        <w:right w:val="none" w:sz="0" w:space="0" w:color="auto"/>
      </w:divBdr>
    </w:div>
    <w:div w:id="1194731361">
      <w:bodyDiv w:val="1"/>
      <w:marLeft w:val="0"/>
      <w:marRight w:val="0"/>
      <w:marTop w:val="0"/>
      <w:marBottom w:val="0"/>
      <w:divBdr>
        <w:top w:val="none" w:sz="0" w:space="0" w:color="auto"/>
        <w:left w:val="none" w:sz="0" w:space="0" w:color="auto"/>
        <w:bottom w:val="none" w:sz="0" w:space="0" w:color="auto"/>
        <w:right w:val="none" w:sz="0" w:space="0" w:color="auto"/>
      </w:divBdr>
    </w:div>
    <w:div w:id="1201741979">
      <w:bodyDiv w:val="1"/>
      <w:marLeft w:val="0"/>
      <w:marRight w:val="0"/>
      <w:marTop w:val="0"/>
      <w:marBottom w:val="0"/>
      <w:divBdr>
        <w:top w:val="none" w:sz="0" w:space="0" w:color="auto"/>
        <w:left w:val="none" w:sz="0" w:space="0" w:color="auto"/>
        <w:bottom w:val="none" w:sz="0" w:space="0" w:color="auto"/>
        <w:right w:val="none" w:sz="0" w:space="0" w:color="auto"/>
      </w:divBdr>
      <w:divsChild>
        <w:div w:id="403799097">
          <w:marLeft w:val="0"/>
          <w:marRight w:val="0"/>
          <w:marTop w:val="0"/>
          <w:marBottom w:val="0"/>
          <w:divBdr>
            <w:top w:val="none" w:sz="0" w:space="0" w:color="auto"/>
            <w:left w:val="none" w:sz="0" w:space="0" w:color="auto"/>
            <w:bottom w:val="none" w:sz="0" w:space="0" w:color="auto"/>
            <w:right w:val="none" w:sz="0" w:space="0" w:color="auto"/>
          </w:divBdr>
        </w:div>
        <w:div w:id="922572128">
          <w:marLeft w:val="0"/>
          <w:marRight w:val="0"/>
          <w:marTop w:val="0"/>
          <w:marBottom w:val="0"/>
          <w:divBdr>
            <w:top w:val="none" w:sz="0" w:space="0" w:color="auto"/>
            <w:left w:val="none" w:sz="0" w:space="0" w:color="auto"/>
            <w:bottom w:val="none" w:sz="0" w:space="0" w:color="auto"/>
            <w:right w:val="none" w:sz="0" w:space="0" w:color="auto"/>
          </w:divBdr>
        </w:div>
        <w:div w:id="1504055252">
          <w:marLeft w:val="0"/>
          <w:marRight w:val="0"/>
          <w:marTop w:val="0"/>
          <w:marBottom w:val="0"/>
          <w:divBdr>
            <w:top w:val="none" w:sz="0" w:space="0" w:color="auto"/>
            <w:left w:val="none" w:sz="0" w:space="0" w:color="auto"/>
            <w:bottom w:val="none" w:sz="0" w:space="0" w:color="auto"/>
            <w:right w:val="none" w:sz="0" w:space="0" w:color="auto"/>
          </w:divBdr>
        </w:div>
      </w:divsChild>
    </w:div>
    <w:div w:id="1240018270">
      <w:bodyDiv w:val="1"/>
      <w:marLeft w:val="0"/>
      <w:marRight w:val="0"/>
      <w:marTop w:val="0"/>
      <w:marBottom w:val="0"/>
      <w:divBdr>
        <w:top w:val="none" w:sz="0" w:space="0" w:color="auto"/>
        <w:left w:val="none" w:sz="0" w:space="0" w:color="auto"/>
        <w:bottom w:val="none" w:sz="0" w:space="0" w:color="auto"/>
        <w:right w:val="none" w:sz="0" w:space="0" w:color="auto"/>
      </w:divBdr>
    </w:div>
    <w:div w:id="1250115592">
      <w:bodyDiv w:val="1"/>
      <w:marLeft w:val="0"/>
      <w:marRight w:val="0"/>
      <w:marTop w:val="0"/>
      <w:marBottom w:val="0"/>
      <w:divBdr>
        <w:top w:val="none" w:sz="0" w:space="0" w:color="auto"/>
        <w:left w:val="none" w:sz="0" w:space="0" w:color="auto"/>
        <w:bottom w:val="none" w:sz="0" w:space="0" w:color="auto"/>
        <w:right w:val="none" w:sz="0" w:space="0" w:color="auto"/>
      </w:divBdr>
      <w:divsChild>
        <w:div w:id="1645698434">
          <w:marLeft w:val="0"/>
          <w:marRight w:val="0"/>
          <w:marTop w:val="0"/>
          <w:marBottom w:val="0"/>
          <w:divBdr>
            <w:top w:val="none" w:sz="0" w:space="0" w:color="auto"/>
            <w:left w:val="none" w:sz="0" w:space="0" w:color="auto"/>
            <w:bottom w:val="none" w:sz="0" w:space="0" w:color="auto"/>
            <w:right w:val="none" w:sz="0" w:space="0" w:color="auto"/>
          </w:divBdr>
          <w:divsChild>
            <w:div w:id="490407017">
              <w:marLeft w:val="0"/>
              <w:marRight w:val="0"/>
              <w:marTop w:val="0"/>
              <w:marBottom w:val="0"/>
              <w:divBdr>
                <w:top w:val="none" w:sz="0" w:space="0" w:color="auto"/>
                <w:left w:val="none" w:sz="0" w:space="0" w:color="auto"/>
                <w:bottom w:val="none" w:sz="0" w:space="0" w:color="auto"/>
                <w:right w:val="none" w:sz="0" w:space="0" w:color="auto"/>
              </w:divBdr>
            </w:div>
            <w:div w:id="1086462697">
              <w:marLeft w:val="0"/>
              <w:marRight w:val="0"/>
              <w:marTop w:val="0"/>
              <w:marBottom w:val="0"/>
              <w:divBdr>
                <w:top w:val="none" w:sz="0" w:space="0" w:color="auto"/>
                <w:left w:val="none" w:sz="0" w:space="0" w:color="auto"/>
                <w:bottom w:val="none" w:sz="0" w:space="0" w:color="auto"/>
                <w:right w:val="none" w:sz="0" w:space="0" w:color="auto"/>
              </w:divBdr>
            </w:div>
            <w:div w:id="2043824069">
              <w:marLeft w:val="0"/>
              <w:marRight w:val="0"/>
              <w:marTop w:val="0"/>
              <w:marBottom w:val="0"/>
              <w:divBdr>
                <w:top w:val="none" w:sz="0" w:space="0" w:color="auto"/>
                <w:left w:val="none" w:sz="0" w:space="0" w:color="auto"/>
                <w:bottom w:val="none" w:sz="0" w:space="0" w:color="auto"/>
                <w:right w:val="none" w:sz="0" w:space="0" w:color="auto"/>
              </w:divBdr>
            </w:div>
            <w:div w:id="173615016">
              <w:marLeft w:val="0"/>
              <w:marRight w:val="0"/>
              <w:marTop w:val="0"/>
              <w:marBottom w:val="0"/>
              <w:divBdr>
                <w:top w:val="none" w:sz="0" w:space="0" w:color="auto"/>
                <w:left w:val="none" w:sz="0" w:space="0" w:color="auto"/>
                <w:bottom w:val="none" w:sz="0" w:space="0" w:color="auto"/>
                <w:right w:val="none" w:sz="0" w:space="0" w:color="auto"/>
              </w:divBdr>
            </w:div>
            <w:div w:id="1662390169">
              <w:marLeft w:val="0"/>
              <w:marRight w:val="0"/>
              <w:marTop w:val="0"/>
              <w:marBottom w:val="0"/>
              <w:divBdr>
                <w:top w:val="none" w:sz="0" w:space="0" w:color="auto"/>
                <w:left w:val="none" w:sz="0" w:space="0" w:color="auto"/>
                <w:bottom w:val="none" w:sz="0" w:space="0" w:color="auto"/>
                <w:right w:val="none" w:sz="0" w:space="0" w:color="auto"/>
              </w:divBdr>
            </w:div>
          </w:divsChild>
        </w:div>
        <w:div w:id="1734967055">
          <w:marLeft w:val="0"/>
          <w:marRight w:val="0"/>
          <w:marTop w:val="0"/>
          <w:marBottom w:val="0"/>
          <w:divBdr>
            <w:top w:val="none" w:sz="0" w:space="0" w:color="auto"/>
            <w:left w:val="none" w:sz="0" w:space="0" w:color="auto"/>
            <w:bottom w:val="none" w:sz="0" w:space="0" w:color="auto"/>
            <w:right w:val="none" w:sz="0" w:space="0" w:color="auto"/>
          </w:divBdr>
        </w:div>
        <w:div w:id="506555734">
          <w:marLeft w:val="0"/>
          <w:marRight w:val="0"/>
          <w:marTop w:val="0"/>
          <w:marBottom w:val="0"/>
          <w:divBdr>
            <w:top w:val="none" w:sz="0" w:space="0" w:color="auto"/>
            <w:left w:val="none" w:sz="0" w:space="0" w:color="auto"/>
            <w:bottom w:val="none" w:sz="0" w:space="0" w:color="auto"/>
            <w:right w:val="none" w:sz="0" w:space="0" w:color="auto"/>
          </w:divBdr>
        </w:div>
        <w:div w:id="446588008">
          <w:marLeft w:val="0"/>
          <w:marRight w:val="0"/>
          <w:marTop w:val="0"/>
          <w:marBottom w:val="0"/>
          <w:divBdr>
            <w:top w:val="none" w:sz="0" w:space="0" w:color="auto"/>
            <w:left w:val="none" w:sz="0" w:space="0" w:color="auto"/>
            <w:bottom w:val="none" w:sz="0" w:space="0" w:color="auto"/>
            <w:right w:val="none" w:sz="0" w:space="0" w:color="auto"/>
          </w:divBdr>
        </w:div>
        <w:div w:id="260069392">
          <w:marLeft w:val="0"/>
          <w:marRight w:val="0"/>
          <w:marTop w:val="0"/>
          <w:marBottom w:val="0"/>
          <w:divBdr>
            <w:top w:val="none" w:sz="0" w:space="0" w:color="auto"/>
            <w:left w:val="none" w:sz="0" w:space="0" w:color="auto"/>
            <w:bottom w:val="none" w:sz="0" w:space="0" w:color="auto"/>
            <w:right w:val="none" w:sz="0" w:space="0" w:color="auto"/>
          </w:divBdr>
        </w:div>
        <w:div w:id="1903440123">
          <w:marLeft w:val="0"/>
          <w:marRight w:val="0"/>
          <w:marTop w:val="0"/>
          <w:marBottom w:val="0"/>
          <w:divBdr>
            <w:top w:val="none" w:sz="0" w:space="0" w:color="auto"/>
            <w:left w:val="none" w:sz="0" w:space="0" w:color="auto"/>
            <w:bottom w:val="none" w:sz="0" w:space="0" w:color="auto"/>
            <w:right w:val="none" w:sz="0" w:space="0" w:color="auto"/>
          </w:divBdr>
        </w:div>
        <w:div w:id="646589570">
          <w:marLeft w:val="0"/>
          <w:marRight w:val="0"/>
          <w:marTop w:val="0"/>
          <w:marBottom w:val="0"/>
          <w:divBdr>
            <w:top w:val="none" w:sz="0" w:space="0" w:color="auto"/>
            <w:left w:val="none" w:sz="0" w:space="0" w:color="auto"/>
            <w:bottom w:val="none" w:sz="0" w:space="0" w:color="auto"/>
            <w:right w:val="none" w:sz="0" w:space="0" w:color="auto"/>
          </w:divBdr>
        </w:div>
        <w:div w:id="458114425">
          <w:marLeft w:val="0"/>
          <w:marRight w:val="0"/>
          <w:marTop w:val="0"/>
          <w:marBottom w:val="0"/>
          <w:divBdr>
            <w:top w:val="none" w:sz="0" w:space="0" w:color="auto"/>
            <w:left w:val="none" w:sz="0" w:space="0" w:color="auto"/>
            <w:bottom w:val="none" w:sz="0" w:space="0" w:color="auto"/>
            <w:right w:val="none" w:sz="0" w:space="0" w:color="auto"/>
          </w:divBdr>
        </w:div>
        <w:div w:id="1404721982">
          <w:marLeft w:val="0"/>
          <w:marRight w:val="0"/>
          <w:marTop w:val="0"/>
          <w:marBottom w:val="0"/>
          <w:divBdr>
            <w:top w:val="none" w:sz="0" w:space="0" w:color="auto"/>
            <w:left w:val="none" w:sz="0" w:space="0" w:color="auto"/>
            <w:bottom w:val="none" w:sz="0" w:space="0" w:color="auto"/>
            <w:right w:val="none" w:sz="0" w:space="0" w:color="auto"/>
          </w:divBdr>
        </w:div>
        <w:div w:id="2060787059">
          <w:marLeft w:val="0"/>
          <w:marRight w:val="0"/>
          <w:marTop w:val="0"/>
          <w:marBottom w:val="0"/>
          <w:divBdr>
            <w:top w:val="none" w:sz="0" w:space="0" w:color="auto"/>
            <w:left w:val="none" w:sz="0" w:space="0" w:color="auto"/>
            <w:bottom w:val="none" w:sz="0" w:space="0" w:color="auto"/>
            <w:right w:val="none" w:sz="0" w:space="0" w:color="auto"/>
          </w:divBdr>
        </w:div>
        <w:div w:id="1744832961">
          <w:marLeft w:val="0"/>
          <w:marRight w:val="0"/>
          <w:marTop w:val="0"/>
          <w:marBottom w:val="0"/>
          <w:divBdr>
            <w:top w:val="none" w:sz="0" w:space="0" w:color="auto"/>
            <w:left w:val="none" w:sz="0" w:space="0" w:color="auto"/>
            <w:bottom w:val="none" w:sz="0" w:space="0" w:color="auto"/>
            <w:right w:val="none" w:sz="0" w:space="0" w:color="auto"/>
          </w:divBdr>
        </w:div>
        <w:div w:id="1013535868">
          <w:marLeft w:val="0"/>
          <w:marRight w:val="0"/>
          <w:marTop w:val="0"/>
          <w:marBottom w:val="0"/>
          <w:divBdr>
            <w:top w:val="none" w:sz="0" w:space="0" w:color="auto"/>
            <w:left w:val="none" w:sz="0" w:space="0" w:color="auto"/>
            <w:bottom w:val="none" w:sz="0" w:space="0" w:color="auto"/>
            <w:right w:val="none" w:sz="0" w:space="0" w:color="auto"/>
          </w:divBdr>
        </w:div>
      </w:divsChild>
    </w:div>
    <w:div w:id="1272080808">
      <w:bodyDiv w:val="1"/>
      <w:marLeft w:val="0"/>
      <w:marRight w:val="0"/>
      <w:marTop w:val="0"/>
      <w:marBottom w:val="0"/>
      <w:divBdr>
        <w:top w:val="none" w:sz="0" w:space="0" w:color="auto"/>
        <w:left w:val="none" w:sz="0" w:space="0" w:color="auto"/>
        <w:bottom w:val="none" w:sz="0" w:space="0" w:color="auto"/>
        <w:right w:val="none" w:sz="0" w:space="0" w:color="auto"/>
      </w:divBdr>
    </w:div>
    <w:div w:id="1327444287">
      <w:bodyDiv w:val="1"/>
      <w:marLeft w:val="0"/>
      <w:marRight w:val="0"/>
      <w:marTop w:val="0"/>
      <w:marBottom w:val="0"/>
      <w:divBdr>
        <w:top w:val="none" w:sz="0" w:space="0" w:color="auto"/>
        <w:left w:val="none" w:sz="0" w:space="0" w:color="auto"/>
        <w:bottom w:val="none" w:sz="0" w:space="0" w:color="auto"/>
        <w:right w:val="none" w:sz="0" w:space="0" w:color="auto"/>
      </w:divBdr>
    </w:div>
    <w:div w:id="1401518119">
      <w:bodyDiv w:val="1"/>
      <w:marLeft w:val="0"/>
      <w:marRight w:val="0"/>
      <w:marTop w:val="0"/>
      <w:marBottom w:val="0"/>
      <w:divBdr>
        <w:top w:val="none" w:sz="0" w:space="0" w:color="auto"/>
        <w:left w:val="none" w:sz="0" w:space="0" w:color="auto"/>
        <w:bottom w:val="none" w:sz="0" w:space="0" w:color="auto"/>
        <w:right w:val="none" w:sz="0" w:space="0" w:color="auto"/>
      </w:divBdr>
    </w:div>
    <w:div w:id="1427728451">
      <w:bodyDiv w:val="1"/>
      <w:marLeft w:val="0"/>
      <w:marRight w:val="0"/>
      <w:marTop w:val="0"/>
      <w:marBottom w:val="0"/>
      <w:divBdr>
        <w:top w:val="none" w:sz="0" w:space="0" w:color="auto"/>
        <w:left w:val="none" w:sz="0" w:space="0" w:color="auto"/>
        <w:bottom w:val="none" w:sz="0" w:space="0" w:color="auto"/>
        <w:right w:val="none" w:sz="0" w:space="0" w:color="auto"/>
      </w:divBdr>
    </w:div>
    <w:div w:id="1442645484">
      <w:bodyDiv w:val="1"/>
      <w:marLeft w:val="0"/>
      <w:marRight w:val="0"/>
      <w:marTop w:val="0"/>
      <w:marBottom w:val="0"/>
      <w:divBdr>
        <w:top w:val="none" w:sz="0" w:space="0" w:color="auto"/>
        <w:left w:val="none" w:sz="0" w:space="0" w:color="auto"/>
        <w:bottom w:val="none" w:sz="0" w:space="0" w:color="auto"/>
        <w:right w:val="none" w:sz="0" w:space="0" w:color="auto"/>
      </w:divBdr>
    </w:div>
    <w:div w:id="1462839637">
      <w:bodyDiv w:val="1"/>
      <w:marLeft w:val="0"/>
      <w:marRight w:val="0"/>
      <w:marTop w:val="0"/>
      <w:marBottom w:val="0"/>
      <w:divBdr>
        <w:top w:val="none" w:sz="0" w:space="0" w:color="auto"/>
        <w:left w:val="none" w:sz="0" w:space="0" w:color="auto"/>
        <w:bottom w:val="none" w:sz="0" w:space="0" w:color="auto"/>
        <w:right w:val="none" w:sz="0" w:space="0" w:color="auto"/>
      </w:divBdr>
    </w:div>
    <w:div w:id="1481920259">
      <w:bodyDiv w:val="1"/>
      <w:marLeft w:val="0"/>
      <w:marRight w:val="0"/>
      <w:marTop w:val="0"/>
      <w:marBottom w:val="0"/>
      <w:divBdr>
        <w:top w:val="none" w:sz="0" w:space="0" w:color="auto"/>
        <w:left w:val="none" w:sz="0" w:space="0" w:color="auto"/>
        <w:bottom w:val="none" w:sz="0" w:space="0" w:color="auto"/>
        <w:right w:val="none" w:sz="0" w:space="0" w:color="auto"/>
      </w:divBdr>
      <w:divsChild>
        <w:div w:id="263150546">
          <w:marLeft w:val="0"/>
          <w:marRight w:val="0"/>
          <w:marTop w:val="0"/>
          <w:marBottom w:val="0"/>
          <w:divBdr>
            <w:top w:val="none" w:sz="0" w:space="0" w:color="auto"/>
            <w:left w:val="none" w:sz="0" w:space="0" w:color="auto"/>
            <w:bottom w:val="none" w:sz="0" w:space="0" w:color="auto"/>
            <w:right w:val="none" w:sz="0" w:space="0" w:color="auto"/>
          </w:divBdr>
        </w:div>
        <w:div w:id="984503123">
          <w:marLeft w:val="0"/>
          <w:marRight w:val="0"/>
          <w:marTop w:val="0"/>
          <w:marBottom w:val="0"/>
          <w:divBdr>
            <w:top w:val="none" w:sz="0" w:space="0" w:color="auto"/>
            <w:left w:val="none" w:sz="0" w:space="0" w:color="auto"/>
            <w:bottom w:val="none" w:sz="0" w:space="0" w:color="auto"/>
            <w:right w:val="none" w:sz="0" w:space="0" w:color="auto"/>
          </w:divBdr>
        </w:div>
        <w:div w:id="1214462687">
          <w:marLeft w:val="0"/>
          <w:marRight w:val="0"/>
          <w:marTop w:val="0"/>
          <w:marBottom w:val="0"/>
          <w:divBdr>
            <w:top w:val="none" w:sz="0" w:space="0" w:color="auto"/>
            <w:left w:val="none" w:sz="0" w:space="0" w:color="auto"/>
            <w:bottom w:val="none" w:sz="0" w:space="0" w:color="auto"/>
            <w:right w:val="none" w:sz="0" w:space="0" w:color="auto"/>
          </w:divBdr>
        </w:div>
        <w:div w:id="1289891519">
          <w:marLeft w:val="0"/>
          <w:marRight w:val="0"/>
          <w:marTop w:val="0"/>
          <w:marBottom w:val="0"/>
          <w:divBdr>
            <w:top w:val="none" w:sz="0" w:space="0" w:color="auto"/>
            <w:left w:val="none" w:sz="0" w:space="0" w:color="auto"/>
            <w:bottom w:val="none" w:sz="0" w:space="0" w:color="auto"/>
            <w:right w:val="none" w:sz="0" w:space="0" w:color="auto"/>
          </w:divBdr>
          <w:divsChild>
            <w:div w:id="669019515">
              <w:marLeft w:val="0"/>
              <w:marRight w:val="0"/>
              <w:marTop w:val="0"/>
              <w:marBottom w:val="0"/>
              <w:divBdr>
                <w:top w:val="none" w:sz="0" w:space="0" w:color="auto"/>
                <w:left w:val="none" w:sz="0" w:space="0" w:color="auto"/>
                <w:bottom w:val="none" w:sz="0" w:space="0" w:color="auto"/>
                <w:right w:val="none" w:sz="0" w:space="0" w:color="auto"/>
              </w:divBdr>
            </w:div>
            <w:div w:id="1092121442">
              <w:marLeft w:val="0"/>
              <w:marRight w:val="0"/>
              <w:marTop w:val="0"/>
              <w:marBottom w:val="0"/>
              <w:divBdr>
                <w:top w:val="none" w:sz="0" w:space="0" w:color="auto"/>
                <w:left w:val="none" w:sz="0" w:space="0" w:color="auto"/>
                <w:bottom w:val="none" w:sz="0" w:space="0" w:color="auto"/>
                <w:right w:val="none" w:sz="0" w:space="0" w:color="auto"/>
              </w:divBdr>
            </w:div>
            <w:div w:id="534394494">
              <w:marLeft w:val="0"/>
              <w:marRight w:val="0"/>
              <w:marTop w:val="0"/>
              <w:marBottom w:val="0"/>
              <w:divBdr>
                <w:top w:val="none" w:sz="0" w:space="0" w:color="auto"/>
                <w:left w:val="none" w:sz="0" w:space="0" w:color="auto"/>
                <w:bottom w:val="none" w:sz="0" w:space="0" w:color="auto"/>
                <w:right w:val="none" w:sz="0" w:space="0" w:color="auto"/>
              </w:divBdr>
            </w:div>
            <w:div w:id="102071247">
              <w:marLeft w:val="0"/>
              <w:marRight w:val="0"/>
              <w:marTop w:val="0"/>
              <w:marBottom w:val="0"/>
              <w:divBdr>
                <w:top w:val="none" w:sz="0" w:space="0" w:color="auto"/>
                <w:left w:val="none" w:sz="0" w:space="0" w:color="auto"/>
                <w:bottom w:val="none" w:sz="0" w:space="0" w:color="auto"/>
                <w:right w:val="none" w:sz="0" w:space="0" w:color="auto"/>
              </w:divBdr>
            </w:div>
            <w:div w:id="176864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395936">
      <w:bodyDiv w:val="1"/>
      <w:marLeft w:val="0"/>
      <w:marRight w:val="0"/>
      <w:marTop w:val="0"/>
      <w:marBottom w:val="0"/>
      <w:divBdr>
        <w:top w:val="none" w:sz="0" w:space="0" w:color="auto"/>
        <w:left w:val="none" w:sz="0" w:space="0" w:color="auto"/>
        <w:bottom w:val="none" w:sz="0" w:space="0" w:color="auto"/>
        <w:right w:val="none" w:sz="0" w:space="0" w:color="auto"/>
      </w:divBdr>
    </w:div>
    <w:div w:id="1572809156">
      <w:bodyDiv w:val="1"/>
      <w:marLeft w:val="0"/>
      <w:marRight w:val="0"/>
      <w:marTop w:val="0"/>
      <w:marBottom w:val="0"/>
      <w:divBdr>
        <w:top w:val="none" w:sz="0" w:space="0" w:color="auto"/>
        <w:left w:val="none" w:sz="0" w:space="0" w:color="auto"/>
        <w:bottom w:val="none" w:sz="0" w:space="0" w:color="auto"/>
        <w:right w:val="none" w:sz="0" w:space="0" w:color="auto"/>
      </w:divBdr>
    </w:div>
    <w:div w:id="1585605232">
      <w:bodyDiv w:val="1"/>
      <w:marLeft w:val="0"/>
      <w:marRight w:val="0"/>
      <w:marTop w:val="0"/>
      <w:marBottom w:val="0"/>
      <w:divBdr>
        <w:top w:val="none" w:sz="0" w:space="0" w:color="auto"/>
        <w:left w:val="none" w:sz="0" w:space="0" w:color="auto"/>
        <w:bottom w:val="none" w:sz="0" w:space="0" w:color="auto"/>
        <w:right w:val="none" w:sz="0" w:space="0" w:color="auto"/>
      </w:divBdr>
    </w:div>
    <w:div w:id="1599630797">
      <w:bodyDiv w:val="1"/>
      <w:marLeft w:val="0"/>
      <w:marRight w:val="0"/>
      <w:marTop w:val="0"/>
      <w:marBottom w:val="0"/>
      <w:divBdr>
        <w:top w:val="none" w:sz="0" w:space="0" w:color="auto"/>
        <w:left w:val="none" w:sz="0" w:space="0" w:color="auto"/>
        <w:bottom w:val="none" w:sz="0" w:space="0" w:color="auto"/>
        <w:right w:val="none" w:sz="0" w:space="0" w:color="auto"/>
      </w:divBdr>
    </w:div>
    <w:div w:id="1621955226">
      <w:bodyDiv w:val="1"/>
      <w:marLeft w:val="0"/>
      <w:marRight w:val="0"/>
      <w:marTop w:val="0"/>
      <w:marBottom w:val="0"/>
      <w:divBdr>
        <w:top w:val="none" w:sz="0" w:space="0" w:color="auto"/>
        <w:left w:val="none" w:sz="0" w:space="0" w:color="auto"/>
        <w:bottom w:val="none" w:sz="0" w:space="0" w:color="auto"/>
        <w:right w:val="none" w:sz="0" w:space="0" w:color="auto"/>
      </w:divBdr>
      <w:divsChild>
        <w:div w:id="939488368">
          <w:marLeft w:val="0"/>
          <w:marRight w:val="0"/>
          <w:marTop w:val="0"/>
          <w:marBottom w:val="0"/>
          <w:divBdr>
            <w:top w:val="none" w:sz="0" w:space="0" w:color="auto"/>
            <w:left w:val="none" w:sz="0" w:space="0" w:color="auto"/>
            <w:bottom w:val="none" w:sz="0" w:space="0" w:color="auto"/>
            <w:right w:val="none" w:sz="0" w:space="0" w:color="auto"/>
          </w:divBdr>
        </w:div>
      </w:divsChild>
    </w:div>
    <w:div w:id="1648434904">
      <w:bodyDiv w:val="1"/>
      <w:marLeft w:val="0"/>
      <w:marRight w:val="0"/>
      <w:marTop w:val="0"/>
      <w:marBottom w:val="0"/>
      <w:divBdr>
        <w:top w:val="none" w:sz="0" w:space="0" w:color="auto"/>
        <w:left w:val="none" w:sz="0" w:space="0" w:color="auto"/>
        <w:bottom w:val="none" w:sz="0" w:space="0" w:color="auto"/>
        <w:right w:val="none" w:sz="0" w:space="0" w:color="auto"/>
      </w:divBdr>
    </w:div>
    <w:div w:id="1658607160">
      <w:bodyDiv w:val="1"/>
      <w:marLeft w:val="0"/>
      <w:marRight w:val="0"/>
      <w:marTop w:val="0"/>
      <w:marBottom w:val="0"/>
      <w:divBdr>
        <w:top w:val="none" w:sz="0" w:space="0" w:color="auto"/>
        <w:left w:val="none" w:sz="0" w:space="0" w:color="auto"/>
        <w:bottom w:val="none" w:sz="0" w:space="0" w:color="auto"/>
        <w:right w:val="none" w:sz="0" w:space="0" w:color="auto"/>
      </w:divBdr>
    </w:div>
    <w:div w:id="1701471384">
      <w:bodyDiv w:val="1"/>
      <w:marLeft w:val="0"/>
      <w:marRight w:val="0"/>
      <w:marTop w:val="0"/>
      <w:marBottom w:val="0"/>
      <w:divBdr>
        <w:top w:val="none" w:sz="0" w:space="0" w:color="auto"/>
        <w:left w:val="none" w:sz="0" w:space="0" w:color="auto"/>
        <w:bottom w:val="none" w:sz="0" w:space="0" w:color="auto"/>
        <w:right w:val="none" w:sz="0" w:space="0" w:color="auto"/>
      </w:divBdr>
    </w:div>
    <w:div w:id="1769814969">
      <w:bodyDiv w:val="1"/>
      <w:marLeft w:val="0"/>
      <w:marRight w:val="0"/>
      <w:marTop w:val="0"/>
      <w:marBottom w:val="0"/>
      <w:divBdr>
        <w:top w:val="none" w:sz="0" w:space="0" w:color="auto"/>
        <w:left w:val="none" w:sz="0" w:space="0" w:color="auto"/>
        <w:bottom w:val="none" w:sz="0" w:space="0" w:color="auto"/>
        <w:right w:val="none" w:sz="0" w:space="0" w:color="auto"/>
      </w:divBdr>
    </w:div>
    <w:div w:id="1833057195">
      <w:bodyDiv w:val="1"/>
      <w:marLeft w:val="0"/>
      <w:marRight w:val="0"/>
      <w:marTop w:val="0"/>
      <w:marBottom w:val="0"/>
      <w:divBdr>
        <w:top w:val="none" w:sz="0" w:space="0" w:color="auto"/>
        <w:left w:val="none" w:sz="0" w:space="0" w:color="auto"/>
        <w:bottom w:val="none" w:sz="0" w:space="0" w:color="auto"/>
        <w:right w:val="none" w:sz="0" w:space="0" w:color="auto"/>
      </w:divBdr>
    </w:div>
    <w:div w:id="1847553405">
      <w:bodyDiv w:val="1"/>
      <w:marLeft w:val="0"/>
      <w:marRight w:val="0"/>
      <w:marTop w:val="0"/>
      <w:marBottom w:val="0"/>
      <w:divBdr>
        <w:top w:val="none" w:sz="0" w:space="0" w:color="auto"/>
        <w:left w:val="none" w:sz="0" w:space="0" w:color="auto"/>
        <w:bottom w:val="none" w:sz="0" w:space="0" w:color="auto"/>
        <w:right w:val="none" w:sz="0" w:space="0" w:color="auto"/>
      </w:divBdr>
    </w:div>
    <w:div w:id="1854496517">
      <w:bodyDiv w:val="1"/>
      <w:marLeft w:val="0"/>
      <w:marRight w:val="0"/>
      <w:marTop w:val="0"/>
      <w:marBottom w:val="0"/>
      <w:divBdr>
        <w:top w:val="none" w:sz="0" w:space="0" w:color="auto"/>
        <w:left w:val="none" w:sz="0" w:space="0" w:color="auto"/>
        <w:bottom w:val="none" w:sz="0" w:space="0" w:color="auto"/>
        <w:right w:val="none" w:sz="0" w:space="0" w:color="auto"/>
      </w:divBdr>
    </w:div>
    <w:div w:id="1868173114">
      <w:bodyDiv w:val="1"/>
      <w:marLeft w:val="0"/>
      <w:marRight w:val="0"/>
      <w:marTop w:val="0"/>
      <w:marBottom w:val="0"/>
      <w:divBdr>
        <w:top w:val="none" w:sz="0" w:space="0" w:color="auto"/>
        <w:left w:val="none" w:sz="0" w:space="0" w:color="auto"/>
        <w:bottom w:val="none" w:sz="0" w:space="0" w:color="auto"/>
        <w:right w:val="none" w:sz="0" w:space="0" w:color="auto"/>
      </w:divBdr>
    </w:div>
    <w:div w:id="1884518726">
      <w:bodyDiv w:val="1"/>
      <w:marLeft w:val="0"/>
      <w:marRight w:val="0"/>
      <w:marTop w:val="0"/>
      <w:marBottom w:val="0"/>
      <w:divBdr>
        <w:top w:val="none" w:sz="0" w:space="0" w:color="auto"/>
        <w:left w:val="none" w:sz="0" w:space="0" w:color="auto"/>
        <w:bottom w:val="none" w:sz="0" w:space="0" w:color="auto"/>
        <w:right w:val="none" w:sz="0" w:space="0" w:color="auto"/>
      </w:divBdr>
    </w:div>
    <w:div w:id="1892115544">
      <w:bodyDiv w:val="1"/>
      <w:marLeft w:val="0"/>
      <w:marRight w:val="0"/>
      <w:marTop w:val="0"/>
      <w:marBottom w:val="0"/>
      <w:divBdr>
        <w:top w:val="none" w:sz="0" w:space="0" w:color="auto"/>
        <w:left w:val="none" w:sz="0" w:space="0" w:color="auto"/>
        <w:bottom w:val="none" w:sz="0" w:space="0" w:color="auto"/>
        <w:right w:val="none" w:sz="0" w:space="0" w:color="auto"/>
      </w:divBdr>
    </w:div>
    <w:div w:id="1915819995">
      <w:bodyDiv w:val="1"/>
      <w:marLeft w:val="0"/>
      <w:marRight w:val="0"/>
      <w:marTop w:val="0"/>
      <w:marBottom w:val="0"/>
      <w:divBdr>
        <w:top w:val="none" w:sz="0" w:space="0" w:color="auto"/>
        <w:left w:val="none" w:sz="0" w:space="0" w:color="auto"/>
        <w:bottom w:val="none" w:sz="0" w:space="0" w:color="auto"/>
        <w:right w:val="none" w:sz="0" w:space="0" w:color="auto"/>
      </w:divBdr>
    </w:div>
    <w:div w:id="1920166041">
      <w:bodyDiv w:val="1"/>
      <w:marLeft w:val="0"/>
      <w:marRight w:val="0"/>
      <w:marTop w:val="0"/>
      <w:marBottom w:val="0"/>
      <w:divBdr>
        <w:top w:val="none" w:sz="0" w:space="0" w:color="auto"/>
        <w:left w:val="none" w:sz="0" w:space="0" w:color="auto"/>
        <w:bottom w:val="none" w:sz="0" w:space="0" w:color="auto"/>
        <w:right w:val="none" w:sz="0" w:space="0" w:color="auto"/>
      </w:divBdr>
    </w:div>
    <w:div w:id="1940677060">
      <w:bodyDiv w:val="1"/>
      <w:marLeft w:val="0"/>
      <w:marRight w:val="0"/>
      <w:marTop w:val="0"/>
      <w:marBottom w:val="0"/>
      <w:divBdr>
        <w:top w:val="none" w:sz="0" w:space="0" w:color="auto"/>
        <w:left w:val="none" w:sz="0" w:space="0" w:color="auto"/>
        <w:bottom w:val="none" w:sz="0" w:space="0" w:color="auto"/>
        <w:right w:val="none" w:sz="0" w:space="0" w:color="auto"/>
      </w:divBdr>
    </w:div>
    <w:div w:id="1947691987">
      <w:bodyDiv w:val="1"/>
      <w:marLeft w:val="0"/>
      <w:marRight w:val="0"/>
      <w:marTop w:val="0"/>
      <w:marBottom w:val="0"/>
      <w:divBdr>
        <w:top w:val="none" w:sz="0" w:space="0" w:color="auto"/>
        <w:left w:val="none" w:sz="0" w:space="0" w:color="auto"/>
        <w:bottom w:val="none" w:sz="0" w:space="0" w:color="auto"/>
        <w:right w:val="none" w:sz="0" w:space="0" w:color="auto"/>
      </w:divBdr>
    </w:div>
    <w:div w:id="1967151956">
      <w:bodyDiv w:val="1"/>
      <w:marLeft w:val="0"/>
      <w:marRight w:val="0"/>
      <w:marTop w:val="0"/>
      <w:marBottom w:val="0"/>
      <w:divBdr>
        <w:top w:val="none" w:sz="0" w:space="0" w:color="auto"/>
        <w:left w:val="none" w:sz="0" w:space="0" w:color="auto"/>
        <w:bottom w:val="none" w:sz="0" w:space="0" w:color="auto"/>
        <w:right w:val="none" w:sz="0" w:space="0" w:color="auto"/>
      </w:divBdr>
    </w:div>
    <w:div w:id="2004622879">
      <w:bodyDiv w:val="1"/>
      <w:marLeft w:val="0"/>
      <w:marRight w:val="0"/>
      <w:marTop w:val="0"/>
      <w:marBottom w:val="0"/>
      <w:divBdr>
        <w:top w:val="none" w:sz="0" w:space="0" w:color="auto"/>
        <w:left w:val="none" w:sz="0" w:space="0" w:color="auto"/>
        <w:bottom w:val="none" w:sz="0" w:space="0" w:color="auto"/>
        <w:right w:val="none" w:sz="0" w:space="0" w:color="auto"/>
      </w:divBdr>
    </w:div>
    <w:div w:id="2011715703">
      <w:bodyDiv w:val="1"/>
      <w:marLeft w:val="0"/>
      <w:marRight w:val="0"/>
      <w:marTop w:val="0"/>
      <w:marBottom w:val="0"/>
      <w:divBdr>
        <w:top w:val="none" w:sz="0" w:space="0" w:color="auto"/>
        <w:left w:val="none" w:sz="0" w:space="0" w:color="auto"/>
        <w:bottom w:val="none" w:sz="0" w:space="0" w:color="auto"/>
        <w:right w:val="none" w:sz="0" w:space="0" w:color="auto"/>
      </w:divBdr>
    </w:div>
    <w:div w:id="2032678017">
      <w:bodyDiv w:val="1"/>
      <w:marLeft w:val="0"/>
      <w:marRight w:val="0"/>
      <w:marTop w:val="0"/>
      <w:marBottom w:val="0"/>
      <w:divBdr>
        <w:top w:val="none" w:sz="0" w:space="0" w:color="auto"/>
        <w:left w:val="none" w:sz="0" w:space="0" w:color="auto"/>
        <w:bottom w:val="none" w:sz="0" w:space="0" w:color="auto"/>
        <w:right w:val="none" w:sz="0" w:space="0" w:color="auto"/>
      </w:divBdr>
    </w:div>
    <w:div w:id="2034181897">
      <w:bodyDiv w:val="1"/>
      <w:marLeft w:val="0"/>
      <w:marRight w:val="0"/>
      <w:marTop w:val="0"/>
      <w:marBottom w:val="0"/>
      <w:divBdr>
        <w:top w:val="none" w:sz="0" w:space="0" w:color="auto"/>
        <w:left w:val="none" w:sz="0" w:space="0" w:color="auto"/>
        <w:bottom w:val="none" w:sz="0" w:space="0" w:color="auto"/>
        <w:right w:val="none" w:sz="0" w:space="0" w:color="auto"/>
      </w:divBdr>
    </w:div>
    <w:div w:id="2063552036">
      <w:bodyDiv w:val="1"/>
      <w:marLeft w:val="0"/>
      <w:marRight w:val="0"/>
      <w:marTop w:val="0"/>
      <w:marBottom w:val="0"/>
      <w:divBdr>
        <w:top w:val="none" w:sz="0" w:space="0" w:color="auto"/>
        <w:left w:val="none" w:sz="0" w:space="0" w:color="auto"/>
        <w:bottom w:val="none" w:sz="0" w:space="0" w:color="auto"/>
        <w:right w:val="none" w:sz="0" w:space="0" w:color="auto"/>
      </w:divBdr>
    </w:div>
    <w:div w:id="2086755412">
      <w:bodyDiv w:val="1"/>
      <w:marLeft w:val="0"/>
      <w:marRight w:val="0"/>
      <w:marTop w:val="0"/>
      <w:marBottom w:val="0"/>
      <w:divBdr>
        <w:top w:val="none" w:sz="0" w:space="0" w:color="auto"/>
        <w:left w:val="none" w:sz="0" w:space="0" w:color="auto"/>
        <w:bottom w:val="none" w:sz="0" w:space="0" w:color="auto"/>
        <w:right w:val="none" w:sz="0" w:space="0" w:color="auto"/>
      </w:divBdr>
    </w:div>
    <w:div w:id="2122987602">
      <w:bodyDiv w:val="1"/>
      <w:marLeft w:val="0"/>
      <w:marRight w:val="0"/>
      <w:marTop w:val="0"/>
      <w:marBottom w:val="0"/>
      <w:divBdr>
        <w:top w:val="none" w:sz="0" w:space="0" w:color="auto"/>
        <w:left w:val="none" w:sz="0" w:space="0" w:color="auto"/>
        <w:bottom w:val="none" w:sz="0" w:space="0" w:color="auto"/>
        <w:right w:val="none" w:sz="0" w:space="0" w:color="auto"/>
      </w:divBdr>
    </w:div>
    <w:div w:id="212396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alsegen01.alcaldiabogota.gov.co:7772/sisjur/normas/Norma1.jsp?i=304"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caldiabogota.gov.co/sisjur/normas/Norma1.jsp?i=29233"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9EBDE-E5A3-432C-B906-D30EE283E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14432</Words>
  <Characters>79377</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Informe de seguimiento o evaluación</vt:lpstr>
    </vt:vector>
  </TitlesOfParts>
  <Manager>SGDEA</Manager>
  <Company>Instituto Distrital de Patrimonio Cultural</Company>
  <LinksUpToDate>false</LinksUpToDate>
  <CharactersWithSpaces>93622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seguimiento o evaluación</dc:title>
  <dc:subject>Informe de seguimiento o evaluación</dc:subject>
  <dc:creator>Seguimiento y evaluación</dc:creator>
  <cp:keywords/>
  <dc:description/>
  <cp:lastModifiedBy>Eleana Marcela Paez Urrego</cp:lastModifiedBy>
  <cp:revision>2</cp:revision>
  <cp:lastPrinted>2022-03-09T05:45:00Z</cp:lastPrinted>
  <dcterms:created xsi:type="dcterms:W3CDTF">2022-04-26T20:54:00Z</dcterms:created>
  <dcterms:modified xsi:type="dcterms:W3CDTF">2022-04-26T20:54:00Z</dcterms:modified>
  <cp:category/>
  <cp:version>4</cp:version>
</cp:coreProperties>
</file>