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5"/>
        <w:gridCol w:w="834"/>
        <w:gridCol w:w="833"/>
        <w:gridCol w:w="833"/>
        <w:gridCol w:w="833"/>
        <w:gridCol w:w="833"/>
        <w:gridCol w:w="837"/>
      </w:tblGrid>
      <w:tr w:rsidR="0045782D" w14:paraId="0A3D8AC3" w14:textId="77777777" w:rsidTr="00DE7754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2923681" w14:textId="558DB7A2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bookmarkStart w:id="0" w:name="_GoBack"/>
            <w:bookmarkEnd w:id="0"/>
            <w:r w:rsidRPr="00AD5687">
              <w:rPr>
                <w:rFonts w:cs="Arial"/>
                <w:b/>
                <w:sz w:val="20"/>
                <w:szCs w:val="22"/>
              </w:rPr>
              <w:t>FECHA DE EMISIÓN DEL INFORME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14398F64" w14:textId="707D4FA8" w:rsidR="0045782D" w:rsidRPr="0045782D" w:rsidRDefault="0045782D" w:rsidP="00B036B5">
            <w:pPr>
              <w:jc w:val="center"/>
              <w:rPr>
                <w:b/>
                <w:color w:val="FFFFFF" w:themeColor="background1"/>
              </w:rPr>
            </w:pPr>
            <w:r w:rsidRPr="0045782D">
              <w:rPr>
                <w:b/>
              </w:rPr>
              <w:t>DÍA</w:t>
            </w:r>
          </w:p>
        </w:tc>
        <w:tc>
          <w:tcPr>
            <w:tcW w:w="472" w:type="pct"/>
            <w:vAlign w:val="center"/>
          </w:tcPr>
          <w:p w14:paraId="7F3EAFB0" w14:textId="365AB214" w:rsidR="0045782D" w:rsidRPr="004D3791" w:rsidRDefault="00534142" w:rsidP="00B036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FE04EE">
              <w:rPr>
                <w:bCs/>
                <w:color w:val="000000" w:themeColor="text1"/>
              </w:rPr>
              <w:t>9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22E6F444" w14:textId="06ABE94D" w:rsidR="0045782D" w:rsidRPr="004D3791" w:rsidRDefault="0045782D" w:rsidP="00B036B5">
            <w:pPr>
              <w:jc w:val="center"/>
              <w:rPr>
                <w:b/>
                <w:color w:val="000000" w:themeColor="text1"/>
              </w:rPr>
            </w:pPr>
            <w:r w:rsidRPr="004D3791">
              <w:rPr>
                <w:b/>
                <w:color w:val="000000" w:themeColor="text1"/>
              </w:rPr>
              <w:t>MES</w:t>
            </w:r>
          </w:p>
        </w:tc>
        <w:tc>
          <w:tcPr>
            <w:tcW w:w="472" w:type="pct"/>
            <w:vAlign w:val="center"/>
          </w:tcPr>
          <w:p w14:paraId="11359BF7" w14:textId="50E51ED5" w:rsidR="0045782D" w:rsidRPr="004D3791" w:rsidRDefault="0085414F" w:rsidP="00B036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08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0ACFC3D" w14:textId="553771D2" w:rsidR="0045782D" w:rsidRPr="004D3791" w:rsidRDefault="0045782D" w:rsidP="00B036B5">
            <w:pPr>
              <w:jc w:val="center"/>
              <w:rPr>
                <w:b/>
                <w:color w:val="000000" w:themeColor="text1"/>
              </w:rPr>
            </w:pPr>
            <w:r w:rsidRPr="004D3791">
              <w:rPr>
                <w:b/>
                <w:color w:val="000000" w:themeColor="text1"/>
              </w:rPr>
              <w:t>AÑO</w:t>
            </w:r>
          </w:p>
        </w:tc>
        <w:tc>
          <w:tcPr>
            <w:tcW w:w="474" w:type="pct"/>
            <w:vAlign w:val="center"/>
          </w:tcPr>
          <w:p w14:paraId="0E41B807" w14:textId="4AA2096E" w:rsidR="0045782D" w:rsidRPr="004D3791" w:rsidRDefault="00534142" w:rsidP="00B036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</w:tr>
      <w:tr w:rsidR="0045782D" w14:paraId="149B1566" w14:textId="77777777" w:rsidTr="00DE7754">
        <w:trPr>
          <w:trHeight w:val="799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2AB28578" w14:textId="53990E23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1DB71B32" w14:textId="54AFC7E9" w:rsidR="0045782D" w:rsidRDefault="00D51E76" w:rsidP="00243FA4">
            <w:pPr>
              <w:jc w:val="both"/>
            </w:pPr>
            <w:r w:rsidRPr="00243FA4">
              <w:rPr>
                <w:rFonts w:cs="Arial"/>
                <w:color w:val="000000"/>
                <w:sz w:val="20"/>
                <w:szCs w:val="20"/>
              </w:rPr>
              <w:t xml:space="preserve">Informe Seguimiento Metas Plan de Desarrollo, Plan Anual de Adquisiciones y </w:t>
            </w:r>
            <w:r w:rsidRPr="00243FA4">
              <w:rPr>
                <w:rFonts w:cs="Arial"/>
                <w:sz w:val="20"/>
                <w:szCs w:val="20"/>
              </w:rPr>
              <w:t>Plan Operativo Anual de Inversión.</w:t>
            </w:r>
          </w:p>
        </w:tc>
      </w:tr>
      <w:tr w:rsidR="0045782D" w14:paraId="1E7326F9" w14:textId="77777777" w:rsidTr="00DE7754">
        <w:trPr>
          <w:trHeight w:val="85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C90A16E" w14:textId="33653F2A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RESPONSABLE DEL 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738DB55A" w14:textId="15DFF8B0" w:rsidR="0045782D" w:rsidRDefault="00DE7754" w:rsidP="00DE7754">
            <w:pPr>
              <w:jc w:val="both"/>
            </w:pPr>
            <w:r w:rsidRPr="00DE7754">
              <w:rPr>
                <w:rFonts w:cs="Arial"/>
                <w:sz w:val="20"/>
                <w:szCs w:val="20"/>
                <w:lang w:val="es-MX"/>
              </w:rPr>
              <w:t>Todas las dependencias del IDPC</w:t>
            </w:r>
          </w:p>
        </w:tc>
      </w:tr>
      <w:tr w:rsidR="0045782D" w14:paraId="4069ACF0" w14:textId="77777777" w:rsidTr="00DE7754">
        <w:trPr>
          <w:trHeight w:val="979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2AAD9E0" w14:textId="64AC8B6E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OBJETIVO GENERAL</w:t>
            </w:r>
          </w:p>
        </w:tc>
        <w:tc>
          <w:tcPr>
            <w:tcW w:w="2834" w:type="pct"/>
            <w:gridSpan w:val="6"/>
            <w:vAlign w:val="center"/>
          </w:tcPr>
          <w:p w14:paraId="2F7541CA" w14:textId="0FAC63A2" w:rsidR="0045782D" w:rsidRDefault="00E50576" w:rsidP="00E50576">
            <w:pPr>
              <w:jc w:val="both"/>
            </w:pPr>
            <w:r w:rsidRPr="00E50576">
              <w:rPr>
                <w:rFonts w:cs="Arial"/>
                <w:sz w:val="20"/>
                <w:szCs w:val="20"/>
              </w:rPr>
              <w:t>Realizar seguimiento a la ejecución de las metas establecidas por el IDPC para el cumplimiento del Plan de Desarrollo, así como al Plan Anual de Adquisiciones y al Plan Operativo Anual de Inversión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5782D" w14:paraId="61758759" w14:textId="77777777" w:rsidTr="00DE7754">
        <w:trPr>
          <w:trHeight w:val="55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11C42C3" w14:textId="77D930F8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ALCANCE</w:t>
            </w:r>
          </w:p>
        </w:tc>
        <w:tc>
          <w:tcPr>
            <w:tcW w:w="2834" w:type="pct"/>
            <w:gridSpan w:val="6"/>
            <w:vAlign w:val="center"/>
          </w:tcPr>
          <w:p w14:paraId="243A08EF" w14:textId="0E28C082" w:rsidR="0045782D" w:rsidRDefault="00D064E4" w:rsidP="00D064E4">
            <w:r>
              <w:rPr>
                <w:sz w:val="20"/>
              </w:rPr>
              <w:t xml:space="preserve"> </w:t>
            </w:r>
            <w:r w:rsidR="00D16B19" w:rsidRPr="00D064E4">
              <w:rPr>
                <w:sz w:val="20"/>
              </w:rPr>
              <w:t>I</w:t>
            </w:r>
            <w:r w:rsidR="0085414F">
              <w:rPr>
                <w:sz w:val="20"/>
              </w:rPr>
              <w:t xml:space="preserve"> semestre 2022</w:t>
            </w:r>
          </w:p>
        </w:tc>
      </w:tr>
      <w:tr w:rsidR="0045782D" w14:paraId="00289A75" w14:textId="77777777" w:rsidTr="00DE7754">
        <w:trPr>
          <w:trHeight w:val="70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4D648F4" w14:textId="3189BBAA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CRITERIOS</w:t>
            </w:r>
          </w:p>
        </w:tc>
        <w:tc>
          <w:tcPr>
            <w:tcW w:w="2834" w:type="pct"/>
            <w:gridSpan w:val="6"/>
            <w:vAlign w:val="center"/>
          </w:tcPr>
          <w:p w14:paraId="5BB9C0DC" w14:textId="1760389D" w:rsidR="0045782D" w:rsidRDefault="00D16B19" w:rsidP="00D16B19">
            <w:pPr>
              <w:jc w:val="both"/>
            </w:pPr>
            <w:r w:rsidRPr="00D16B19">
              <w:rPr>
                <w:rFonts w:cs="Arial"/>
                <w:sz w:val="20"/>
                <w:szCs w:val="20"/>
              </w:rPr>
              <w:t xml:space="preserve">Decreto 807 de 2019 </w:t>
            </w:r>
            <w:r w:rsidRPr="00D16B19">
              <w:rPr>
                <w:rFonts w:cs="Arial"/>
                <w:i/>
                <w:sz w:val="20"/>
                <w:szCs w:val="20"/>
              </w:rPr>
              <w:t>“Por medio del cual se reglamenta el Sistema de Gestión en el Distrito Capital y se dictan otras disposiciones”</w:t>
            </w:r>
          </w:p>
        </w:tc>
      </w:tr>
      <w:tr w:rsidR="0045782D" w14:paraId="4B60AD89" w14:textId="77777777" w:rsidTr="00DE7754">
        <w:trPr>
          <w:trHeight w:val="55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7E409BC" w14:textId="3D499669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PRUEBAS DE AUDITORÍA</w:t>
            </w:r>
          </w:p>
        </w:tc>
        <w:tc>
          <w:tcPr>
            <w:tcW w:w="2834" w:type="pct"/>
            <w:gridSpan w:val="6"/>
            <w:vAlign w:val="center"/>
          </w:tcPr>
          <w:p w14:paraId="52561496" w14:textId="238867DB" w:rsidR="0045782D" w:rsidRPr="00DE7754" w:rsidRDefault="00D064E4" w:rsidP="00DE7754">
            <w:pPr>
              <w:rPr>
                <w:sz w:val="20"/>
                <w:szCs w:val="22"/>
              </w:rPr>
            </w:pPr>
            <w:r w:rsidRPr="00DE7754">
              <w:rPr>
                <w:rFonts w:cs="Arial"/>
                <w:sz w:val="20"/>
                <w:szCs w:val="20"/>
              </w:rPr>
              <w:t>Revisión de reportes realizados</w:t>
            </w:r>
          </w:p>
        </w:tc>
      </w:tr>
      <w:tr w:rsidR="0045782D" w14:paraId="3D795E5E" w14:textId="77777777" w:rsidTr="00DE7754">
        <w:trPr>
          <w:trHeight w:val="551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57E46A4" w14:textId="4B1C1735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EQUIPO AUDITOR</w:t>
            </w:r>
          </w:p>
        </w:tc>
        <w:tc>
          <w:tcPr>
            <w:tcW w:w="2834" w:type="pct"/>
            <w:gridSpan w:val="6"/>
            <w:vAlign w:val="center"/>
          </w:tcPr>
          <w:p w14:paraId="0868F486" w14:textId="063A4EDC" w:rsidR="00AC7A5C" w:rsidRPr="00D064E4" w:rsidRDefault="00AC7A5C" w:rsidP="00D064E4">
            <w:pPr>
              <w:rPr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Eleana Marcela Páez Urrego</w:t>
            </w:r>
          </w:p>
        </w:tc>
      </w:tr>
      <w:tr w:rsidR="0045782D" w14:paraId="022BA904" w14:textId="77777777" w:rsidTr="00DE7754">
        <w:trPr>
          <w:trHeight w:val="558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9F327" w14:textId="0FB316A9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FECHA DE EJECUCIÓN DE LA AUDITORÍA</w:t>
            </w:r>
          </w:p>
        </w:tc>
        <w:tc>
          <w:tcPr>
            <w:tcW w:w="2834" w:type="pct"/>
            <w:gridSpan w:val="6"/>
            <w:vAlign w:val="center"/>
          </w:tcPr>
          <w:p w14:paraId="4061C768" w14:textId="3791F80C" w:rsidR="0045782D" w:rsidRPr="00DE7754" w:rsidRDefault="005C0DC2" w:rsidP="005C0DC2">
            <w:pPr>
              <w:rPr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Del 18</w:t>
            </w:r>
            <w:r w:rsidR="00357182" w:rsidRPr="00DE7754">
              <w:rPr>
                <w:rFonts w:cs="Arial"/>
                <w:sz w:val="20"/>
                <w:szCs w:val="20"/>
              </w:rPr>
              <w:t xml:space="preserve"> de </w:t>
            </w:r>
            <w:r>
              <w:rPr>
                <w:rFonts w:cs="Arial"/>
                <w:sz w:val="20"/>
                <w:szCs w:val="20"/>
              </w:rPr>
              <w:t>juli</w:t>
            </w:r>
            <w:r w:rsidR="00357182" w:rsidRPr="00DE7754">
              <w:rPr>
                <w:rFonts w:cs="Arial"/>
                <w:sz w:val="20"/>
                <w:szCs w:val="20"/>
              </w:rPr>
              <w:t>o</w:t>
            </w:r>
            <w:r w:rsidR="00B57E39">
              <w:rPr>
                <w:rFonts w:cs="Arial"/>
                <w:sz w:val="20"/>
                <w:szCs w:val="20"/>
              </w:rPr>
              <w:t xml:space="preserve"> al</w:t>
            </w:r>
            <w:r w:rsidR="00D20F41" w:rsidRPr="00DE7754">
              <w:rPr>
                <w:rFonts w:cs="Arial"/>
                <w:sz w:val="20"/>
                <w:szCs w:val="20"/>
              </w:rPr>
              <w:t xml:space="preserve"> </w:t>
            </w:r>
            <w:r w:rsidR="00B53D03">
              <w:rPr>
                <w:rFonts w:cs="Arial"/>
                <w:sz w:val="20"/>
                <w:szCs w:val="20"/>
              </w:rPr>
              <w:t>1</w:t>
            </w:r>
            <w:r w:rsidR="00FE04EE">
              <w:rPr>
                <w:rFonts w:cs="Arial"/>
                <w:sz w:val="20"/>
                <w:szCs w:val="20"/>
              </w:rPr>
              <w:t>9</w:t>
            </w:r>
            <w:r w:rsidR="00977E66">
              <w:rPr>
                <w:rFonts w:cs="Arial"/>
                <w:sz w:val="20"/>
                <w:szCs w:val="20"/>
              </w:rPr>
              <w:t xml:space="preserve"> de </w:t>
            </w:r>
            <w:r>
              <w:rPr>
                <w:rFonts w:cs="Arial"/>
                <w:sz w:val="20"/>
                <w:szCs w:val="20"/>
              </w:rPr>
              <w:t>agost</w:t>
            </w:r>
            <w:r w:rsidR="00977E66">
              <w:rPr>
                <w:rFonts w:cs="Arial"/>
                <w:sz w:val="20"/>
                <w:szCs w:val="20"/>
              </w:rPr>
              <w:t>o</w:t>
            </w:r>
            <w:r w:rsidR="00B53D03">
              <w:rPr>
                <w:rFonts w:cs="Arial"/>
                <w:sz w:val="20"/>
                <w:szCs w:val="20"/>
              </w:rPr>
              <w:t xml:space="preserve"> de 2022</w:t>
            </w:r>
          </w:p>
        </w:tc>
      </w:tr>
      <w:tr w:rsidR="0045782D" w14:paraId="48D3900F" w14:textId="77777777" w:rsidTr="00DE7754">
        <w:trPr>
          <w:trHeight w:val="113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5FFFB5D3" w14:textId="64791308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INSUMOS</w:t>
            </w:r>
          </w:p>
        </w:tc>
        <w:tc>
          <w:tcPr>
            <w:tcW w:w="2834" w:type="pct"/>
            <w:gridSpan w:val="6"/>
            <w:vAlign w:val="center"/>
          </w:tcPr>
          <w:p w14:paraId="6FEF4268" w14:textId="5DD16E40" w:rsidR="0045782D" w:rsidRPr="00E02381" w:rsidRDefault="00E02381" w:rsidP="00B53D03">
            <w:pPr>
              <w:jc w:val="both"/>
              <w:rPr>
                <w:sz w:val="20"/>
                <w:szCs w:val="22"/>
              </w:rPr>
            </w:pPr>
            <w:r w:rsidRPr="00E02381">
              <w:rPr>
                <w:rFonts w:cs="Arial"/>
                <w:sz w:val="20"/>
                <w:szCs w:val="20"/>
              </w:rPr>
              <w:t>Los resultados se fundamentan en los reportes realizados en SEGPLAN y la ejecución presupuestal, así como, el seguimiento realizado por la Asesoría de Control Interno al Plan Anual de Adquisiciones y al Plan Operativo Anual de Inversión. Información que fue remitida por la Oficina Asesora de Planeación</w:t>
            </w:r>
            <w:r w:rsidR="00B53D03">
              <w:rPr>
                <w:rFonts w:cs="Arial"/>
                <w:sz w:val="20"/>
                <w:szCs w:val="20"/>
              </w:rPr>
              <w:t>, mediante oficio</w:t>
            </w:r>
            <w:r w:rsidRPr="00E02381">
              <w:rPr>
                <w:rFonts w:cs="Arial"/>
                <w:sz w:val="20"/>
                <w:szCs w:val="20"/>
              </w:rPr>
              <w:t xml:space="preserve"> </w:t>
            </w:r>
            <w:r w:rsidR="00B53D03" w:rsidRPr="00B53D03">
              <w:rPr>
                <w:sz w:val="20"/>
                <w:szCs w:val="20"/>
              </w:rPr>
              <w:t>20222200038783</w:t>
            </w:r>
            <w:r w:rsidRPr="00B53D03">
              <w:rPr>
                <w:rFonts w:cs="Arial"/>
                <w:sz w:val="20"/>
                <w:szCs w:val="20"/>
              </w:rPr>
              <w:t>.</w:t>
            </w:r>
          </w:p>
        </w:tc>
      </w:tr>
      <w:tr w:rsidR="0045782D" w14:paraId="0ACC3BE1" w14:textId="77777777" w:rsidTr="00DE7754">
        <w:trPr>
          <w:trHeight w:val="59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74A6816" w14:textId="13DBF83E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LIMITACIONES DE LA EVALUACIÓN Y/O SEGUIMIENTO</w:t>
            </w:r>
          </w:p>
        </w:tc>
        <w:tc>
          <w:tcPr>
            <w:tcW w:w="2834" w:type="pct"/>
            <w:gridSpan w:val="6"/>
            <w:vAlign w:val="center"/>
          </w:tcPr>
          <w:p w14:paraId="7C880F9F" w14:textId="4384AE4D" w:rsidR="0045782D" w:rsidRPr="00DE7754" w:rsidRDefault="00E02381" w:rsidP="00DE7754">
            <w:pPr>
              <w:rPr>
                <w:sz w:val="20"/>
                <w:szCs w:val="22"/>
              </w:rPr>
            </w:pPr>
            <w:r w:rsidRPr="00DE7754">
              <w:rPr>
                <w:rFonts w:cs="Arial"/>
                <w:sz w:val="20"/>
                <w:szCs w:val="20"/>
              </w:rPr>
              <w:t>Ninguna</w:t>
            </w:r>
          </w:p>
        </w:tc>
      </w:tr>
    </w:tbl>
    <w:p w14:paraId="4162D6BC" w14:textId="77777777" w:rsidR="007E187A" w:rsidRDefault="007E187A" w:rsidP="007E187A">
      <w:pPr>
        <w:pStyle w:val="Prrafodelista"/>
        <w:rPr>
          <w:rFonts w:cs="Arial"/>
          <w:b/>
        </w:rPr>
      </w:pPr>
    </w:p>
    <w:p w14:paraId="6C8CE5A8" w14:textId="77777777" w:rsidR="00F1402C" w:rsidRDefault="00F1402C" w:rsidP="007E187A">
      <w:pPr>
        <w:pStyle w:val="Prrafodelista"/>
        <w:rPr>
          <w:rFonts w:cs="Arial"/>
          <w:b/>
        </w:rPr>
      </w:pPr>
    </w:p>
    <w:p w14:paraId="45635FF4" w14:textId="59482FE9" w:rsidR="007E187A" w:rsidRDefault="007E187A" w:rsidP="00DE7754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RESULTADOS DE LA EVALUACIÓN Y/O SEGUIMIENTO</w:t>
      </w:r>
    </w:p>
    <w:p w14:paraId="21924C7A" w14:textId="77777777" w:rsidR="00591D06" w:rsidRPr="00591D06" w:rsidRDefault="00591D06" w:rsidP="00591D06">
      <w:pPr>
        <w:rPr>
          <w:rFonts w:cs="Arial"/>
          <w:b/>
        </w:rPr>
      </w:pPr>
    </w:p>
    <w:p w14:paraId="29E91AB0" w14:textId="40067F47" w:rsidR="00E02381" w:rsidRDefault="00591D06" w:rsidP="00667D2A">
      <w:pPr>
        <w:jc w:val="both"/>
        <w:rPr>
          <w:rFonts w:cs="Arial"/>
        </w:rPr>
      </w:pPr>
      <w:r>
        <w:rPr>
          <w:rFonts w:cs="Arial"/>
        </w:rPr>
        <w:t>La Asesor</w:t>
      </w:r>
      <w:r w:rsidR="00977E66">
        <w:rPr>
          <w:rFonts w:cs="Arial"/>
        </w:rPr>
        <w:t>í</w:t>
      </w:r>
      <w:r>
        <w:rPr>
          <w:rFonts w:cs="Arial"/>
        </w:rPr>
        <w:t>a de Control Interno</w:t>
      </w:r>
      <w:r w:rsidR="000B05FE">
        <w:rPr>
          <w:rFonts w:cs="Arial"/>
        </w:rPr>
        <w:t>, en cumplimiento de su rol de E</w:t>
      </w:r>
      <w:r>
        <w:rPr>
          <w:rFonts w:cs="Arial"/>
        </w:rPr>
        <w:t>valuaci</w:t>
      </w:r>
      <w:r w:rsidR="000B05FE">
        <w:rPr>
          <w:rFonts w:cs="Arial"/>
        </w:rPr>
        <w:t>ón y S</w:t>
      </w:r>
      <w:r>
        <w:rPr>
          <w:rFonts w:cs="Arial"/>
        </w:rPr>
        <w:t>eguimiento</w:t>
      </w:r>
      <w:r w:rsidR="002F368B">
        <w:rPr>
          <w:rFonts w:cs="Arial"/>
        </w:rPr>
        <w:t>, establecido</w:t>
      </w:r>
      <w:r w:rsidR="000B05FE">
        <w:rPr>
          <w:rFonts w:cs="Arial"/>
        </w:rPr>
        <w:t xml:space="preserve"> en el Decreto 648 de 2017 </w:t>
      </w:r>
      <w:r w:rsidR="000B05FE" w:rsidRPr="00AE2C14">
        <w:rPr>
          <w:rFonts w:cs="Arial"/>
          <w:i/>
        </w:rPr>
        <w:t>“</w:t>
      </w:r>
      <w:r w:rsidR="00AE2C14" w:rsidRPr="00AE2C14">
        <w:rPr>
          <w:rFonts w:cs="Arial"/>
          <w:i/>
        </w:rPr>
        <w:t>Por el cual se modifica y adiciona el Decreto 1083 de 2015, Reglamentario Único del Sector de la Función Pública</w:t>
      </w:r>
      <w:r w:rsidR="00AE2C14">
        <w:rPr>
          <w:rFonts w:cs="Arial"/>
        </w:rPr>
        <w:t>” y en cumplimiento del Plan Anual de Auditoría</w:t>
      </w:r>
      <w:r w:rsidR="00977E66">
        <w:rPr>
          <w:rFonts w:cs="Arial"/>
        </w:rPr>
        <w:t>s</w:t>
      </w:r>
      <w:r w:rsidR="00AE2C14">
        <w:rPr>
          <w:rFonts w:cs="Arial"/>
        </w:rPr>
        <w:t xml:space="preserve"> </w:t>
      </w:r>
      <w:r w:rsidR="005C0DC2">
        <w:rPr>
          <w:rFonts w:cs="Arial"/>
        </w:rPr>
        <w:t>para 2022</w:t>
      </w:r>
      <w:r w:rsidR="00907B77">
        <w:rPr>
          <w:rFonts w:cs="Arial"/>
        </w:rPr>
        <w:t xml:space="preserve">, </w:t>
      </w:r>
      <w:r w:rsidR="00B27EEA">
        <w:rPr>
          <w:rFonts w:cs="Arial"/>
        </w:rPr>
        <w:t xml:space="preserve">realizó </w:t>
      </w:r>
      <w:r w:rsidR="004916AF">
        <w:rPr>
          <w:rFonts w:cs="Arial"/>
        </w:rPr>
        <w:t>seguimiento al</w:t>
      </w:r>
      <w:r w:rsidR="00B27EEA">
        <w:rPr>
          <w:rFonts w:cs="Arial"/>
        </w:rPr>
        <w:t xml:space="preserve"> cumplimiento de Metas Plan de Desarrollo 2020-2024</w:t>
      </w:r>
      <w:r w:rsidR="00667D2A">
        <w:rPr>
          <w:rFonts w:cs="Arial"/>
        </w:rPr>
        <w:t>, Plan Anual de Adquisiciones y al Plan Operativo Anual de Inversión.</w:t>
      </w:r>
    </w:p>
    <w:p w14:paraId="041AFDF8" w14:textId="5C9FC944" w:rsidR="004A6F66" w:rsidRDefault="004A6F66" w:rsidP="00591D06">
      <w:pPr>
        <w:rPr>
          <w:rFonts w:cs="Arial"/>
        </w:rPr>
      </w:pPr>
    </w:p>
    <w:p w14:paraId="78F92E42" w14:textId="77777777" w:rsidR="004A6F66" w:rsidRPr="00591D06" w:rsidRDefault="004A6F66" w:rsidP="00591D06">
      <w:pPr>
        <w:rPr>
          <w:rFonts w:cs="Arial"/>
        </w:rPr>
      </w:pPr>
    </w:p>
    <w:p w14:paraId="738D3F9F" w14:textId="3CFE4963" w:rsidR="00867B96" w:rsidRPr="00591D06" w:rsidRDefault="00E02381" w:rsidP="00E02381">
      <w:pPr>
        <w:pStyle w:val="Prrafodelista"/>
        <w:numPr>
          <w:ilvl w:val="1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5942A9">
        <w:rPr>
          <w:rFonts w:cs="Arial"/>
          <w:b/>
          <w:szCs w:val="22"/>
          <w:lang w:val="es-MX"/>
        </w:rPr>
        <w:t>ESTRUCTURA METAS PLAN DE DESARROLLO</w:t>
      </w:r>
    </w:p>
    <w:p w14:paraId="59E5F01A" w14:textId="77777777" w:rsidR="00991F78" w:rsidRDefault="00991F78" w:rsidP="00E02381">
      <w:pPr>
        <w:jc w:val="both"/>
        <w:rPr>
          <w:rFonts w:cs="Arial"/>
          <w:szCs w:val="22"/>
          <w:lang w:val="es-MX"/>
        </w:rPr>
      </w:pPr>
    </w:p>
    <w:p w14:paraId="6377D9A9" w14:textId="77777777" w:rsidR="000F4FA7" w:rsidRDefault="00E02381" w:rsidP="00E02381">
      <w:pPr>
        <w:jc w:val="both"/>
        <w:rPr>
          <w:rFonts w:cs="Arial"/>
          <w:szCs w:val="22"/>
        </w:rPr>
      </w:pPr>
      <w:r>
        <w:rPr>
          <w:rFonts w:cs="Arial"/>
          <w:szCs w:val="22"/>
          <w:lang w:val="es-MX"/>
        </w:rPr>
        <w:t xml:space="preserve">En el Plan de </w:t>
      </w:r>
      <w:r w:rsidRPr="001F3A6F">
        <w:rPr>
          <w:rFonts w:cs="Arial"/>
          <w:szCs w:val="22"/>
          <w:lang w:val="es-ES"/>
        </w:rPr>
        <w:t>Desarrollo Distrital 2020-2024: “Un Nuevo Contrato Social y Ambiental para la Bogotá del Siglo XXI”</w:t>
      </w:r>
      <w:r w:rsidRPr="008A2CD5">
        <w:rPr>
          <w:rFonts w:cs="Arial"/>
          <w:szCs w:val="22"/>
          <w:lang w:val="es-MX"/>
        </w:rPr>
        <w:t>, el</w:t>
      </w:r>
      <w:r w:rsidRPr="001329EF">
        <w:rPr>
          <w:rFonts w:cs="Arial"/>
          <w:szCs w:val="22"/>
        </w:rPr>
        <w:t xml:space="preserve"> Instituto Distrital de Patrimonio Cultural inscribe sus proyectos de inversión en los P</w:t>
      </w:r>
      <w:r>
        <w:rPr>
          <w:rFonts w:cs="Arial"/>
          <w:szCs w:val="22"/>
        </w:rPr>
        <w:t>ropósito</w:t>
      </w:r>
      <w:r w:rsidRPr="001329EF">
        <w:rPr>
          <w:rFonts w:cs="Arial"/>
          <w:szCs w:val="22"/>
        </w:rPr>
        <w:t xml:space="preserve">s: </w:t>
      </w:r>
      <w:r w:rsidRPr="001F3A6F">
        <w:rPr>
          <w:rFonts w:cs="Arial"/>
          <w:szCs w:val="22"/>
        </w:rPr>
        <w:t>Hacer un nuevo contrato social con igualdad de oportunidades para la inclusión social, productiva y política</w:t>
      </w:r>
      <w:r>
        <w:rPr>
          <w:rFonts w:cs="Arial"/>
          <w:szCs w:val="22"/>
        </w:rPr>
        <w:t xml:space="preserve">; </w:t>
      </w:r>
      <w:r w:rsidRPr="001F3A6F">
        <w:rPr>
          <w:rFonts w:cs="Arial"/>
          <w:szCs w:val="22"/>
        </w:rPr>
        <w:t xml:space="preserve">Cambiar nuestros hábitos de </w:t>
      </w:r>
      <w:r w:rsidRPr="001F3A6F">
        <w:rPr>
          <w:rFonts w:cs="Arial"/>
          <w:szCs w:val="22"/>
        </w:rPr>
        <w:lastRenderedPageBreak/>
        <w:t>vida para reverdecer a Bogotá y adaptarnos y mitigar la crisis climática</w:t>
      </w:r>
      <w:r>
        <w:rPr>
          <w:rFonts w:cs="Arial"/>
          <w:szCs w:val="22"/>
        </w:rPr>
        <w:t xml:space="preserve">; </w:t>
      </w:r>
      <w:r w:rsidRPr="001F3A6F">
        <w:rPr>
          <w:rFonts w:cs="Arial"/>
          <w:szCs w:val="22"/>
        </w:rPr>
        <w:t>Inspirar confianza y legitimidad para vivir sin miedo y ser epicentro de cultura ciudadana, paz y reconciliación</w:t>
      </w:r>
      <w:r>
        <w:rPr>
          <w:rFonts w:cs="Arial"/>
          <w:szCs w:val="22"/>
        </w:rPr>
        <w:t xml:space="preserve">; y </w:t>
      </w:r>
      <w:r w:rsidRPr="001F3A6F">
        <w:rPr>
          <w:rFonts w:cs="Arial"/>
          <w:szCs w:val="22"/>
        </w:rPr>
        <w:t>Construir Bogotá Región con gobierno abierto, transparente y ciudadanía consciente</w:t>
      </w:r>
      <w:r w:rsidR="000F4FA7">
        <w:rPr>
          <w:rFonts w:cs="Arial"/>
          <w:szCs w:val="22"/>
        </w:rPr>
        <w:t>.</w:t>
      </w:r>
    </w:p>
    <w:p w14:paraId="2234D854" w14:textId="77777777" w:rsidR="000F4FA7" w:rsidRDefault="000F4FA7" w:rsidP="00E02381">
      <w:pPr>
        <w:jc w:val="both"/>
        <w:rPr>
          <w:rFonts w:cs="Arial"/>
          <w:szCs w:val="22"/>
        </w:rPr>
      </w:pPr>
    </w:p>
    <w:p w14:paraId="72F71991" w14:textId="55AFB827" w:rsidR="00BB2B7E" w:rsidRDefault="000F4FA7" w:rsidP="00063EC1">
      <w:pPr>
        <w:tabs>
          <w:tab w:val="left" w:pos="540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La Asesoría de Control Interno realizó el seguimiento a la ejecución y </w:t>
      </w:r>
      <w:r w:rsidR="004A6F66">
        <w:rPr>
          <w:rFonts w:cs="Arial"/>
          <w:szCs w:val="22"/>
          <w:lang w:val="es-MX"/>
        </w:rPr>
        <w:t xml:space="preserve">al </w:t>
      </w:r>
      <w:r>
        <w:rPr>
          <w:rFonts w:cs="Arial"/>
          <w:szCs w:val="22"/>
          <w:lang w:val="es-MX"/>
        </w:rPr>
        <w:t>cumplimiento de meta</w:t>
      </w:r>
      <w:r w:rsidR="00DE2827">
        <w:rPr>
          <w:rFonts w:cs="Arial"/>
          <w:szCs w:val="22"/>
          <w:lang w:val="es-MX"/>
        </w:rPr>
        <w:t>s</w:t>
      </w:r>
      <w:r>
        <w:rPr>
          <w:rFonts w:cs="Arial"/>
          <w:szCs w:val="22"/>
          <w:lang w:val="es-MX"/>
        </w:rPr>
        <w:t xml:space="preserve"> física</w:t>
      </w:r>
      <w:r w:rsidR="00DE2827">
        <w:rPr>
          <w:rFonts w:cs="Arial"/>
          <w:szCs w:val="22"/>
          <w:lang w:val="es-MX"/>
        </w:rPr>
        <w:t>s</w:t>
      </w:r>
      <w:r>
        <w:rPr>
          <w:rFonts w:cs="Arial"/>
          <w:szCs w:val="22"/>
          <w:lang w:val="es-MX"/>
        </w:rPr>
        <w:t xml:space="preserve"> y presupuestales a </w:t>
      </w:r>
      <w:r w:rsidR="0077026F">
        <w:rPr>
          <w:rFonts w:cs="Arial"/>
          <w:szCs w:val="22"/>
          <w:lang w:val="es-MX"/>
        </w:rPr>
        <w:t>cargo de la e</w:t>
      </w:r>
      <w:r>
        <w:rPr>
          <w:rFonts w:cs="Arial"/>
          <w:szCs w:val="22"/>
          <w:lang w:val="es-MX"/>
        </w:rPr>
        <w:t>ntidad</w:t>
      </w:r>
      <w:r w:rsidR="004A6F66">
        <w:rPr>
          <w:rFonts w:cs="Arial"/>
          <w:szCs w:val="22"/>
          <w:lang w:val="es-MX"/>
        </w:rPr>
        <w:t>,</w:t>
      </w:r>
      <w:r>
        <w:rPr>
          <w:rFonts w:cs="Arial"/>
          <w:szCs w:val="22"/>
          <w:lang w:val="es-MX"/>
        </w:rPr>
        <w:t xml:space="preserve"> tomando como insumo principal la informaci</w:t>
      </w:r>
      <w:r w:rsidR="0077026F">
        <w:rPr>
          <w:rFonts w:cs="Arial"/>
          <w:szCs w:val="22"/>
          <w:lang w:val="es-MX"/>
        </w:rPr>
        <w:t>ón re</w:t>
      </w:r>
      <w:r w:rsidR="002F368B">
        <w:rPr>
          <w:rFonts w:cs="Arial"/>
          <w:szCs w:val="22"/>
          <w:lang w:val="es-MX"/>
        </w:rPr>
        <w:t>gistrada</w:t>
      </w:r>
      <w:r w:rsidR="000752C5">
        <w:rPr>
          <w:rFonts w:cs="Arial"/>
          <w:szCs w:val="22"/>
          <w:lang w:val="es-MX"/>
        </w:rPr>
        <w:t xml:space="preserve"> </w:t>
      </w:r>
      <w:r w:rsidR="00ED24C0">
        <w:rPr>
          <w:rFonts w:cs="Arial"/>
          <w:szCs w:val="22"/>
          <w:lang w:val="es-MX"/>
        </w:rPr>
        <w:t>en los sistemas SEGPLAN y BogData</w:t>
      </w:r>
      <w:r w:rsidR="00977E66">
        <w:rPr>
          <w:rFonts w:cs="Arial"/>
          <w:szCs w:val="22"/>
          <w:lang w:val="es-MX"/>
        </w:rPr>
        <w:t>, así como</w:t>
      </w:r>
      <w:r w:rsidR="00ED24C0">
        <w:rPr>
          <w:rFonts w:cs="Arial"/>
          <w:szCs w:val="22"/>
          <w:lang w:val="es-MX"/>
        </w:rPr>
        <w:t xml:space="preserve"> las evidencias aportadas </w:t>
      </w:r>
      <w:r w:rsidR="00584190">
        <w:rPr>
          <w:rFonts w:cs="Arial"/>
          <w:szCs w:val="22"/>
          <w:lang w:val="es-MX"/>
        </w:rPr>
        <w:t xml:space="preserve">por la Oficina Asesora de Planeación </w:t>
      </w:r>
      <w:r w:rsidR="005C0DC2">
        <w:rPr>
          <w:rFonts w:cs="Arial"/>
          <w:szCs w:val="22"/>
          <w:lang w:val="es-MX"/>
        </w:rPr>
        <w:t>con corte al 30 de junio de 2022</w:t>
      </w:r>
      <w:r w:rsidR="00977E66">
        <w:rPr>
          <w:rFonts w:cs="Arial"/>
          <w:szCs w:val="22"/>
          <w:lang w:val="es-MX"/>
        </w:rPr>
        <w:t>,</w:t>
      </w:r>
      <w:r w:rsidR="00AC6A28">
        <w:rPr>
          <w:rFonts w:cs="Arial"/>
          <w:szCs w:val="22"/>
          <w:lang w:val="es-MX"/>
        </w:rPr>
        <w:t xml:space="preserve"> en la siguiente tabla se presenta el resumen del cumplimiento de la</w:t>
      </w:r>
      <w:r w:rsidR="00063EC1">
        <w:rPr>
          <w:rFonts w:cs="Arial"/>
          <w:szCs w:val="22"/>
          <w:lang w:val="es-MX"/>
        </w:rPr>
        <w:t>s</w:t>
      </w:r>
      <w:r w:rsidR="00AC6A28">
        <w:rPr>
          <w:rFonts w:cs="Arial"/>
          <w:szCs w:val="22"/>
          <w:lang w:val="es-MX"/>
        </w:rPr>
        <w:t xml:space="preserve"> meta</w:t>
      </w:r>
      <w:r w:rsidR="00063EC1">
        <w:rPr>
          <w:rFonts w:cs="Arial"/>
          <w:szCs w:val="22"/>
          <w:lang w:val="es-MX"/>
        </w:rPr>
        <w:t>s f</w:t>
      </w:r>
      <w:r w:rsidR="00664EA7">
        <w:rPr>
          <w:rFonts w:cs="Arial"/>
          <w:szCs w:val="22"/>
          <w:lang w:val="es-MX"/>
        </w:rPr>
        <w:t>ísica de cada proyecto inversió</w:t>
      </w:r>
      <w:r w:rsidR="0058153B">
        <w:rPr>
          <w:rFonts w:cs="Arial"/>
          <w:szCs w:val="22"/>
          <w:lang w:val="es-MX"/>
        </w:rPr>
        <w:t>n.</w:t>
      </w:r>
    </w:p>
    <w:p w14:paraId="727E5B4E" w14:textId="1F83CB10" w:rsidR="0065482D" w:rsidRDefault="0065482D" w:rsidP="00063EC1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5FFB82B2" w14:textId="549A6889" w:rsidR="0065482D" w:rsidRDefault="0065482D" w:rsidP="00063EC1">
      <w:pPr>
        <w:tabs>
          <w:tab w:val="left" w:pos="540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Con el fin de llevar a cabo la priorización de las metas que presente riesgo de incumplimiento físico</w:t>
      </w:r>
      <w:r w:rsidR="002F368B">
        <w:rPr>
          <w:rFonts w:cs="Arial"/>
          <w:szCs w:val="22"/>
          <w:lang w:val="es-MX"/>
        </w:rPr>
        <w:t xml:space="preserve"> y presupuestal</w:t>
      </w:r>
      <w:r>
        <w:rPr>
          <w:rFonts w:cs="Arial"/>
          <w:szCs w:val="22"/>
          <w:lang w:val="es-MX"/>
        </w:rPr>
        <w:t xml:space="preserve">, la Asesoría de Control Interno </w:t>
      </w:r>
      <w:r w:rsidR="00696844">
        <w:rPr>
          <w:rFonts w:cs="Arial"/>
          <w:szCs w:val="22"/>
          <w:lang w:val="es-MX"/>
        </w:rPr>
        <w:t>tuvo en cuenta el siguiente</w:t>
      </w:r>
      <w:r>
        <w:rPr>
          <w:rFonts w:cs="Arial"/>
          <w:szCs w:val="22"/>
          <w:lang w:val="es-MX"/>
        </w:rPr>
        <w:t xml:space="preserve"> </w:t>
      </w:r>
      <w:r w:rsidR="00696844">
        <w:rPr>
          <w:rFonts w:cs="Arial"/>
          <w:szCs w:val="22"/>
          <w:lang w:val="es-MX"/>
        </w:rPr>
        <w:t>c</w:t>
      </w:r>
      <w:r>
        <w:rPr>
          <w:rFonts w:cs="Arial"/>
          <w:szCs w:val="22"/>
          <w:lang w:val="es-MX"/>
        </w:rPr>
        <w:t>ri</w:t>
      </w:r>
      <w:r w:rsidR="00696844">
        <w:rPr>
          <w:rFonts w:cs="Arial"/>
          <w:szCs w:val="22"/>
          <w:lang w:val="es-MX"/>
        </w:rPr>
        <w:t>terio</w:t>
      </w:r>
      <w:r>
        <w:rPr>
          <w:rFonts w:cs="Arial"/>
          <w:szCs w:val="22"/>
          <w:lang w:val="es-MX"/>
        </w:rPr>
        <w:t xml:space="preserve">: </w:t>
      </w:r>
    </w:p>
    <w:p w14:paraId="64F96361" w14:textId="77777777" w:rsidR="00AD1023" w:rsidRDefault="00AD1023" w:rsidP="00063EC1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013"/>
      </w:tblGrid>
      <w:tr w:rsidR="00977E66" w:rsidRPr="00B53D03" w14:paraId="168A53F4" w14:textId="77777777" w:rsidTr="002554D8">
        <w:tc>
          <w:tcPr>
            <w:tcW w:w="988" w:type="dxa"/>
            <w:vAlign w:val="center"/>
          </w:tcPr>
          <w:p w14:paraId="51141048" w14:textId="77777777" w:rsidR="00977E66" w:rsidRPr="00B53D03" w:rsidRDefault="00977E66" w:rsidP="00977E66">
            <w:pPr>
              <w:tabs>
                <w:tab w:val="left" w:pos="540"/>
              </w:tabs>
              <w:jc w:val="center"/>
              <w:rPr>
                <w:rFonts w:cs="Arial"/>
                <w:b/>
                <w:sz w:val="20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09C17785" w14:textId="46F8CC9D" w:rsidR="00977E66" w:rsidRPr="00B53D03" w:rsidRDefault="00977E66" w:rsidP="00977E66">
            <w:pPr>
              <w:tabs>
                <w:tab w:val="left" w:pos="540"/>
              </w:tabs>
              <w:jc w:val="center"/>
              <w:rPr>
                <w:rFonts w:cs="Arial"/>
                <w:b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b/>
                <w:sz w:val="20"/>
                <w:szCs w:val="22"/>
                <w:lang w:val="es-MX"/>
              </w:rPr>
              <w:t>META FÍSICA</w:t>
            </w:r>
          </w:p>
        </w:tc>
        <w:tc>
          <w:tcPr>
            <w:tcW w:w="4013" w:type="dxa"/>
            <w:vAlign w:val="center"/>
          </w:tcPr>
          <w:p w14:paraId="5E12E93B" w14:textId="51CE75FB" w:rsidR="00977E66" w:rsidRPr="00B53D03" w:rsidRDefault="00977E66" w:rsidP="00977E66">
            <w:pPr>
              <w:tabs>
                <w:tab w:val="left" w:pos="540"/>
              </w:tabs>
              <w:jc w:val="center"/>
              <w:rPr>
                <w:rFonts w:cs="Arial"/>
                <w:b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b/>
                <w:sz w:val="20"/>
                <w:szCs w:val="22"/>
                <w:lang w:val="es-MX"/>
              </w:rPr>
              <w:t>META FINANCIERA</w:t>
            </w:r>
          </w:p>
        </w:tc>
      </w:tr>
      <w:tr w:rsidR="00977E66" w:rsidRPr="00B53D03" w14:paraId="5E40D368" w14:textId="77777777" w:rsidTr="002554D8">
        <w:tc>
          <w:tcPr>
            <w:tcW w:w="988" w:type="dxa"/>
            <w:shd w:val="clear" w:color="auto" w:fill="92D050"/>
            <w:vAlign w:val="center"/>
          </w:tcPr>
          <w:p w14:paraId="53C3711C" w14:textId="77777777" w:rsidR="00977E66" w:rsidRPr="00B53D03" w:rsidRDefault="00977E66" w:rsidP="00063EC1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0BD7253A" w14:textId="4D2722AB" w:rsidR="00977E66" w:rsidRPr="00B53D03" w:rsidRDefault="00906CF7" w:rsidP="00B53D03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 xml:space="preserve">Ejecución superior al 90% con respecto a lo programado a </w:t>
            </w:r>
            <w:r w:rsidR="007B369C">
              <w:rPr>
                <w:rFonts w:cs="Arial"/>
                <w:sz w:val="20"/>
                <w:szCs w:val="22"/>
                <w:lang w:val="es-MX"/>
              </w:rPr>
              <w:t>junio 2022</w:t>
            </w:r>
          </w:p>
        </w:tc>
        <w:tc>
          <w:tcPr>
            <w:tcW w:w="4013" w:type="dxa"/>
            <w:vAlign w:val="center"/>
          </w:tcPr>
          <w:p w14:paraId="57BBE4AE" w14:textId="65A0FFE1" w:rsidR="00977E66" w:rsidRPr="00B53D03" w:rsidRDefault="00906CF7" w:rsidP="00906CF7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>E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jecución superior al 5</w:t>
            </w:r>
            <w:r w:rsidRPr="00B53D03">
              <w:rPr>
                <w:rFonts w:cs="Arial"/>
                <w:sz w:val="20"/>
                <w:szCs w:val="22"/>
                <w:lang w:val="es-MX"/>
              </w:rPr>
              <w:t>0% con respecto a l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o programado a diciembre de 2022</w:t>
            </w:r>
          </w:p>
        </w:tc>
      </w:tr>
      <w:tr w:rsidR="00977E66" w:rsidRPr="00B53D03" w14:paraId="58F20288" w14:textId="77777777" w:rsidTr="002554D8">
        <w:tc>
          <w:tcPr>
            <w:tcW w:w="988" w:type="dxa"/>
            <w:shd w:val="clear" w:color="auto" w:fill="FFE599" w:themeFill="accent4" w:themeFillTint="66"/>
            <w:vAlign w:val="center"/>
          </w:tcPr>
          <w:p w14:paraId="77FB21B5" w14:textId="77777777" w:rsidR="00977E66" w:rsidRPr="00B53D03" w:rsidRDefault="00977E66" w:rsidP="00063EC1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7849104A" w14:textId="40CAAC8D" w:rsidR="00977E66" w:rsidRPr="00B53D03" w:rsidRDefault="00906CF7" w:rsidP="00B53D03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 xml:space="preserve">Ejecución entre 70 y 90% con respecto a lo programado a </w:t>
            </w:r>
            <w:r w:rsidR="007B369C">
              <w:rPr>
                <w:rFonts w:cs="Arial"/>
                <w:sz w:val="20"/>
                <w:szCs w:val="22"/>
                <w:lang w:val="es-MX"/>
              </w:rPr>
              <w:t>junio 2022</w:t>
            </w:r>
          </w:p>
        </w:tc>
        <w:tc>
          <w:tcPr>
            <w:tcW w:w="4013" w:type="dxa"/>
            <w:vAlign w:val="center"/>
          </w:tcPr>
          <w:p w14:paraId="2602EAAF" w14:textId="13E14D53" w:rsidR="00977E66" w:rsidRPr="00B53D03" w:rsidRDefault="00906CF7" w:rsidP="00906CF7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>E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jecución entre 40 y 5</w:t>
            </w:r>
            <w:r w:rsidRPr="00B53D03">
              <w:rPr>
                <w:rFonts w:cs="Arial"/>
                <w:sz w:val="20"/>
                <w:szCs w:val="22"/>
                <w:lang w:val="es-MX"/>
              </w:rPr>
              <w:t>0% con respecto a l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o programado a diciembre de 2022</w:t>
            </w:r>
          </w:p>
        </w:tc>
      </w:tr>
      <w:tr w:rsidR="00977E66" w:rsidRPr="00B53D03" w14:paraId="4B41FAA2" w14:textId="77777777" w:rsidTr="002554D8">
        <w:tc>
          <w:tcPr>
            <w:tcW w:w="988" w:type="dxa"/>
            <w:shd w:val="clear" w:color="auto" w:fill="DDABAB"/>
            <w:vAlign w:val="center"/>
          </w:tcPr>
          <w:p w14:paraId="1DD736E6" w14:textId="77777777" w:rsidR="00977E66" w:rsidRPr="00B53D03" w:rsidRDefault="00977E66" w:rsidP="00063EC1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6461DD42" w14:textId="27108E92" w:rsidR="00977E66" w:rsidRPr="00B53D03" w:rsidRDefault="00906CF7" w:rsidP="00B53D03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 xml:space="preserve">Ejecución </w:t>
            </w:r>
            <w:r w:rsidR="002F47CF" w:rsidRPr="00B53D03">
              <w:rPr>
                <w:rFonts w:cs="Arial"/>
                <w:sz w:val="20"/>
                <w:szCs w:val="22"/>
                <w:lang w:val="es-MX"/>
              </w:rPr>
              <w:t>inferi</w:t>
            </w:r>
            <w:r w:rsidRPr="00B53D03">
              <w:rPr>
                <w:rFonts w:cs="Arial"/>
                <w:sz w:val="20"/>
                <w:szCs w:val="22"/>
                <w:lang w:val="es-MX"/>
              </w:rPr>
              <w:t xml:space="preserve">or al 70% con respecto a lo programado a </w:t>
            </w:r>
            <w:r w:rsidR="007B369C">
              <w:rPr>
                <w:rFonts w:cs="Arial"/>
                <w:sz w:val="20"/>
                <w:szCs w:val="22"/>
                <w:lang w:val="es-MX"/>
              </w:rPr>
              <w:t>junio 2022</w:t>
            </w:r>
          </w:p>
        </w:tc>
        <w:tc>
          <w:tcPr>
            <w:tcW w:w="4013" w:type="dxa"/>
            <w:vAlign w:val="center"/>
          </w:tcPr>
          <w:p w14:paraId="197226AA" w14:textId="24B2F6FA" w:rsidR="00977E66" w:rsidRPr="00B53D03" w:rsidRDefault="00906CF7" w:rsidP="002F47CF">
            <w:pPr>
              <w:tabs>
                <w:tab w:val="left" w:pos="540"/>
              </w:tabs>
              <w:jc w:val="both"/>
              <w:rPr>
                <w:rFonts w:cs="Arial"/>
                <w:sz w:val="20"/>
                <w:szCs w:val="22"/>
                <w:lang w:val="es-MX"/>
              </w:rPr>
            </w:pPr>
            <w:r w:rsidRPr="00B53D03">
              <w:rPr>
                <w:rFonts w:cs="Arial"/>
                <w:sz w:val="20"/>
                <w:szCs w:val="22"/>
                <w:lang w:val="es-MX"/>
              </w:rPr>
              <w:t xml:space="preserve">Ejecución </w:t>
            </w:r>
            <w:r w:rsidR="002F47CF" w:rsidRPr="00B53D03">
              <w:rPr>
                <w:rFonts w:cs="Arial"/>
                <w:sz w:val="20"/>
                <w:szCs w:val="22"/>
                <w:lang w:val="es-MX"/>
              </w:rPr>
              <w:t>inferi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or al 4</w:t>
            </w:r>
            <w:r w:rsidR="00B53D03" w:rsidRPr="00B53D03">
              <w:rPr>
                <w:rFonts w:cs="Arial"/>
                <w:sz w:val="20"/>
                <w:szCs w:val="22"/>
                <w:lang w:val="es-MX"/>
              </w:rPr>
              <w:t>0</w:t>
            </w:r>
            <w:r w:rsidRPr="00B53D03">
              <w:rPr>
                <w:rFonts w:cs="Arial"/>
                <w:sz w:val="20"/>
                <w:szCs w:val="22"/>
                <w:lang w:val="es-MX"/>
              </w:rPr>
              <w:t>% con respecto a l</w:t>
            </w:r>
            <w:r w:rsidR="005C0DC2">
              <w:rPr>
                <w:rFonts w:cs="Arial"/>
                <w:sz w:val="20"/>
                <w:szCs w:val="22"/>
                <w:lang w:val="es-MX"/>
              </w:rPr>
              <w:t>o programado a diciembre de 2022</w:t>
            </w:r>
          </w:p>
        </w:tc>
      </w:tr>
    </w:tbl>
    <w:p w14:paraId="7A0CB8D8" w14:textId="77777777" w:rsidR="00977E66" w:rsidRDefault="00977E66" w:rsidP="00063EC1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551C2F41" w14:textId="77777777" w:rsidR="00977E66" w:rsidRDefault="00977E66" w:rsidP="00B53D03">
      <w:pPr>
        <w:tabs>
          <w:tab w:val="left" w:pos="540"/>
        </w:tabs>
        <w:ind w:left="-993" w:right="-1085"/>
        <w:jc w:val="both"/>
        <w:rPr>
          <w:rFonts w:cs="Arial"/>
          <w:szCs w:val="22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550"/>
        <w:gridCol w:w="2567"/>
        <w:gridCol w:w="736"/>
        <w:gridCol w:w="736"/>
        <w:gridCol w:w="736"/>
        <w:gridCol w:w="736"/>
        <w:gridCol w:w="733"/>
      </w:tblGrid>
      <w:tr w:rsidR="00BD10FA" w:rsidRPr="00BD10FA" w14:paraId="4EB10872" w14:textId="77777777" w:rsidTr="00BD10FA">
        <w:trPr>
          <w:trHeight w:val="465"/>
          <w:tblHeader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63C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PROGRAMA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B70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PROYECTO DE INVERSIÓN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A67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META 2020-2024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499EDA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META FÍSICA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5FFE72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PROGRAMACIÓN FINANCIERA</w:t>
            </w:r>
          </w:p>
        </w:tc>
      </w:tr>
      <w:tr w:rsidR="00BD10FA" w:rsidRPr="00BD10FA" w14:paraId="3D740946" w14:textId="77777777" w:rsidTr="00BD10FA">
        <w:trPr>
          <w:trHeight w:val="730"/>
          <w:tblHeader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D9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FF4B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B4B2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59B8FB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% EJEC A JUNIO 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A1E05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% EJEC 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E7F6E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% EJEC TOTAL PDD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6B8218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% EJEC 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6A921C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% EJEC TOTAL PDD</w:t>
            </w:r>
          </w:p>
        </w:tc>
      </w:tr>
      <w:tr w:rsidR="00BD10FA" w:rsidRPr="00BD10FA" w14:paraId="6C4A1352" w14:textId="77777777" w:rsidTr="00BD10FA">
        <w:trPr>
          <w:trHeight w:val="76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8C0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Formación integral: más y mejor tiempo en los colegios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AD2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7601 - Formación en patrimonio cultural en el ciclo integral de educación para la vida en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BF30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Beneficiar a 6800 personas en Procesos Integrales de Formación en Patrimonio Cultural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06776B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93,14%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201BB0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65,20%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D30449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45,49%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5813B9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98,74%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F98AA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47,83%</w:t>
            </w:r>
          </w:p>
        </w:tc>
      </w:tr>
      <w:tr w:rsidR="00BD10FA" w:rsidRPr="00BD10FA" w14:paraId="1D9B5A34" w14:textId="77777777" w:rsidTr="00BD10FA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1005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8AED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6A5C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Beneficiar a 200 personas en el Proceso de Formación a Formadores en Patrimonio Cultural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12111B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270FC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64,00%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9600E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49,00%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AD075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76,99%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00612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41,15%</w:t>
            </w:r>
          </w:p>
        </w:tc>
      </w:tr>
      <w:tr w:rsidR="00BD10FA" w:rsidRPr="00BD10FA" w14:paraId="7DADB0CA" w14:textId="77777777" w:rsidTr="00BD10FA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23D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Creación y vida cotidiana: Apropiación ciudadana del arte, la cultura y el patrimonio, para la democracia cultural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497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7611 - Desarrollo de acciones integrales de valoración y recuperación de Bienes y Sectores de Interés Cultural de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4405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Realizar 700 Intervenciones en Bienes de Interés Cultural de Bogotá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48526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117,24%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8D0F8F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63,75%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9A9CE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85,43%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81BCA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80,91%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2F4D1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41,71%</w:t>
            </w:r>
          </w:p>
        </w:tc>
      </w:tr>
      <w:tr w:rsidR="00BD10FA" w:rsidRPr="00BD10FA" w14:paraId="2888E25E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721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C647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487F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Realizar 1 Proceso de Identificación, Valoración y Documentación de Bienes de Interés Cultural y Espacios Públicos Patrimoniales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A5D42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C9AA59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52,00%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98F6A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33,00%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3BCBE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51,28%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09FF02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44,19%</w:t>
            </w:r>
          </w:p>
        </w:tc>
      </w:tr>
      <w:tr w:rsidR="00BD10FA" w:rsidRPr="00BD10FA" w14:paraId="75297CD1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068B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C687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268D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Orientar y Atender el 100 por ciento de las Solicitudes de Recuperación, Protección y Conservación del Patrimonio Cultural del Distrito Capital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B0AC4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CE6E2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64646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6D5B0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4AD710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63,49%</w:t>
            </w:r>
          </w:p>
        </w:tc>
      </w:tr>
      <w:tr w:rsidR="00BD10FA" w:rsidRPr="00BD10FA" w14:paraId="45864B78" w14:textId="77777777" w:rsidTr="00BD10FA">
        <w:trPr>
          <w:trHeight w:val="30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4F71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316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7639 - Consolidación de la capacidad institucional y ciudadana para la territorialización, apropiación, fomento, salvaguardia y divulgación del Patrimonio Cultural en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9F16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Implementar 1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con respeto y claridad a todos los ciudadanos de una forma dinámica e integradora en la que todos sean protagonistas.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02DC6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180,00%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CDDA8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36,00%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44F342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44,00%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352E1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73,06%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36707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50,59%</w:t>
            </w:r>
          </w:p>
        </w:tc>
      </w:tr>
      <w:tr w:rsidR="00BD10FA" w:rsidRPr="00BD10FA" w14:paraId="23D25042" w14:textId="77777777" w:rsidTr="00BD10FA">
        <w:trPr>
          <w:trHeight w:val="127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0F30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810D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96A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Otorgar 250 Estímulos Apoyos Concertados y Alianzas Estratégicas para dinamizar la Estrategia Sectorial dirigida a Fomentar los procesos Patrimoniales de la ciudad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F56B93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97,22%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2CC27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72,92%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2E1850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53,20%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67AC4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73,43%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48D2F8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53,25%</w:t>
            </w:r>
          </w:p>
        </w:tc>
      </w:tr>
      <w:tr w:rsidR="00BD10FA" w:rsidRPr="00BD10FA" w14:paraId="65370D1C" w14:textId="77777777" w:rsidTr="00BD10FA">
        <w:trPr>
          <w:trHeight w:val="51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77C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0323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2F8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Gestionar 3 declaratorias de Patrimonio Cultural Inmaterial del Orden Distrital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3B2C4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1DB95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55,71%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5D195F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49,67%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A343A2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51,02%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66437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56,11%</w:t>
            </w:r>
          </w:p>
        </w:tc>
      </w:tr>
      <w:tr w:rsidR="00BD10FA" w:rsidRPr="00BD10FA" w14:paraId="4297CFE5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E60F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7CBB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DD03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4. Realizar 1 proceso de Diagnóstico, Identificación y Documentación de Manifestaciones de Patrimonio Cultural Inmaterial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00961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8A5CE0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19CE85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35,00%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14B9A8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72,14%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2326E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47,42%</w:t>
            </w:r>
          </w:p>
        </w:tc>
      </w:tr>
      <w:tr w:rsidR="00BD10FA" w:rsidRPr="00BD10FA" w14:paraId="566EBB30" w14:textId="77777777" w:rsidTr="00BD10FA">
        <w:trPr>
          <w:trHeight w:val="102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094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Protección y valoración del patrimonio tangible e intangible en Bogotá y la región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62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7649 - Consolidación de los patrimonios como referente de ordenamiento territorial en la ciudad de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96F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Generar la activación de 1 Parque Arqueológico de la Hacienda El Carmen (Usme) integrando borde Urbano y Rural De Bogotá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AAF8A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11E5E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36,00%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AE84F8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39,00%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30100F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89,78%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E4F3E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58,65%</w:t>
            </w:r>
          </w:p>
        </w:tc>
      </w:tr>
      <w:tr w:rsidR="00BD10FA" w:rsidRPr="00BD10FA" w14:paraId="6F1B1662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672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6D7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00A8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Formular 4 Instrumentos de Planeación Territorial en Entornos Patrimoniales como determinante del Ordenamiento Territorial de Bogotá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A522F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84,21%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3B5A5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24,24%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0571C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55,00%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EAC5A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98,53%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AD296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68,13%</w:t>
            </w:r>
          </w:p>
        </w:tc>
      </w:tr>
      <w:tr w:rsidR="00BD10FA" w:rsidRPr="00BD10FA" w14:paraId="46B153E1" w14:textId="77777777" w:rsidTr="00BD10FA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AF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09F8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4723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Gestionar 1 declaratoria de Sumapaz como Patrimonio de la Humanidad por la Unesco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01CD9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150,00%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39562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12,00%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AADB6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33,00%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AFD1F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99,97%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16B88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54,29%</w:t>
            </w:r>
          </w:p>
        </w:tc>
      </w:tr>
      <w:tr w:rsidR="00BD10FA" w:rsidRPr="00BD10FA" w14:paraId="799E2C50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B3DC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BF96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ADF7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4. Activar 7 Entornos con presencia representativa de Patrimonio Cultural Material e Inmaterial, a través de procesos de Interacción Social, Artística y Cultural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2FB9B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93,33%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F48B4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13,33%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900EEB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36,86%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9904F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90,10%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606F6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35,53%</w:t>
            </w:r>
          </w:p>
        </w:tc>
      </w:tr>
      <w:tr w:rsidR="00BD10FA" w:rsidRPr="00BD10FA" w14:paraId="12F282B8" w14:textId="77777777" w:rsidTr="00BD10FA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2DC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E0B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C9F5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5. Gestionar 1 etapa de la implementación del Plan Especial de Manejo y Protección PEMP del Centro Histórico de Bogotá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478D4D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049FE2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7683E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B031B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6FA3F9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</w:tr>
      <w:tr w:rsidR="00BD10FA" w:rsidRPr="00BD10FA" w14:paraId="5F8409F9" w14:textId="77777777" w:rsidTr="00BD10FA">
        <w:trPr>
          <w:trHeight w:val="10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7899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8C8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3C99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6. Gestionar 100 Por Ciento De La Segunda Etapa De Implementación Del Plan Especial De Manejo Y Protección Pemp Del Centro Histórico De Bogotá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15683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101,56%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4AD28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16,25%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7B5DC3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16,25%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C8B7B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91,55%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3CB1F7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91,57%</w:t>
            </w:r>
          </w:p>
        </w:tc>
      </w:tr>
      <w:tr w:rsidR="00BD10FA" w:rsidRPr="00BD10FA" w14:paraId="20375B2A" w14:textId="77777777" w:rsidTr="00BD10FA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CF7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Conciencia y cultura ciudadana para la seguridad, la convivencia y la construcción de confianza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512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7612 - Recuperación de Columbarios ubicados en el Globo B del Cementerio Central de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840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Crear 1 espacio que integre Dimensiones Patrimoniales y de Memoria en la ciudad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4DD86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72E5D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57,14%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E94D5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48,00%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847E3D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5,29%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8FC403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31,06%</w:t>
            </w:r>
          </w:p>
        </w:tc>
      </w:tr>
      <w:tr w:rsidR="00BD10FA" w:rsidRPr="00BD10FA" w14:paraId="5E68FD05" w14:textId="77777777" w:rsidTr="00CE7FA5">
        <w:trPr>
          <w:trHeight w:val="51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190D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C371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96F9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Realizar 50 talleres participativos con la comunidad y actores sociales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54AEE3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C631E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7532E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2F770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F5311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37,40%</w:t>
            </w:r>
          </w:p>
        </w:tc>
      </w:tr>
      <w:tr w:rsidR="00BD10FA" w:rsidRPr="00BD10FA" w14:paraId="1B4E9F5D" w14:textId="77777777" w:rsidTr="00BD10FA">
        <w:trPr>
          <w:trHeight w:val="102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576" w14:textId="77777777" w:rsidR="00BD10FA" w:rsidRPr="00BD10FA" w:rsidRDefault="00BD10FA" w:rsidP="00BD10F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Gestión Pública Efectiva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83E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7597 - Fortalecimiento de la gestión del Instituto Distrital de Patrimonio Cultural de Bogotá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FD6A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 Aumentar en 10 puntos el Índice de Desempeño Institucional, mediante la implementación del Modelo Integrado de Planeación y Gestión- MIPG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4B8BA6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96,77%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39255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5B344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62,00%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F088C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91,17%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BC8BDE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62,03%</w:t>
            </w:r>
          </w:p>
        </w:tc>
      </w:tr>
      <w:tr w:rsidR="00BD10FA" w:rsidRPr="00BD10FA" w14:paraId="68996A98" w14:textId="77777777" w:rsidTr="00BD10FA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72DA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D44A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CC1C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Realizar el 100 por ciento de la Administración, Mantenimiento y Adecuación de la Infraestructura Institucional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B534F9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BE1664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6DBD51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48EB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90,96%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E4B8F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76,78%</w:t>
            </w:r>
          </w:p>
        </w:tc>
      </w:tr>
      <w:tr w:rsidR="00BD10FA" w:rsidRPr="00BD10FA" w14:paraId="539D698E" w14:textId="77777777" w:rsidTr="00BD10FA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3B42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3E59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C156" w14:textId="77777777" w:rsidR="00BD10FA" w:rsidRPr="00BD10FA" w:rsidRDefault="00BD10FA" w:rsidP="00BD10FA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Implementar el 100 por ciento de las Estrategias de Fortalecimiento de la Comunicación Pública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2F3ED463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0,43%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1866B322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0,43%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6F2D8A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6F169A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78,50%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C2DCCC" w14:textId="77777777" w:rsidR="00BD10FA" w:rsidRPr="00BD10FA" w:rsidRDefault="00BD10FA" w:rsidP="00BD10FA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D10F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45,55%</w:t>
            </w:r>
          </w:p>
        </w:tc>
      </w:tr>
    </w:tbl>
    <w:p w14:paraId="0D0E5581" w14:textId="29E09742" w:rsidR="008E2126" w:rsidRDefault="008E2126" w:rsidP="00B53D03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32547872" w14:textId="37BC6CD2" w:rsidR="00392574" w:rsidRPr="008E2126" w:rsidRDefault="00392574" w:rsidP="008E2126">
      <w:pPr>
        <w:tabs>
          <w:tab w:val="left" w:pos="1275"/>
        </w:tabs>
        <w:rPr>
          <w:rFonts w:cs="Arial"/>
          <w:szCs w:val="22"/>
          <w:highlight w:val="red"/>
          <w:lang w:val="es-MX"/>
        </w:rPr>
        <w:sectPr w:rsidR="00392574" w:rsidRPr="008E2126" w:rsidSect="006E029F">
          <w:headerReference w:type="default" r:id="rId8"/>
          <w:footerReference w:type="default" r:id="rId9"/>
          <w:type w:val="continuous"/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14:paraId="4B584E0F" w14:textId="5A344690" w:rsidR="000F64F2" w:rsidRPr="006C470F" w:rsidRDefault="00717B8B" w:rsidP="0016021F">
      <w:pPr>
        <w:tabs>
          <w:tab w:val="left" w:pos="540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Se evidencia</w:t>
      </w:r>
      <w:r w:rsidR="00150D29" w:rsidRPr="006C470F">
        <w:rPr>
          <w:rFonts w:cs="Arial"/>
          <w:szCs w:val="22"/>
          <w:lang w:val="es-MX"/>
        </w:rPr>
        <w:t xml:space="preserve"> </w:t>
      </w:r>
      <w:r w:rsidR="00976FA6">
        <w:rPr>
          <w:rFonts w:cs="Arial"/>
          <w:szCs w:val="22"/>
          <w:lang w:val="es-MX"/>
        </w:rPr>
        <w:t xml:space="preserve">que, </w:t>
      </w:r>
      <w:r w:rsidR="00150D29" w:rsidRPr="006C470F">
        <w:rPr>
          <w:rFonts w:cs="Arial"/>
          <w:szCs w:val="22"/>
          <w:lang w:val="es-MX"/>
        </w:rPr>
        <w:t>c</w:t>
      </w:r>
      <w:r w:rsidR="000F6884">
        <w:rPr>
          <w:rFonts w:cs="Arial"/>
          <w:szCs w:val="22"/>
          <w:lang w:val="es-MX"/>
        </w:rPr>
        <w:t>on corte a</w:t>
      </w:r>
      <w:r w:rsidR="00B53D03">
        <w:rPr>
          <w:rFonts w:cs="Arial"/>
          <w:szCs w:val="22"/>
          <w:lang w:val="es-MX"/>
        </w:rPr>
        <w:t xml:space="preserve"> 3</w:t>
      </w:r>
      <w:r w:rsidR="00E71B01">
        <w:rPr>
          <w:rFonts w:cs="Arial"/>
          <w:szCs w:val="22"/>
          <w:lang w:val="es-MX"/>
        </w:rPr>
        <w:t>0</w:t>
      </w:r>
      <w:r w:rsidR="000F6884">
        <w:rPr>
          <w:rFonts w:cs="Arial"/>
          <w:szCs w:val="22"/>
          <w:lang w:val="es-MX"/>
        </w:rPr>
        <w:t xml:space="preserve"> de </w:t>
      </w:r>
      <w:r w:rsidR="00E71B01">
        <w:rPr>
          <w:rFonts w:cs="Arial"/>
          <w:szCs w:val="22"/>
          <w:lang w:val="es-MX"/>
        </w:rPr>
        <w:t>junio</w:t>
      </w:r>
      <w:r w:rsidR="00B53D03">
        <w:rPr>
          <w:rFonts w:cs="Arial"/>
          <w:szCs w:val="22"/>
          <w:lang w:val="es-MX"/>
        </w:rPr>
        <w:t xml:space="preserve"> </w:t>
      </w:r>
      <w:r w:rsidR="000F6884">
        <w:rPr>
          <w:rFonts w:cs="Arial"/>
          <w:szCs w:val="22"/>
          <w:lang w:val="es-MX"/>
        </w:rPr>
        <w:t>de 202</w:t>
      </w:r>
      <w:r w:rsidR="00E71B01">
        <w:rPr>
          <w:rFonts w:cs="Arial"/>
          <w:szCs w:val="22"/>
          <w:lang w:val="es-MX"/>
        </w:rPr>
        <w:t>2</w:t>
      </w:r>
      <w:r w:rsidR="00150D29" w:rsidRPr="006C470F">
        <w:rPr>
          <w:rFonts w:cs="Arial"/>
          <w:szCs w:val="22"/>
          <w:lang w:val="es-MX"/>
        </w:rPr>
        <w:t xml:space="preserve">, </w:t>
      </w:r>
      <w:r w:rsidR="00E71B01">
        <w:rPr>
          <w:rFonts w:cs="Arial"/>
          <w:szCs w:val="22"/>
          <w:lang w:val="es-MX"/>
        </w:rPr>
        <w:t>de las 20</w:t>
      </w:r>
      <w:r w:rsidR="00150D29" w:rsidRPr="006C470F">
        <w:rPr>
          <w:rFonts w:cs="Arial"/>
          <w:szCs w:val="22"/>
          <w:lang w:val="es-MX"/>
        </w:rPr>
        <w:t xml:space="preserve"> metas propuestas en los proyectos de inversión,</w:t>
      </w:r>
      <w:r w:rsidR="00814669">
        <w:rPr>
          <w:rFonts w:cs="Arial"/>
          <w:szCs w:val="22"/>
          <w:lang w:val="es-MX"/>
        </w:rPr>
        <w:t xml:space="preserve"> </w:t>
      </w:r>
      <w:r w:rsidR="00E71B01">
        <w:rPr>
          <w:rFonts w:cs="Arial"/>
          <w:szCs w:val="22"/>
          <w:lang w:val="es-MX"/>
        </w:rPr>
        <w:t>18</w:t>
      </w:r>
      <w:r w:rsidR="00814669" w:rsidRPr="006C470F">
        <w:rPr>
          <w:rFonts w:cs="Arial"/>
          <w:szCs w:val="22"/>
          <w:lang w:val="es-MX"/>
        </w:rPr>
        <w:t xml:space="preserve"> </w:t>
      </w:r>
      <w:r w:rsidR="00814669">
        <w:rPr>
          <w:rFonts w:cs="Arial"/>
          <w:szCs w:val="22"/>
          <w:lang w:val="es-MX"/>
        </w:rPr>
        <w:t>cumplieron con el 9</w:t>
      </w:r>
      <w:r w:rsidR="00B57E39">
        <w:rPr>
          <w:rFonts w:cs="Arial"/>
          <w:szCs w:val="22"/>
          <w:lang w:val="es-MX"/>
        </w:rPr>
        <w:t>0</w:t>
      </w:r>
      <w:r w:rsidR="00DF26E9">
        <w:rPr>
          <w:rFonts w:cs="Arial"/>
          <w:szCs w:val="22"/>
          <w:lang w:val="es-MX"/>
        </w:rPr>
        <w:t>%</w:t>
      </w:r>
      <w:r w:rsidR="004A6F66">
        <w:rPr>
          <w:rFonts w:cs="Arial"/>
          <w:szCs w:val="22"/>
          <w:lang w:val="es-MX"/>
        </w:rPr>
        <w:t xml:space="preserve"> </w:t>
      </w:r>
      <w:r w:rsidR="00814669">
        <w:rPr>
          <w:rFonts w:cs="Arial"/>
          <w:szCs w:val="22"/>
          <w:lang w:val="es-MX"/>
        </w:rPr>
        <w:t xml:space="preserve">o más </w:t>
      </w:r>
      <w:r w:rsidR="004A6F66">
        <w:rPr>
          <w:rFonts w:cs="Arial"/>
          <w:szCs w:val="22"/>
          <w:lang w:val="es-MX"/>
        </w:rPr>
        <w:t xml:space="preserve">de su </w:t>
      </w:r>
      <w:r w:rsidR="00FD3A3F">
        <w:rPr>
          <w:rFonts w:cs="Arial"/>
          <w:szCs w:val="22"/>
          <w:lang w:val="es-MX"/>
        </w:rPr>
        <w:t>programa</w:t>
      </w:r>
      <w:r w:rsidR="004A6F66">
        <w:rPr>
          <w:rFonts w:cs="Arial"/>
          <w:szCs w:val="22"/>
          <w:lang w:val="es-MX"/>
        </w:rPr>
        <w:t>ción física</w:t>
      </w:r>
      <w:r w:rsidR="007A61DB">
        <w:rPr>
          <w:rFonts w:cs="Arial"/>
          <w:szCs w:val="22"/>
          <w:lang w:val="es-MX"/>
        </w:rPr>
        <w:t xml:space="preserve"> </w:t>
      </w:r>
      <w:r w:rsidR="00E71B01">
        <w:rPr>
          <w:rFonts w:cs="Arial"/>
          <w:szCs w:val="22"/>
          <w:lang w:val="es-MX"/>
        </w:rPr>
        <w:t xml:space="preserve">a 30 de junio de 2022, </w:t>
      </w:r>
      <w:r w:rsidR="007A61DB">
        <w:rPr>
          <w:rFonts w:cs="Arial"/>
          <w:szCs w:val="22"/>
          <w:lang w:val="es-MX"/>
        </w:rPr>
        <w:t>1</w:t>
      </w:r>
      <w:r w:rsidR="00814669">
        <w:rPr>
          <w:rFonts w:cs="Arial"/>
          <w:szCs w:val="22"/>
          <w:lang w:val="es-MX"/>
        </w:rPr>
        <w:t xml:space="preserve"> </w:t>
      </w:r>
      <w:r w:rsidR="00150D29" w:rsidRPr="006C470F">
        <w:rPr>
          <w:rFonts w:cs="Arial"/>
          <w:szCs w:val="22"/>
          <w:lang w:val="es-MX"/>
        </w:rPr>
        <w:t>se e</w:t>
      </w:r>
      <w:r w:rsidR="007A61DB">
        <w:rPr>
          <w:rFonts w:cs="Arial"/>
          <w:szCs w:val="22"/>
          <w:lang w:val="es-MX"/>
        </w:rPr>
        <w:t>ncuentra</w:t>
      </w:r>
      <w:r w:rsidR="00FD3A3F">
        <w:rPr>
          <w:rFonts w:cs="Arial"/>
          <w:szCs w:val="22"/>
          <w:lang w:val="es-MX"/>
        </w:rPr>
        <w:t xml:space="preserve"> </w:t>
      </w:r>
      <w:r w:rsidR="00814669">
        <w:rPr>
          <w:rFonts w:cs="Arial"/>
          <w:szCs w:val="22"/>
          <w:lang w:val="es-MX"/>
        </w:rPr>
        <w:t xml:space="preserve">entre </w:t>
      </w:r>
      <w:r w:rsidR="00FD3A3F">
        <w:rPr>
          <w:rFonts w:cs="Arial"/>
          <w:szCs w:val="22"/>
          <w:lang w:val="es-MX"/>
        </w:rPr>
        <w:t xml:space="preserve">el </w:t>
      </w:r>
      <w:r w:rsidR="00814669">
        <w:rPr>
          <w:rFonts w:cs="Arial"/>
          <w:szCs w:val="22"/>
          <w:lang w:val="es-MX"/>
        </w:rPr>
        <w:t xml:space="preserve">70% y </w:t>
      </w:r>
      <w:r w:rsidR="00FD3A3F">
        <w:rPr>
          <w:rFonts w:cs="Arial"/>
          <w:szCs w:val="22"/>
          <w:lang w:val="es-MX"/>
        </w:rPr>
        <w:t>90</w:t>
      </w:r>
      <w:r w:rsidR="00B57E39">
        <w:rPr>
          <w:rFonts w:cs="Arial"/>
          <w:szCs w:val="22"/>
          <w:lang w:val="es-MX"/>
        </w:rPr>
        <w:t>%</w:t>
      </w:r>
      <w:r w:rsidR="00E71B01">
        <w:rPr>
          <w:rFonts w:cs="Arial"/>
          <w:szCs w:val="22"/>
          <w:lang w:val="es-MX"/>
        </w:rPr>
        <w:t xml:space="preserve"> y 1 cuenta con una baja ejecución con respecto a lo programado</w:t>
      </w:r>
      <w:r w:rsidR="00814669">
        <w:rPr>
          <w:rFonts w:cs="Arial"/>
          <w:szCs w:val="22"/>
          <w:lang w:val="es-MX"/>
        </w:rPr>
        <w:t>.</w:t>
      </w:r>
    </w:p>
    <w:p w14:paraId="615F1DCE" w14:textId="59AC7B94" w:rsidR="00DB13C7" w:rsidRDefault="00DB13C7" w:rsidP="000F64F2">
      <w:pPr>
        <w:tabs>
          <w:tab w:val="left" w:pos="709"/>
        </w:tabs>
        <w:jc w:val="both"/>
        <w:rPr>
          <w:rFonts w:cs="Arial"/>
          <w:szCs w:val="22"/>
          <w:lang w:val="es-MX"/>
        </w:rPr>
      </w:pPr>
    </w:p>
    <w:p w14:paraId="0911DE4B" w14:textId="0709BB5F" w:rsidR="00E71B01" w:rsidRDefault="0016021F" w:rsidP="007A61DB">
      <w:pPr>
        <w:tabs>
          <w:tab w:val="left" w:pos="426"/>
        </w:tabs>
        <w:jc w:val="both"/>
        <w:rPr>
          <w:rFonts w:cs="Arial"/>
          <w:szCs w:val="22"/>
          <w:lang w:val="es-MX"/>
        </w:rPr>
      </w:pPr>
      <w:r w:rsidRPr="006C470F">
        <w:rPr>
          <w:rFonts w:cs="Arial"/>
          <w:szCs w:val="22"/>
          <w:lang w:val="es-MX"/>
        </w:rPr>
        <w:t>Ahora bien, al revisar la relación entre la ejecución física de metas y la ejecución presupuestal</w:t>
      </w:r>
      <w:r w:rsidR="002F47CF">
        <w:rPr>
          <w:rFonts w:cs="Arial"/>
          <w:szCs w:val="22"/>
          <w:lang w:val="es-MX"/>
        </w:rPr>
        <w:t xml:space="preserve"> con corte a</w:t>
      </w:r>
      <w:r w:rsidR="005B0FD4">
        <w:rPr>
          <w:rFonts w:cs="Arial"/>
          <w:szCs w:val="22"/>
          <w:lang w:val="es-MX"/>
        </w:rPr>
        <w:t xml:space="preserve"> </w:t>
      </w:r>
      <w:r w:rsidR="00E71B01">
        <w:rPr>
          <w:rFonts w:cs="Arial"/>
          <w:szCs w:val="22"/>
          <w:lang w:val="es-MX"/>
        </w:rPr>
        <w:t>30 de junio de 2022</w:t>
      </w:r>
      <w:r w:rsidR="007A61DB">
        <w:rPr>
          <w:rFonts w:cs="Arial"/>
          <w:szCs w:val="22"/>
          <w:lang w:val="es-MX"/>
        </w:rPr>
        <w:t xml:space="preserve">, se observa para </w:t>
      </w:r>
      <w:r w:rsidR="00E71B01">
        <w:rPr>
          <w:rFonts w:cs="Arial"/>
          <w:szCs w:val="22"/>
          <w:lang w:val="es-MX"/>
        </w:rPr>
        <w:t>la mayoría de</w:t>
      </w:r>
      <w:r w:rsidR="007A61DB">
        <w:rPr>
          <w:rFonts w:cs="Arial"/>
          <w:szCs w:val="22"/>
          <w:lang w:val="es-MX"/>
        </w:rPr>
        <w:t xml:space="preserve"> los proyectos que estas se encuentran acorde, no obstante, </w:t>
      </w:r>
      <w:r w:rsidR="00E71B01">
        <w:rPr>
          <w:rFonts w:cs="Arial"/>
          <w:szCs w:val="22"/>
          <w:lang w:val="es-MX"/>
        </w:rPr>
        <w:t xml:space="preserve">la meta 3 del proyecto 7597 cuenta con una muy baja </w:t>
      </w:r>
      <w:r w:rsidR="00FE04EE">
        <w:rPr>
          <w:rFonts w:cs="Arial"/>
          <w:szCs w:val="22"/>
          <w:lang w:val="es-MX"/>
        </w:rPr>
        <w:t>ejecución física y</w:t>
      </w:r>
      <w:r w:rsidR="00E71B01">
        <w:rPr>
          <w:rFonts w:cs="Arial"/>
          <w:szCs w:val="22"/>
          <w:lang w:val="es-MX"/>
        </w:rPr>
        <w:t xml:space="preserve"> una buena ejecución financiera, lo cual no guarda relación.</w:t>
      </w:r>
    </w:p>
    <w:p w14:paraId="75741FDF" w14:textId="77777777" w:rsidR="00E71B01" w:rsidRDefault="00E71B01" w:rsidP="007A61DB">
      <w:pPr>
        <w:tabs>
          <w:tab w:val="left" w:pos="426"/>
        </w:tabs>
        <w:jc w:val="both"/>
        <w:rPr>
          <w:rFonts w:cs="Arial"/>
          <w:szCs w:val="22"/>
          <w:lang w:val="es-MX"/>
        </w:rPr>
      </w:pPr>
    </w:p>
    <w:p w14:paraId="222FDB55" w14:textId="7A7CEB59" w:rsidR="007A61DB" w:rsidRDefault="00E71B01" w:rsidP="007A61DB">
      <w:pPr>
        <w:tabs>
          <w:tab w:val="left" w:pos="426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S</w:t>
      </w:r>
      <w:r w:rsidR="007A61DB">
        <w:rPr>
          <w:rFonts w:cs="Arial"/>
          <w:szCs w:val="22"/>
          <w:lang w:val="es-MX"/>
        </w:rPr>
        <w:t>e recomienda mantener seguimiento periódico, con el fin que las metas físicas y financieras se puedan cumplir al 100% de lo programado.</w:t>
      </w:r>
    </w:p>
    <w:p w14:paraId="061A57CB" w14:textId="77777777" w:rsidR="00EF48C8" w:rsidRPr="00DC636F" w:rsidRDefault="00EF48C8" w:rsidP="007A61DB">
      <w:pPr>
        <w:tabs>
          <w:tab w:val="left" w:pos="426"/>
        </w:tabs>
        <w:jc w:val="both"/>
        <w:rPr>
          <w:rFonts w:cs="Arial"/>
          <w:szCs w:val="22"/>
          <w:lang w:val="es-MX"/>
        </w:rPr>
      </w:pPr>
    </w:p>
    <w:p w14:paraId="4500B681" w14:textId="77777777" w:rsidR="0036563E" w:rsidRDefault="0036563E" w:rsidP="0036563E">
      <w:pPr>
        <w:jc w:val="both"/>
        <w:rPr>
          <w:rFonts w:cs="Arial"/>
          <w:b/>
        </w:rPr>
      </w:pPr>
    </w:p>
    <w:p w14:paraId="476652B2" w14:textId="624D6F6F" w:rsidR="0036563E" w:rsidRPr="00121FD4" w:rsidRDefault="0036563E" w:rsidP="00121FD4">
      <w:pPr>
        <w:pStyle w:val="Prrafodelista"/>
        <w:numPr>
          <w:ilvl w:val="1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121FD4">
        <w:rPr>
          <w:rFonts w:cs="Arial"/>
          <w:b/>
          <w:szCs w:val="22"/>
          <w:lang w:val="es-MX"/>
        </w:rPr>
        <w:t>EJEC</w:t>
      </w:r>
      <w:r w:rsidR="00976FA6">
        <w:rPr>
          <w:rFonts w:cs="Arial"/>
          <w:b/>
          <w:szCs w:val="22"/>
          <w:lang w:val="es-MX"/>
        </w:rPr>
        <w:t>UCIÓN PRESUPUESTAL VIGENCIA 2022</w:t>
      </w:r>
    </w:p>
    <w:p w14:paraId="3B7F5CB8" w14:textId="77777777" w:rsidR="0036563E" w:rsidRPr="007465E9" w:rsidRDefault="0036563E" w:rsidP="0036563E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50896C96" w14:textId="38B9542E" w:rsidR="00E91648" w:rsidRPr="00E91648" w:rsidRDefault="0036563E" w:rsidP="00E91648">
      <w:pPr>
        <w:jc w:val="both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val="es-MX" w:eastAsia="es-MX"/>
        </w:rPr>
      </w:pPr>
      <w:r>
        <w:t>El presupuesto de gasto</w:t>
      </w:r>
      <w:r w:rsidR="00976FA6">
        <w:t>s del IDPC asignado para el 2022</w:t>
      </w:r>
      <w:r>
        <w:t xml:space="preserve"> fue de $</w:t>
      </w:r>
      <w:r w:rsidR="00976FA6">
        <w:t xml:space="preserve"> 34</w:t>
      </w:r>
      <w:r>
        <w:t>.</w:t>
      </w:r>
      <w:r w:rsidRPr="00721A50">
        <w:t>5</w:t>
      </w:r>
      <w:r w:rsidR="00976FA6">
        <w:t>38</w:t>
      </w:r>
      <w:r>
        <w:t>.</w:t>
      </w:r>
      <w:r w:rsidR="00976FA6">
        <w:t>506</w:t>
      </w:r>
      <w:r>
        <w:t>.</w:t>
      </w:r>
      <w:r w:rsidRPr="00721A50">
        <w:t>000</w:t>
      </w:r>
      <w:r>
        <w:t xml:space="preserve">, </w:t>
      </w:r>
      <w:r w:rsidR="003A51D6">
        <w:t>de</w:t>
      </w:r>
      <w:r>
        <w:t xml:space="preserve"> los cuales se comprometieron </w:t>
      </w:r>
      <w:r w:rsidR="00976FA6">
        <w:t xml:space="preserve">a 30 de junio de 2022 </w:t>
      </w:r>
      <w:r>
        <w:t>$</w:t>
      </w:r>
      <w:r w:rsidR="00976FA6">
        <w:t>26</w:t>
      </w:r>
      <w:r>
        <w:t>.</w:t>
      </w:r>
      <w:r w:rsidR="00976FA6">
        <w:t>109</w:t>
      </w:r>
      <w:r>
        <w:t>.</w:t>
      </w:r>
      <w:r w:rsidR="00976FA6">
        <w:t>6</w:t>
      </w:r>
      <w:r w:rsidR="00E91648">
        <w:t>3</w:t>
      </w:r>
      <w:r w:rsidR="00976FA6">
        <w:t>4</w:t>
      </w:r>
      <w:r>
        <w:t>.</w:t>
      </w:r>
      <w:r w:rsidR="00E91648">
        <w:t>0</w:t>
      </w:r>
      <w:r w:rsidR="00976FA6">
        <w:t>74</w:t>
      </w:r>
      <w:r>
        <w:t xml:space="preserve">, que corresponde a una ejecución del </w:t>
      </w:r>
      <w:r w:rsidR="00976FA6">
        <w:rPr>
          <w:b/>
        </w:rPr>
        <w:t>75,60</w:t>
      </w:r>
      <w:r>
        <w:rPr>
          <w:b/>
        </w:rPr>
        <w:t>%</w:t>
      </w:r>
      <w:r>
        <w:t xml:space="preserve"> y se giraron $</w:t>
      </w:r>
      <w:r w:rsidR="00976FA6">
        <w:t>12</w:t>
      </w:r>
      <w:r>
        <w:t>.</w:t>
      </w:r>
      <w:r w:rsidR="00976FA6">
        <w:t>481</w:t>
      </w:r>
      <w:r>
        <w:t>.</w:t>
      </w:r>
      <w:r w:rsidR="00976FA6">
        <w:t>8</w:t>
      </w:r>
      <w:r w:rsidR="00E91648">
        <w:t>7</w:t>
      </w:r>
      <w:r w:rsidR="00976FA6">
        <w:t>0</w:t>
      </w:r>
      <w:r>
        <w:t>.</w:t>
      </w:r>
      <w:r w:rsidR="00976FA6">
        <w:t>873</w:t>
      </w:r>
      <w:r>
        <w:t xml:space="preserve">, que corresponde al </w:t>
      </w:r>
      <w:r w:rsidR="00976FA6">
        <w:rPr>
          <w:b/>
        </w:rPr>
        <w:t>36,14</w:t>
      </w:r>
      <w:r>
        <w:rPr>
          <w:b/>
        </w:rPr>
        <w:t>%.</w:t>
      </w:r>
      <w:r w:rsidR="00E05551">
        <w:rPr>
          <w:b/>
        </w:rPr>
        <w:t xml:space="preserve"> </w:t>
      </w:r>
    </w:p>
    <w:p w14:paraId="574E6B56" w14:textId="77777777" w:rsidR="0036563E" w:rsidRDefault="0036563E" w:rsidP="0036563E">
      <w:pPr>
        <w:tabs>
          <w:tab w:val="left" w:pos="540"/>
        </w:tabs>
        <w:jc w:val="both"/>
        <w:rPr>
          <w:highlight w:val="yellow"/>
        </w:rPr>
      </w:pPr>
    </w:p>
    <w:p w14:paraId="1C0ADCD5" w14:textId="4A090562" w:rsidR="00EF48C8" w:rsidRDefault="0036563E" w:rsidP="0036563E">
      <w:pPr>
        <w:tabs>
          <w:tab w:val="left" w:pos="540"/>
        </w:tabs>
        <w:jc w:val="both"/>
      </w:pPr>
      <w:r>
        <w:t>El presupuesto de gastos del IDPC compr</w:t>
      </w:r>
      <w:r w:rsidR="001C69FE">
        <w:t>ende dos grandes agregados así:</w:t>
      </w:r>
    </w:p>
    <w:p w14:paraId="09E2080C" w14:textId="35DC51C0" w:rsidR="00231651" w:rsidRDefault="00231651" w:rsidP="0036563E">
      <w:pPr>
        <w:tabs>
          <w:tab w:val="left" w:pos="540"/>
        </w:tabs>
        <w:jc w:val="both"/>
      </w:pPr>
    </w:p>
    <w:p w14:paraId="27B14632" w14:textId="052EF3D7" w:rsidR="00AC7A5C" w:rsidRDefault="00AC7A5C" w:rsidP="0036563E">
      <w:pPr>
        <w:tabs>
          <w:tab w:val="left" w:pos="540"/>
        </w:tabs>
        <w:jc w:val="both"/>
      </w:pPr>
    </w:p>
    <w:p w14:paraId="754D246B" w14:textId="77777777" w:rsidR="00976FA6" w:rsidRDefault="00976FA6" w:rsidP="0036563E">
      <w:pPr>
        <w:tabs>
          <w:tab w:val="left" w:pos="540"/>
        </w:tabs>
        <w:jc w:val="both"/>
      </w:pPr>
    </w:p>
    <w:p w14:paraId="02462E46" w14:textId="62AB1AA9" w:rsidR="0036563E" w:rsidRPr="00D93C63" w:rsidRDefault="0036563E" w:rsidP="00D93C63">
      <w:pPr>
        <w:pStyle w:val="Prrafodelista"/>
        <w:numPr>
          <w:ilvl w:val="2"/>
          <w:numId w:val="9"/>
        </w:numPr>
        <w:tabs>
          <w:tab w:val="left" w:pos="2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D93C63">
        <w:rPr>
          <w:rFonts w:cs="Arial"/>
          <w:b/>
          <w:szCs w:val="22"/>
          <w:lang w:val="es-MX"/>
        </w:rPr>
        <w:t xml:space="preserve">GASTOS DE FUNCIONAMIENTO: </w:t>
      </w:r>
    </w:p>
    <w:p w14:paraId="7489B9D5" w14:textId="77777777" w:rsidR="00D93C63" w:rsidRDefault="00D93C63" w:rsidP="00D93C63">
      <w:pPr>
        <w:tabs>
          <w:tab w:val="left" w:pos="2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</w:p>
    <w:p w14:paraId="6A35077A" w14:textId="1D79BD56" w:rsidR="00D93C63" w:rsidRPr="00D93C63" w:rsidRDefault="00976FA6" w:rsidP="00EF48C8">
      <w:pPr>
        <w:tabs>
          <w:tab w:val="left" w:pos="2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  <w:lang w:val="es-MX"/>
        </w:rPr>
      </w:pPr>
      <w:r>
        <w:rPr>
          <w:noProof/>
          <w:lang w:eastAsia="es-CO"/>
        </w:rPr>
        <w:drawing>
          <wp:inline distT="0" distB="0" distL="0" distR="0" wp14:anchorId="62615898" wp14:editId="772621DA">
            <wp:extent cx="4743450" cy="2676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2A0027" w14:textId="77777777" w:rsidR="00E05551" w:rsidRDefault="00E05551" w:rsidP="00D93C63">
      <w:pPr>
        <w:tabs>
          <w:tab w:val="left" w:pos="540"/>
        </w:tabs>
        <w:jc w:val="both"/>
      </w:pPr>
    </w:p>
    <w:p w14:paraId="42EE3E9E" w14:textId="7F909A96" w:rsidR="00AC7A5C" w:rsidRPr="00976FA6" w:rsidRDefault="00D93C63" w:rsidP="00D93C63">
      <w:pPr>
        <w:tabs>
          <w:tab w:val="left" w:pos="540"/>
        </w:tabs>
        <w:jc w:val="both"/>
      </w:pPr>
      <w:r>
        <w:t xml:space="preserve">La apropiación </w:t>
      </w:r>
      <w:r w:rsidR="00E05551">
        <w:t xml:space="preserve">vigente </w:t>
      </w:r>
      <w:r>
        <w:t>de gastos</w:t>
      </w:r>
      <w:r w:rsidR="00976FA6">
        <w:t xml:space="preserve"> de funcionamiento fue de $7.</w:t>
      </w:r>
      <w:r w:rsidR="00231651">
        <w:t>1</w:t>
      </w:r>
      <w:r w:rsidR="00976FA6">
        <w:t>93.402</w:t>
      </w:r>
      <w:r>
        <w:t>.000 y a</w:t>
      </w:r>
      <w:r w:rsidR="00231651">
        <w:t>l</w:t>
      </w:r>
      <w:r w:rsidR="00976FA6">
        <w:t xml:space="preserve"> 30</w:t>
      </w:r>
      <w:r>
        <w:t xml:space="preserve"> de </w:t>
      </w:r>
      <w:r w:rsidR="00976FA6">
        <w:t>junio de 2022</w:t>
      </w:r>
      <w:r>
        <w:t xml:space="preserve">, presentó una ejecución por compromiso del </w:t>
      </w:r>
      <w:r w:rsidR="00976FA6">
        <w:rPr>
          <w:b/>
        </w:rPr>
        <w:t>51,01</w:t>
      </w:r>
      <w:r>
        <w:rPr>
          <w:b/>
        </w:rPr>
        <w:t>%</w:t>
      </w:r>
      <w:r>
        <w:t xml:space="preserve"> y por giro de </w:t>
      </w:r>
      <w:r w:rsidR="00976FA6">
        <w:rPr>
          <w:b/>
        </w:rPr>
        <w:t>42,64</w:t>
      </w:r>
      <w:r>
        <w:rPr>
          <w:b/>
        </w:rPr>
        <w:t>%</w:t>
      </w:r>
      <w:r>
        <w:t>.</w:t>
      </w:r>
      <w:r w:rsidR="00976FA6">
        <w:t xml:space="preserve"> </w:t>
      </w:r>
    </w:p>
    <w:p w14:paraId="48E50140" w14:textId="77777777" w:rsidR="00AC7A5C" w:rsidRPr="00DB63AE" w:rsidRDefault="00AC7A5C" w:rsidP="00D93C63">
      <w:pPr>
        <w:tabs>
          <w:tab w:val="left" w:pos="540"/>
        </w:tabs>
        <w:jc w:val="both"/>
        <w:rPr>
          <w:rFonts w:cs="Arial"/>
          <w:color w:val="C0504D"/>
          <w:szCs w:val="22"/>
          <w:lang w:val="es-MX"/>
        </w:rPr>
      </w:pPr>
    </w:p>
    <w:p w14:paraId="4E005E42" w14:textId="2508B6CC" w:rsidR="00BD55A4" w:rsidRPr="00582BD1" w:rsidRDefault="00D93C63" w:rsidP="00582BD1">
      <w:pPr>
        <w:pStyle w:val="Prrafodelista"/>
        <w:numPr>
          <w:ilvl w:val="2"/>
          <w:numId w:val="9"/>
        </w:numPr>
        <w:tabs>
          <w:tab w:val="left" w:pos="2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D93C63">
        <w:rPr>
          <w:rFonts w:cs="Arial"/>
          <w:b/>
          <w:szCs w:val="22"/>
          <w:lang w:val="es-MX"/>
        </w:rPr>
        <w:t xml:space="preserve">GASTOS DE INVERSIÓN: </w:t>
      </w:r>
    </w:p>
    <w:p w14:paraId="020F95E5" w14:textId="77777777" w:rsidR="007E187A" w:rsidRDefault="007E187A" w:rsidP="000B3808">
      <w:pPr>
        <w:rPr>
          <w:rFonts w:cs="Arial"/>
          <w:b/>
        </w:rPr>
      </w:pPr>
    </w:p>
    <w:p w14:paraId="79E15C88" w14:textId="235F24EB" w:rsidR="00582BD1" w:rsidRPr="000B3808" w:rsidRDefault="00976FA6" w:rsidP="00EF48C8">
      <w:pPr>
        <w:jc w:val="center"/>
        <w:rPr>
          <w:rFonts w:cs="Arial"/>
          <w:b/>
        </w:rPr>
      </w:pPr>
      <w:r>
        <w:rPr>
          <w:noProof/>
          <w:lang w:eastAsia="es-CO"/>
        </w:rPr>
        <w:drawing>
          <wp:inline distT="0" distB="0" distL="0" distR="0" wp14:anchorId="141803CC" wp14:editId="6ADF3EB3">
            <wp:extent cx="4572000" cy="37814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16F64D" w14:textId="734956B3" w:rsidR="00EF48C8" w:rsidRDefault="00EF48C8" w:rsidP="000812F2">
      <w:pPr>
        <w:tabs>
          <w:tab w:val="left" w:pos="540"/>
        </w:tabs>
        <w:jc w:val="both"/>
      </w:pPr>
    </w:p>
    <w:p w14:paraId="5A2CEA93" w14:textId="77777777" w:rsidR="000120FB" w:rsidRDefault="000120FB" w:rsidP="000812F2">
      <w:pPr>
        <w:tabs>
          <w:tab w:val="left" w:pos="540"/>
        </w:tabs>
        <w:jc w:val="both"/>
      </w:pPr>
    </w:p>
    <w:p w14:paraId="3A30566D" w14:textId="4435F0C4" w:rsidR="000812F2" w:rsidRDefault="000812F2" w:rsidP="000812F2">
      <w:pPr>
        <w:tabs>
          <w:tab w:val="left" w:pos="540"/>
        </w:tabs>
        <w:jc w:val="both"/>
        <w:rPr>
          <w:color w:val="C0504D"/>
        </w:rPr>
      </w:pPr>
      <w:r>
        <w:t xml:space="preserve">La apropiación </w:t>
      </w:r>
      <w:r w:rsidR="00E05551">
        <w:t>vigente</w:t>
      </w:r>
      <w:r>
        <w:t xml:space="preserve"> d</w:t>
      </w:r>
      <w:r w:rsidR="00976FA6">
        <w:t>e gastos de inversión fue de $27</w:t>
      </w:r>
      <w:r w:rsidR="003E3A38">
        <w:t>.</w:t>
      </w:r>
      <w:r w:rsidR="00E91648">
        <w:t>3</w:t>
      </w:r>
      <w:r w:rsidR="00976FA6">
        <w:t>45</w:t>
      </w:r>
      <w:r w:rsidR="003E3A38">
        <w:t>.</w:t>
      </w:r>
      <w:r w:rsidR="00976FA6">
        <w:t>104</w:t>
      </w:r>
      <w:r w:rsidR="003E3A38">
        <w:t>.</w:t>
      </w:r>
      <w:r w:rsidR="00976FA6">
        <w:t>000</w:t>
      </w:r>
      <w:r w:rsidR="003E3A38">
        <w:t xml:space="preserve"> y a</w:t>
      </w:r>
      <w:r w:rsidR="00EF48C8">
        <w:t>l</w:t>
      </w:r>
      <w:r w:rsidR="00976FA6">
        <w:t xml:space="preserve"> 30</w:t>
      </w:r>
      <w:r w:rsidR="003E3A38">
        <w:t xml:space="preserve"> de </w:t>
      </w:r>
      <w:r w:rsidR="00976FA6">
        <w:t>junio 2022</w:t>
      </w:r>
      <w:r>
        <w:t xml:space="preserve">, presentó una ejecución por compromiso del </w:t>
      </w:r>
      <w:r w:rsidR="00976FA6">
        <w:rPr>
          <w:b/>
        </w:rPr>
        <w:t>82,0</w:t>
      </w:r>
      <w:r w:rsidR="00E91648">
        <w:rPr>
          <w:b/>
        </w:rPr>
        <w:t>6</w:t>
      </w:r>
      <w:r>
        <w:rPr>
          <w:b/>
        </w:rPr>
        <w:t>%</w:t>
      </w:r>
      <w:r>
        <w:t xml:space="preserve"> y por giro de </w:t>
      </w:r>
      <w:r w:rsidR="00976FA6">
        <w:rPr>
          <w:b/>
        </w:rPr>
        <w:t>34</w:t>
      </w:r>
      <w:r w:rsidR="00EF48C8">
        <w:rPr>
          <w:b/>
        </w:rPr>
        <w:t>,</w:t>
      </w:r>
      <w:r w:rsidR="00976FA6">
        <w:rPr>
          <w:b/>
        </w:rPr>
        <w:t>43</w:t>
      </w:r>
      <w:r>
        <w:rPr>
          <w:b/>
        </w:rPr>
        <w:t>%</w:t>
      </w:r>
      <w:r>
        <w:t xml:space="preserve">. </w:t>
      </w:r>
    </w:p>
    <w:p w14:paraId="62B9D5C1" w14:textId="55C7DD45" w:rsidR="00AA532A" w:rsidRDefault="00AA532A" w:rsidP="00FD6700">
      <w:pPr>
        <w:jc w:val="both"/>
        <w:rPr>
          <w:rFonts w:cs="Arial"/>
          <w:b/>
        </w:rPr>
      </w:pPr>
    </w:p>
    <w:p w14:paraId="15D9CCFD" w14:textId="6B209844" w:rsidR="00AC7A5C" w:rsidRPr="002C5E8A" w:rsidRDefault="00E91648" w:rsidP="00AC7A5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</w:rPr>
        <w:t>Lo anterior evidencia una buena</w:t>
      </w:r>
      <w:r w:rsidR="00AC7A5C" w:rsidRPr="00AC7A5C">
        <w:rPr>
          <w:rFonts w:cs="Arial"/>
        </w:rPr>
        <w:t xml:space="preserve"> ejecución por compromiso </w:t>
      </w:r>
      <w:r>
        <w:rPr>
          <w:rFonts w:cs="Arial"/>
        </w:rPr>
        <w:t>y por giro</w:t>
      </w:r>
      <w:r w:rsidR="00AC7A5C">
        <w:rPr>
          <w:rFonts w:cs="Arial"/>
          <w:szCs w:val="22"/>
          <w:lang w:val="es-MX"/>
        </w:rPr>
        <w:t>.</w:t>
      </w:r>
    </w:p>
    <w:p w14:paraId="146DC387" w14:textId="15A92AC0" w:rsidR="00AC7A5C" w:rsidRPr="00AC7A5C" w:rsidRDefault="00AC7A5C" w:rsidP="00FD6700">
      <w:pPr>
        <w:jc w:val="both"/>
        <w:rPr>
          <w:rFonts w:cs="Arial"/>
          <w:lang w:val="es-MX"/>
        </w:rPr>
      </w:pPr>
    </w:p>
    <w:p w14:paraId="545A4F8A" w14:textId="77777777" w:rsidR="00AC7A5C" w:rsidRDefault="00AC7A5C" w:rsidP="00FD6700">
      <w:pPr>
        <w:jc w:val="both"/>
        <w:rPr>
          <w:rFonts w:cs="Arial"/>
          <w:b/>
        </w:rPr>
      </w:pPr>
    </w:p>
    <w:p w14:paraId="0E4A28FB" w14:textId="53785E37" w:rsidR="00AA532A" w:rsidRPr="00FD6700" w:rsidRDefault="00AA532A" w:rsidP="00FD6700">
      <w:pPr>
        <w:pStyle w:val="Prrafodelista"/>
        <w:numPr>
          <w:ilvl w:val="1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FD6700">
        <w:rPr>
          <w:rFonts w:cs="Arial"/>
          <w:b/>
          <w:szCs w:val="22"/>
          <w:lang w:val="es-MX"/>
        </w:rPr>
        <w:t>CUMPLIMIENTO PLAN ANUAL DE ADQUISICIONES</w:t>
      </w:r>
      <w:r w:rsidR="006D5B41" w:rsidRPr="00FD6700">
        <w:rPr>
          <w:rFonts w:cs="Arial"/>
          <w:b/>
          <w:szCs w:val="22"/>
          <w:lang w:val="es-MX"/>
        </w:rPr>
        <w:t xml:space="preserve"> - PAA</w:t>
      </w:r>
    </w:p>
    <w:p w14:paraId="2AA59E75" w14:textId="77777777" w:rsidR="00120854" w:rsidRDefault="00120854" w:rsidP="000332AB">
      <w:pPr>
        <w:pStyle w:val="Prrafodelista"/>
        <w:ind w:left="0"/>
        <w:jc w:val="both"/>
        <w:rPr>
          <w:rFonts w:cs="Arial"/>
        </w:rPr>
      </w:pPr>
    </w:p>
    <w:p w14:paraId="19A7B14A" w14:textId="6EE046D0" w:rsidR="000120FB" w:rsidRDefault="000332AB" w:rsidP="000332AB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>Se</w:t>
      </w:r>
      <w:r w:rsidRPr="00741B81">
        <w:rPr>
          <w:rFonts w:cs="Arial"/>
        </w:rPr>
        <w:t xml:space="preserve"> revisó el seguimiento al cumplimi</w:t>
      </w:r>
      <w:r w:rsidR="00976FA6">
        <w:rPr>
          <w:rFonts w:cs="Arial"/>
        </w:rPr>
        <w:t>ento del PAA de la vigencia 2022</w:t>
      </w:r>
      <w:r w:rsidRPr="00741B81">
        <w:rPr>
          <w:rFonts w:cs="Arial"/>
        </w:rPr>
        <w:t xml:space="preserve"> realizado por la Oficina Asesora de Planeación, evidenciando que se realizaron </w:t>
      </w:r>
      <w:r w:rsidR="006501E6">
        <w:rPr>
          <w:rFonts w:cs="Arial"/>
        </w:rPr>
        <w:t>once</w:t>
      </w:r>
      <w:r>
        <w:rPr>
          <w:rFonts w:cs="Arial"/>
        </w:rPr>
        <w:t xml:space="preserve"> </w:t>
      </w:r>
      <w:r w:rsidRPr="00741B81">
        <w:rPr>
          <w:rFonts w:cs="Arial"/>
        </w:rPr>
        <w:t>(</w:t>
      </w:r>
      <w:r w:rsidR="006501E6">
        <w:rPr>
          <w:rFonts w:cs="Arial"/>
        </w:rPr>
        <w:t>11</w:t>
      </w:r>
      <w:r w:rsidRPr="00741B81">
        <w:rPr>
          <w:rFonts w:cs="Arial"/>
        </w:rPr>
        <w:t xml:space="preserve">) </w:t>
      </w:r>
      <w:r>
        <w:rPr>
          <w:rFonts w:cs="Arial"/>
        </w:rPr>
        <w:t>versiones</w:t>
      </w:r>
      <w:r w:rsidRPr="00741B81">
        <w:rPr>
          <w:rFonts w:cs="Arial"/>
        </w:rPr>
        <w:t xml:space="preserve"> </w:t>
      </w:r>
      <w:r>
        <w:rPr>
          <w:rFonts w:cs="Arial"/>
        </w:rPr>
        <w:t xml:space="preserve">con </w:t>
      </w:r>
      <w:r w:rsidR="006501E6">
        <w:rPr>
          <w:rFonts w:cs="Arial"/>
        </w:rPr>
        <w:t>corte a 30</w:t>
      </w:r>
      <w:r>
        <w:rPr>
          <w:rFonts w:cs="Arial"/>
        </w:rPr>
        <w:t xml:space="preserve"> de </w:t>
      </w:r>
      <w:r w:rsidR="006501E6">
        <w:rPr>
          <w:rFonts w:cs="Arial"/>
        </w:rPr>
        <w:t>junio</w:t>
      </w:r>
      <w:r w:rsidRPr="00741B81">
        <w:rPr>
          <w:rFonts w:cs="Arial"/>
        </w:rPr>
        <w:t>, las cuales se encuentran publicadas en la página Web</w:t>
      </w:r>
      <w:r w:rsidR="003C420E">
        <w:rPr>
          <w:rFonts w:cs="Arial"/>
        </w:rPr>
        <w:t xml:space="preserve"> de la entidad en link </w:t>
      </w:r>
      <w:hyperlink r:id="rId12" w:history="1">
        <w:r w:rsidR="00772F51" w:rsidRPr="00772F51">
          <w:rPr>
            <w:rStyle w:val="Hipervnculo"/>
            <w:rFonts w:cs="Arial"/>
            <w:color w:val="000000" w:themeColor="text1"/>
          </w:rPr>
          <w:t>https://idpc.gov.co/8-4-plan-anual-de-adquisiciones</w:t>
        </w:r>
      </w:hyperlink>
      <w:r w:rsidR="00772F51">
        <w:rPr>
          <w:rFonts w:cs="Arial"/>
        </w:rPr>
        <w:t xml:space="preserve"> </w:t>
      </w:r>
      <w:r w:rsidRPr="00741B81">
        <w:rPr>
          <w:rFonts w:cs="Arial"/>
        </w:rPr>
        <w:t>y en el SECOP</w:t>
      </w:r>
      <w:r w:rsidR="00C71F68">
        <w:rPr>
          <w:rFonts w:cs="Arial"/>
        </w:rPr>
        <w:t xml:space="preserve"> II</w:t>
      </w:r>
      <w:r w:rsidR="000120FB">
        <w:rPr>
          <w:rFonts w:cs="Arial"/>
        </w:rPr>
        <w:t xml:space="preserve">, en el link </w:t>
      </w:r>
      <w:hyperlink r:id="rId13" w:history="1">
        <w:r w:rsidR="006501E6" w:rsidRPr="0011277D">
          <w:rPr>
            <w:rStyle w:val="Hipervnculo"/>
          </w:rPr>
          <w:t>https://community.secop.gov.co/Public/App/AnnualPurchasingPlanEditPublic/View?id=178006</w:t>
        </w:r>
      </w:hyperlink>
      <w:r w:rsidR="006501E6">
        <w:t xml:space="preserve"> </w:t>
      </w:r>
    </w:p>
    <w:p w14:paraId="7D70A650" w14:textId="77777777" w:rsidR="000120FB" w:rsidRDefault="000120FB" w:rsidP="000332AB">
      <w:pPr>
        <w:pStyle w:val="Prrafodelista"/>
        <w:ind w:left="0"/>
        <w:jc w:val="both"/>
        <w:rPr>
          <w:rFonts w:cs="Arial"/>
        </w:rPr>
      </w:pPr>
    </w:p>
    <w:p w14:paraId="443D5760" w14:textId="51492080" w:rsidR="000332AB" w:rsidRDefault="000332AB" w:rsidP="000332AB">
      <w:pPr>
        <w:pStyle w:val="Prrafodelista"/>
        <w:ind w:left="0"/>
        <w:jc w:val="both"/>
        <w:rPr>
          <w:rFonts w:cs="Arial"/>
        </w:rPr>
      </w:pPr>
      <w:r w:rsidRPr="00741B81">
        <w:rPr>
          <w:rFonts w:cs="Arial"/>
        </w:rPr>
        <w:t>Para cada uno de los proyectos de inversión se evidencia lo siguiente:</w:t>
      </w:r>
    </w:p>
    <w:p w14:paraId="1580DD16" w14:textId="2292BF31" w:rsidR="00EF48C8" w:rsidRDefault="00EF48C8" w:rsidP="000332AB">
      <w:pPr>
        <w:pStyle w:val="Prrafodelista"/>
        <w:ind w:left="0"/>
        <w:jc w:val="both"/>
        <w:rPr>
          <w:rFonts w:cs="Arial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728"/>
        <w:gridCol w:w="1622"/>
        <w:gridCol w:w="641"/>
        <w:gridCol w:w="1694"/>
        <w:gridCol w:w="880"/>
      </w:tblGrid>
      <w:tr w:rsidR="006501E6" w:rsidRPr="000120FB" w14:paraId="44A31B48" w14:textId="77777777" w:rsidTr="00FE04EE">
        <w:trPr>
          <w:trHeight w:val="70"/>
          <w:tblHeader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5B30D3" w14:textId="77777777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PROYECTO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6D00B1" w14:textId="1AED7532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PROCESOS PROGRAMADOS A JUN 2022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1C071D2" w14:textId="2F3153A6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PROCESOS EJECUTADOS A JUN 2022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EDB784D" w14:textId="77777777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</w:tr>
      <w:tr w:rsidR="000120FB" w:rsidRPr="000120FB" w14:paraId="1FD09055" w14:textId="77777777" w:rsidTr="00FE04EE">
        <w:trPr>
          <w:trHeight w:val="300"/>
          <w:tblHeader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75FE" w14:textId="77777777" w:rsidR="000120FB" w:rsidRPr="000120FB" w:rsidRDefault="000120FB" w:rsidP="000120F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6D6D22" w14:textId="77777777" w:rsidR="000120FB" w:rsidRPr="000120FB" w:rsidRDefault="000120FB" w:rsidP="000120F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600A5B8" w14:textId="77777777" w:rsidR="000120FB" w:rsidRPr="000120FB" w:rsidRDefault="000120FB" w:rsidP="000120F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E23AB2" w14:textId="77777777" w:rsidR="000120FB" w:rsidRPr="000120FB" w:rsidRDefault="000120FB" w:rsidP="000120F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CANT.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F270A4" w14:textId="77777777" w:rsidR="000120FB" w:rsidRPr="000120FB" w:rsidRDefault="000120FB" w:rsidP="000120FB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VALOR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2357" w14:textId="77777777" w:rsidR="000120FB" w:rsidRPr="000120FB" w:rsidRDefault="000120FB" w:rsidP="000120FB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501E6" w:rsidRPr="000120FB" w14:paraId="3B71D624" w14:textId="77777777" w:rsidTr="00FE04EE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A8C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7601 - Formación en patrimonio cultural en el ciclo integral de educación para la vida en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325" w14:textId="45E0E481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0474" w14:textId="3F84FA33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281.100.000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B0F4" w14:textId="0E073A27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02D" w14:textId="508F99C9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281.100.000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886" w14:textId="47F1AFB6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100,00%</w:t>
            </w:r>
          </w:p>
        </w:tc>
      </w:tr>
      <w:tr w:rsidR="006501E6" w:rsidRPr="000120FB" w14:paraId="1802FF06" w14:textId="77777777" w:rsidTr="00FE04EE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77E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7611 - Desarrollo de acciones integrales de valoración y recuperación de Bienes y Sectores de Interés Cultural de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A09" w14:textId="6B149E80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3A7" w14:textId="66160217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5.367.468.262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A32" w14:textId="42E0BD1E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C06" w14:textId="736F8DBF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5.223.372.127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F52" w14:textId="5385D8E6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97,32%</w:t>
            </w:r>
          </w:p>
        </w:tc>
      </w:tr>
      <w:tr w:rsidR="006501E6" w:rsidRPr="000120FB" w14:paraId="2CA5BF14" w14:textId="77777777" w:rsidTr="00FE04EE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41AD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7639 - Consolidación de la capacidad institucional y ciudadana para la territorialización, apropiación, fomento, salvaguardia y divulgación del Patrimonio Cultural en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620A" w14:textId="117BAFDA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B74" w14:textId="54CDA3A9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6.413.040.506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878" w14:textId="2762787A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993" w14:textId="3A8791E1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5.538.538.660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FF45" w14:textId="1C7957CE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86,36%</w:t>
            </w:r>
          </w:p>
        </w:tc>
      </w:tr>
      <w:tr w:rsidR="006501E6" w:rsidRPr="000120FB" w14:paraId="4F8A362F" w14:textId="77777777" w:rsidTr="00FE04EE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0E7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7649 - Consolidación de los patrimonios como referente de ordenamiento territorial en la ciudad de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86D" w14:textId="4C7D97B3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86D7" w14:textId="4A53370C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5.215.940.165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A665" w14:textId="702FB0DE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4B0" w14:textId="73C5DD51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5.116.662.769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F2B" w14:textId="0CEDA360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98,10%</w:t>
            </w:r>
          </w:p>
        </w:tc>
      </w:tr>
      <w:tr w:rsidR="006501E6" w:rsidRPr="000120FB" w14:paraId="1DF175C4" w14:textId="77777777" w:rsidTr="00FE04EE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072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7612 - Recuperación de Columbarios ubicados en el Globo B del Cementerio Central de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0F3" w14:textId="2EF8DDAB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7235" w14:textId="2D4B8D91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32.000.000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37A" w14:textId="21A0434F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2A3" w14:textId="51A1F505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31.999.998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3FAB" w14:textId="6B917146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100,00%</w:t>
            </w:r>
          </w:p>
        </w:tc>
      </w:tr>
      <w:tr w:rsidR="006501E6" w:rsidRPr="000120FB" w14:paraId="38B14D22" w14:textId="77777777" w:rsidTr="00FE04EE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03B" w14:textId="77777777" w:rsidR="006501E6" w:rsidRPr="000120FB" w:rsidRDefault="006501E6" w:rsidP="006501E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  <w:t>7597 - Fortalecimiento de la gestión del Instituto Distrital de Patrimonio Cultural de Bogotá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1D5" w14:textId="1330A228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F85" w14:textId="0FED04CE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5.715.357.112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A4AB" w14:textId="6AECD980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EC8" w14:textId="6FD5B061" w:rsidR="006501E6" w:rsidRPr="000120FB" w:rsidRDefault="006501E6" w:rsidP="006501E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5.763.150.990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6F65" w14:textId="6A73E9A8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100,84%</w:t>
            </w:r>
          </w:p>
        </w:tc>
      </w:tr>
      <w:tr w:rsidR="006501E6" w:rsidRPr="000120FB" w14:paraId="505777EA" w14:textId="77777777" w:rsidTr="00FE04E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E8EA38" w14:textId="77777777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20F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6E2A27" w14:textId="2072A770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B5402C4" w14:textId="10EB209E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23.024.906.045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FB08EB" w14:textId="1ECA0D10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9218FB" w14:textId="3CB48272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21.954.824.544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4D52775" w14:textId="524CB279" w:rsidR="006501E6" w:rsidRPr="000120FB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95,35%</w:t>
            </w:r>
          </w:p>
        </w:tc>
      </w:tr>
    </w:tbl>
    <w:p w14:paraId="72BD88F3" w14:textId="77777777" w:rsidR="00EF48C8" w:rsidRDefault="00EF48C8" w:rsidP="00EF48C8">
      <w:pPr>
        <w:pStyle w:val="Prrafodelista"/>
        <w:ind w:left="0"/>
        <w:jc w:val="center"/>
        <w:rPr>
          <w:rFonts w:cs="Arial"/>
        </w:rPr>
      </w:pPr>
    </w:p>
    <w:p w14:paraId="45A5E105" w14:textId="5F6E2B94" w:rsidR="00EF48C8" w:rsidRDefault="00EF48C8" w:rsidP="00EF48C8">
      <w:pPr>
        <w:pStyle w:val="Prrafodelista"/>
        <w:ind w:left="0"/>
        <w:jc w:val="both"/>
        <w:rPr>
          <w:rFonts w:cs="Arial"/>
        </w:rPr>
      </w:pPr>
      <w:r w:rsidRPr="005F0182">
        <w:rPr>
          <w:rFonts w:cs="Arial"/>
        </w:rPr>
        <w:t xml:space="preserve">Se observa que del total programado </w:t>
      </w:r>
      <w:r w:rsidR="006501E6">
        <w:rPr>
          <w:rFonts w:cs="Arial"/>
        </w:rPr>
        <w:t>a 30 de junio de 2022</w:t>
      </w:r>
      <w:r w:rsidRPr="005F0182">
        <w:rPr>
          <w:rFonts w:cs="Arial"/>
        </w:rPr>
        <w:t xml:space="preserve"> </w:t>
      </w:r>
      <w:r w:rsidR="006501E6">
        <w:rPr>
          <w:rFonts w:cs="Arial"/>
          <w:b/>
          <w:color w:val="000000"/>
        </w:rPr>
        <w:t>$23</w:t>
      </w:r>
      <w:r w:rsidRPr="005F0182">
        <w:rPr>
          <w:rFonts w:cs="Arial"/>
          <w:b/>
          <w:color w:val="000000"/>
        </w:rPr>
        <w:t>.</w:t>
      </w:r>
      <w:r w:rsidR="006501E6">
        <w:rPr>
          <w:rFonts w:cs="Arial"/>
          <w:b/>
          <w:color w:val="000000"/>
        </w:rPr>
        <w:t>02</w:t>
      </w:r>
      <w:r w:rsidR="000120FB">
        <w:rPr>
          <w:rFonts w:cs="Arial"/>
          <w:b/>
          <w:color w:val="000000"/>
        </w:rPr>
        <w:t>4</w:t>
      </w:r>
      <w:r>
        <w:rPr>
          <w:rFonts w:cs="Arial"/>
          <w:b/>
          <w:color w:val="000000"/>
        </w:rPr>
        <w:t>.</w:t>
      </w:r>
      <w:r w:rsidR="000120FB">
        <w:rPr>
          <w:rFonts w:cs="Arial"/>
          <w:b/>
          <w:color w:val="000000"/>
        </w:rPr>
        <w:t>9</w:t>
      </w:r>
      <w:r>
        <w:rPr>
          <w:rFonts w:cs="Arial"/>
          <w:b/>
          <w:color w:val="000000"/>
        </w:rPr>
        <w:t>0</w:t>
      </w:r>
      <w:r w:rsidR="006501E6">
        <w:rPr>
          <w:rFonts w:cs="Arial"/>
          <w:b/>
          <w:color w:val="000000"/>
        </w:rPr>
        <w:t>6</w:t>
      </w:r>
      <w:r w:rsidRPr="005F0182">
        <w:rPr>
          <w:rFonts w:cs="Arial"/>
          <w:b/>
          <w:color w:val="000000"/>
        </w:rPr>
        <w:t>.</w:t>
      </w:r>
      <w:r w:rsidR="006501E6">
        <w:rPr>
          <w:rFonts w:cs="Arial"/>
          <w:b/>
          <w:color w:val="000000"/>
        </w:rPr>
        <w:t>045</w:t>
      </w:r>
      <w:r w:rsidRPr="005F0182">
        <w:rPr>
          <w:rFonts w:cs="Arial"/>
          <w:b/>
          <w:color w:val="000000"/>
        </w:rPr>
        <w:t>ºº</w:t>
      </w:r>
      <w:r w:rsidRPr="005F0182">
        <w:rPr>
          <w:rFonts w:cs="Arial"/>
        </w:rPr>
        <w:t xml:space="preserve">, fue ejecutado un </w:t>
      </w:r>
      <w:r>
        <w:rPr>
          <w:rFonts w:cs="Arial"/>
          <w:b/>
        </w:rPr>
        <w:t>9</w:t>
      </w:r>
      <w:r w:rsidR="006501E6">
        <w:rPr>
          <w:rFonts w:cs="Arial"/>
          <w:b/>
        </w:rPr>
        <w:t>5</w:t>
      </w:r>
      <w:r w:rsidR="000120FB">
        <w:rPr>
          <w:rFonts w:cs="Arial"/>
          <w:b/>
        </w:rPr>
        <w:t>.</w:t>
      </w:r>
      <w:r>
        <w:rPr>
          <w:rFonts w:cs="Arial"/>
          <w:b/>
        </w:rPr>
        <w:t>3</w:t>
      </w:r>
      <w:r w:rsidR="006501E6">
        <w:rPr>
          <w:rFonts w:cs="Arial"/>
          <w:b/>
        </w:rPr>
        <w:t>5</w:t>
      </w:r>
      <w:r w:rsidRPr="005F0182">
        <w:rPr>
          <w:rFonts w:cs="Arial"/>
          <w:b/>
        </w:rPr>
        <w:t>%</w:t>
      </w:r>
      <w:r w:rsidRPr="005F0182">
        <w:rPr>
          <w:rFonts w:cs="Arial"/>
        </w:rPr>
        <w:t>. Es importante resaltar que de este análisis se excluyen las adiciones realizadas, ya que no corresponden a un proceso nuevo de contratación, así como los pagos de ARL, servicios públicos, saldos de componentes, becas, premios y jurados.</w:t>
      </w:r>
    </w:p>
    <w:p w14:paraId="7D71A3F5" w14:textId="77777777" w:rsidR="001513C7" w:rsidRDefault="001513C7" w:rsidP="001513C7">
      <w:pPr>
        <w:rPr>
          <w:rFonts w:cs="Arial"/>
          <w:szCs w:val="22"/>
          <w:lang w:val="es-MX"/>
        </w:rPr>
      </w:pPr>
    </w:p>
    <w:p w14:paraId="0BABDDF3" w14:textId="3F86149A" w:rsidR="001513C7" w:rsidRPr="001513C7" w:rsidRDefault="001513C7" w:rsidP="001513C7">
      <w:pPr>
        <w:tabs>
          <w:tab w:val="left" w:pos="5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 xml:space="preserve">1.4. </w:t>
      </w:r>
      <w:r w:rsidRPr="001513C7">
        <w:rPr>
          <w:rFonts w:cs="Arial"/>
          <w:b/>
          <w:szCs w:val="22"/>
          <w:lang w:val="es-MX"/>
        </w:rPr>
        <w:t>EJECUCIÓN PLAN ANUAL OPERATIVO DE INVERSIÓN</w:t>
      </w:r>
    </w:p>
    <w:p w14:paraId="51575857" w14:textId="097F8DDA" w:rsidR="001513C7" w:rsidRPr="001513C7" w:rsidRDefault="001513C7" w:rsidP="001513C7">
      <w:pPr>
        <w:jc w:val="both"/>
        <w:rPr>
          <w:rFonts w:cs="Arial"/>
        </w:rPr>
      </w:pPr>
    </w:p>
    <w:p w14:paraId="14B09211" w14:textId="646093C8" w:rsidR="00FD2CE9" w:rsidRDefault="001513C7" w:rsidP="00120854">
      <w:pPr>
        <w:tabs>
          <w:tab w:val="left" w:pos="540"/>
        </w:tabs>
        <w:jc w:val="both"/>
        <w:rPr>
          <w:rFonts w:cs="Arial"/>
          <w:lang w:val="es-MX"/>
        </w:rPr>
      </w:pPr>
      <w:r>
        <w:rPr>
          <w:rFonts w:cs="Arial"/>
          <w:szCs w:val="22"/>
          <w:lang w:val="es-MX"/>
        </w:rPr>
        <w:t>Se realizó revisión de la ejecución del POAI, comparándolo con la ejecución presupuestal, así como el Plan Anual de Adquisiciones evidenciando:</w:t>
      </w:r>
      <w:r w:rsidR="00120854">
        <w:rPr>
          <w:rFonts w:cs="Arial"/>
          <w:lang w:val="es-MX"/>
        </w:rPr>
        <w:t xml:space="preserve"> </w:t>
      </w:r>
    </w:p>
    <w:p w14:paraId="06F524E1" w14:textId="77777777" w:rsidR="00FD2CE9" w:rsidRDefault="00FD2CE9" w:rsidP="000332AB">
      <w:pPr>
        <w:pStyle w:val="Prrafodelista"/>
        <w:ind w:left="0"/>
        <w:jc w:val="both"/>
        <w:rPr>
          <w:rFonts w:cs="Arial"/>
          <w:lang w:val="es-MX"/>
        </w:rPr>
        <w:sectPr w:rsidR="00FD2CE9" w:rsidSect="006E029F">
          <w:type w:val="continuous"/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14:paraId="215916FD" w14:textId="77777777" w:rsidR="00C71F68" w:rsidRDefault="00C71F68" w:rsidP="00EF48C8">
      <w:pPr>
        <w:pStyle w:val="Prrafodelista"/>
        <w:tabs>
          <w:tab w:val="left" w:pos="720"/>
        </w:tabs>
        <w:ind w:left="0"/>
        <w:jc w:val="both"/>
        <w:rPr>
          <w:rFonts w:cs="Arial"/>
        </w:rPr>
      </w:pP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089"/>
        <w:gridCol w:w="1211"/>
        <w:gridCol w:w="936"/>
        <w:gridCol w:w="1191"/>
        <w:gridCol w:w="984"/>
        <w:gridCol w:w="984"/>
        <w:gridCol w:w="984"/>
        <w:gridCol w:w="1018"/>
      </w:tblGrid>
      <w:tr w:rsidR="006501E6" w:rsidRPr="006501E6" w14:paraId="382C0FE7" w14:textId="77777777" w:rsidTr="00CE6C99">
        <w:trPr>
          <w:trHeight w:val="264"/>
          <w:tblHeader/>
        </w:trPr>
        <w:tc>
          <w:tcPr>
            <w:tcW w:w="578" w:type="pct"/>
            <w:shd w:val="clear" w:color="000000" w:fill="FCE4D6"/>
            <w:vAlign w:val="center"/>
            <w:hideMark/>
          </w:tcPr>
          <w:p w14:paraId="4743C413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Proyecto</w:t>
            </w:r>
          </w:p>
        </w:tc>
        <w:tc>
          <w:tcPr>
            <w:tcW w:w="574" w:type="pct"/>
            <w:shd w:val="clear" w:color="000000" w:fill="FCE4D6"/>
            <w:vAlign w:val="center"/>
            <w:hideMark/>
          </w:tcPr>
          <w:p w14:paraId="0DC5EE2A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Meta Plan de Desarrollo</w:t>
            </w:r>
          </w:p>
        </w:tc>
        <w:tc>
          <w:tcPr>
            <w:tcW w:w="638" w:type="pct"/>
            <w:shd w:val="clear" w:color="000000" w:fill="FCE4D6"/>
            <w:vAlign w:val="center"/>
            <w:hideMark/>
          </w:tcPr>
          <w:p w14:paraId="7D4E6BE3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Meta Entidad</w:t>
            </w:r>
          </w:p>
        </w:tc>
        <w:tc>
          <w:tcPr>
            <w:tcW w:w="493" w:type="pct"/>
            <w:shd w:val="clear" w:color="000000" w:fill="FCE4D6"/>
            <w:vAlign w:val="center"/>
            <w:hideMark/>
          </w:tcPr>
          <w:p w14:paraId="448DF13B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Indicador MGA - SUIFP</w:t>
            </w:r>
          </w:p>
        </w:tc>
        <w:tc>
          <w:tcPr>
            <w:tcW w:w="627" w:type="pct"/>
            <w:shd w:val="clear" w:color="000000" w:fill="FCE4D6"/>
            <w:vAlign w:val="center"/>
            <w:hideMark/>
          </w:tcPr>
          <w:p w14:paraId="146C3163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Indicador PMR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15AF6B59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Presupuesto 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05B5FAA5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CDP's 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315D4018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RP's </w:t>
            </w:r>
          </w:p>
        </w:tc>
        <w:tc>
          <w:tcPr>
            <w:tcW w:w="537" w:type="pct"/>
            <w:shd w:val="clear" w:color="000000" w:fill="FCE4D6"/>
            <w:vAlign w:val="center"/>
            <w:hideMark/>
          </w:tcPr>
          <w:p w14:paraId="61709C61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Giros </w:t>
            </w:r>
          </w:p>
        </w:tc>
      </w:tr>
      <w:tr w:rsidR="006501E6" w:rsidRPr="006501E6" w14:paraId="281A491C" w14:textId="77777777" w:rsidTr="00CE6C99">
        <w:trPr>
          <w:trHeight w:val="675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0D6AE285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7601-Formación en patrimonio cultural en el ciclo integral de educación para la vida en Bogotá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880B460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96 - 257.000 Beneficiarios de procesos integrales de formación a lo largo de la vida con énfasis en el arte, la cultura y el patrimonio.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  <w:hideMark/>
          </w:tcPr>
          <w:p w14:paraId="5C94993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Beneficiar a 6.800 personas en procesos integrales de formación en patrimonio cultural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BC6EB1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normativos realizados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9357A7E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132 - Personas beneficiadas en procesos integrales de formación en patrimonio cultural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3A902E7" w14:textId="4A48B2DD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42.000.000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5E10434" w14:textId="1A96B15A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42.000.000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46AFFC8" w14:textId="06F9CF8E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42.000.000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7E35AAC" w14:textId="5CFB925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16.000.000</w:t>
            </w:r>
          </w:p>
        </w:tc>
      </w:tr>
      <w:tr w:rsidR="006501E6" w:rsidRPr="006501E6" w14:paraId="1D956032" w14:textId="77777777" w:rsidTr="00CE6C99">
        <w:trPr>
          <w:trHeight w:val="473"/>
        </w:trPr>
        <w:tc>
          <w:tcPr>
            <w:tcW w:w="578" w:type="pct"/>
            <w:vMerge/>
            <w:vAlign w:val="center"/>
            <w:hideMark/>
          </w:tcPr>
          <w:p w14:paraId="13737BB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505E967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14:paraId="57C0264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1896F1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Asistencias técnicas realizadas</w:t>
            </w:r>
          </w:p>
        </w:tc>
        <w:tc>
          <w:tcPr>
            <w:tcW w:w="627" w:type="pct"/>
            <w:vMerge/>
            <w:vAlign w:val="center"/>
            <w:hideMark/>
          </w:tcPr>
          <w:p w14:paraId="1076FA5B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F6F2F5B" w14:textId="61006C7E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188.450.000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778812D" w14:textId="3A893C2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188.450.000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50065AD" w14:textId="5BD2BE9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185.550.000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B497EE2" w14:textId="0EB80E54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74.200.000</w:t>
            </w:r>
          </w:p>
        </w:tc>
      </w:tr>
      <w:tr w:rsidR="006501E6" w:rsidRPr="006501E6" w14:paraId="2F97859E" w14:textId="77777777" w:rsidTr="00CE6C99">
        <w:trPr>
          <w:trHeight w:val="1275"/>
        </w:trPr>
        <w:tc>
          <w:tcPr>
            <w:tcW w:w="578" w:type="pct"/>
            <w:vMerge/>
            <w:vAlign w:val="center"/>
            <w:hideMark/>
          </w:tcPr>
          <w:p w14:paraId="06982B9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16CC258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0C798C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2 - Beneficiar a 200 personas en el proceso de formación a formadores en patrimonio cultural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43E19F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Personas capacitadas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D76C74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134 - Número de formadores formados en patrimonio cultural, con enfoque diferencial y en perspectiva de interseccionalidad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0C7278A" w14:textId="1778E04B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69.550.000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3449694" w14:textId="4C74D2D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60.550.000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9515D25" w14:textId="3E7AC3C9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53.550.000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16F22D1" w14:textId="079DC07A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20.400.000</w:t>
            </w:r>
          </w:p>
        </w:tc>
      </w:tr>
      <w:tr w:rsidR="006501E6" w:rsidRPr="006501E6" w14:paraId="338648A4" w14:textId="77777777" w:rsidTr="00CE6C99">
        <w:trPr>
          <w:trHeight w:val="255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62EDC22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7601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563D73FB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0E975807" w14:textId="4180C4D0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300.000.000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5F18B0F9" w14:textId="3FDF1C7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291.000.000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514A35A5" w14:textId="6028DAC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281.100.000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26F8D814" w14:textId="04073C9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110.600.000</w:t>
            </w:r>
          </w:p>
        </w:tc>
      </w:tr>
      <w:tr w:rsidR="006501E6" w:rsidRPr="006501E6" w14:paraId="35E16C08" w14:textId="77777777" w:rsidTr="00CE6C99">
        <w:trPr>
          <w:trHeight w:val="1020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419D7918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7611-Desarrollo de acciones integrales de valoración y recuperación de Bienes y Sectores de Interés Cultural de Bogotá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13B6C6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157 - Realizar 700 intervenciones en Bienes de Interés Cultural de Bogotá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FBB823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Realizar 700 intervenciones en Bienes de Interés Cultural de Bogotá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77F520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Restauraciones realizadas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A7B56B9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129. Bienes de Interés cultural intervenidos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8BAD22C" w14:textId="6CCB0B08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2.773.817.855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21DA918" w14:textId="12282FFE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2.337.171.774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6ECBFA7" w14:textId="02287CC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2.244.327.174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38163E1" w14:textId="001291CD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874.064.561</w:t>
            </w:r>
          </w:p>
        </w:tc>
      </w:tr>
      <w:tr w:rsidR="006501E6" w:rsidRPr="006501E6" w14:paraId="173D5434" w14:textId="77777777" w:rsidTr="00CE6C99">
        <w:trPr>
          <w:trHeight w:val="2040"/>
        </w:trPr>
        <w:tc>
          <w:tcPr>
            <w:tcW w:w="578" w:type="pct"/>
            <w:vMerge/>
            <w:vAlign w:val="center"/>
            <w:hideMark/>
          </w:tcPr>
          <w:p w14:paraId="23FA38B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15E74B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154 - Implementar una (1) estrategia que permita reconocer y difundir manifestaciones de patrimonio cultural material e inmaterial, para generar conocimiento en la ciudadanía.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FB1293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2 - Realizar un (1) proceso de identificación, valoración y documentación de Bienes de Interés Cultural y espacios públicos patrimoniales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A87D3F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de lineamientos técnicos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7DA82A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129. Bienes de Interés cultural intervenidos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4D3A3D9" w14:textId="5B665762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771.050.000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641B1D9" w14:textId="4981E140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397.068.260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1508888" w14:textId="416CF8E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395.368.260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499293CF" w14:textId="55111D6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259.429.270</w:t>
            </w:r>
          </w:p>
        </w:tc>
      </w:tr>
      <w:tr w:rsidR="006501E6" w:rsidRPr="006501E6" w14:paraId="2FF84365" w14:textId="77777777" w:rsidTr="00CE6C99">
        <w:trPr>
          <w:trHeight w:val="1023"/>
        </w:trPr>
        <w:tc>
          <w:tcPr>
            <w:tcW w:w="578" w:type="pct"/>
            <w:vMerge/>
            <w:vAlign w:val="center"/>
            <w:hideMark/>
          </w:tcPr>
          <w:p w14:paraId="26D406D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F181A1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157 - Realizar 700 intervenciones en Bienes de Interés Cultural de Bogotá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4AACA01E" w14:textId="395B82CC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Orientar y atender el 100% de las solicitudes de recuperación, protección y conservación del patrimonio cultural del Distrito Capita</w:t>
            </w:r>
            <w:r w:rsidR="00FE04E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87839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Actos administrativos generados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8D0899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135 - Porcentaje de solicitudes atendidas para la recuperación y preservación de Bienes de Interés Cultural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33ADC69" w14:textId="22E167EB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2.599.132.145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426ACD8" w14:textId="429D3AB9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2.599.132.093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AC1A852" w14:textId="2302B024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2.599.132.093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2632111" w14:textId="6C1FA0ED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1.031.792.469</w:t>
            </w:r>
          </w:p>
        </w:tc>
      </w:tr>
      <w:tr w:rsidR="006501E6" w:rsidRPr="006501E6" w14:paraId="2CA9B777" w14:textId="77777777" w:rsidTr="00CE6C99">
        <w:trPr>
          <w:trHeight w:val="255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623E58B3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7611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0CDDC829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33548D69" w14:textId="4848A924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6.144.000.000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4DC1B7AE" w14:textId="220FE8F8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5.333.372.127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1BB07371" w14:textId="7A20693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5.238.827.527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5B4978BC" w14:textId="2407412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2.165.286.300</w:t>
            </w:r>
          </w:p>
        </w:tc>
      </w:tr>
      <w:tr w:rsidR="006501E6" w:rsidRPr="006501E6" w14:paraId="5AE3E444" w14:textId="77777777" w:rsidTr="00CE6C99">
        <w:trPr>
          <w:trHeight w:val="5100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05F00AAE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7639-Consolidación de la capacidad institucional y ciudadana para la territorialización, apropiación, fomento, salvaguardia y divulgación del Patrimonio Cultural en Bogotá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4D65C6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153 - Implementar una (1)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con respeto y claridad a todos los ciudadanos de una forma dinámica e integradora en la que todos sean protagonistas.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EA38ED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Implementar una (1)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con respeto y claridad a todos los ciudadanos de una forma dinámica e integradora en la que todos sean protagonistas.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3AAD8FE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Actividades culturales realizadas en Museos del Ministerio de Cultura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C5365C9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133. Proyectos e iniciativas colaborativas desarrolladas para la investigación, valoración, difusión y memoria del patrimonio cultural en Bogotá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6749DDE" w14:textId="72F75CC5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6.616.760.853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2D9434A" w14:textId="4BF7785B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5.318.357.798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3F7281B" w14:textId="44B69AB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4.834.292.702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BCA4C74" w14:textId="36CC00F6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1.788.176.094</w:t>
            </w:r>
          </w:p>
        </w:tc>
      </w:tr>
      <w:tr w:rsidR="006501E6" w:rsidRPr="006501E6" w14:paraId="6EFBF9F1" w14:textId="77777777" w:rsidTr="00CE6C99">
        <w:trPr>
          <w:trHeight w:val="2550"/>
        </w:trPr>
        <w:tc>
          <w:tcPr>
            <w:tcW w:w="578" w:type="pct"/>
            <w:vMerge/>
            <w:vAlign w:val="center"/>
            <w:hideMark/>
          </w:tcPr>
          <w:p w14:paraId="73B8F4A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98E460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158 - Realizar el 100% de las acciones para el fortalecimiento de los estímulos, apoyos concertados y alianzas estratégicas para dinamizar la estrategia sectorial dirigida a fomentar los procesos culturales, artísticos, patrimoniales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0220ECD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2 - Otorgar 250 estímulos, apoyos concertados y alianzas estratégicas para dinamizar la estrategia sectorial dirigida a fomentar los procesos patrimoniales de la ciudad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42A780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Estímulos otorgados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C4A82E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124. Número de estímulos otorgados a iniciativas de la ciudadanía en temas de patrimonio cultural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18D904B" w14:textId="7C04E5C1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813.029.332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EE5710C" w14:textId="0AB1B94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804.958.832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32ED776" w14:textId="751D67C6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597.028.518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70CBEAE" w14:textId="521E5AF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299.597.333</w:t>
            </w:r>
          </w:p>
        </w:tc>
      </w:tr>
      <w:tr w:rsidR="006501E6" w:rsidRPr="006501E6" w14:paraId="3A9C349B" w14:textId="77777777" w:rsidTr="00CE6C99">
        <w:trPr>
          <w:trHeight w:val="625"/>
        </w:trPr>
        <w:tc>
          <w:tcPr>
            <w:tcW w:w="578" w:type="pct"/>
            <w:vMerge/>
            <w:vAlign w:val="center"/>
            <w:hideMark/>
          </w:tcPr>
          <w:p w14:paraId="53B07F7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518092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152 - Gestionar tres (3) declaratorias de patrimonio cultural inmaterial del orden distrital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624B53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3 - Gestionar tres (3) declaratorias de patrimonio cultural inmaterial del orden distrital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94A3109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normativos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E482FE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133. Proyectos e iniciativas colaborativas desarrolladas para la investigación, valoración, difusión y memoria del patrimonio cultural en Bogotá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262F169" w14:textId="5F0ED310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553.650.000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8D414F9" w14:textId="36C48BB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293.650.000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B356768" w14:textId="2B40BEA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282.465.960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ACCB72F" w14:textId="7CE6F85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79.913.000</w:t>
            </w:r>
          </w:p>
        </w:tc>
      </w:tr>
      <w:tr w:rsidR="006501E6" w:rsidRPr="006501E6" w14:paraId="02FC4ABA" w14:textId="77777777" w:rsidTr="00CE6C99">
        <w:trPr>
          <w:trHeight w:val="2295"/>
        </w:trPr>
        <w:tc>
          <w:tcPr>
            <w:tcW w:w="578" w:type="pct"/>
            <w:vMerge/>
            <w:vAlign w:val="center"/>
            <w:hideMark/>
          </w:tcPr>
          <w:p w14:paraId="159AF06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40688CB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154 - Implementar una (1) estrategia que permita reconocer y difundir manifestaciones de patrimonio cultural material e inmaterial, para generar conocimiento en la ciudadanía.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39BAD5F9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4 - Realizar un (1) proceso de diagnóstico, identificación y documentación de manifestaciones de patrimonio cultural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FAF7F9B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Procesos de salvaguardia efectiva del patrimonio inmaterial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ABF487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133. Proyectos e iniciativas colaborativas desarrolladas para la investigación, valoración, difusión y memoria del patrimonio cultural en Bogotá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74B809A" w14:textId="654CC856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300.379.815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6917473" w14:textId="3B4B100B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300.379.815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52D5E2E" w14:textId="0088E538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216.707.780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882F4F5" w14:textId="6914A5BF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118.389.667</w:t>
            </w:r>
          </w:p>
        </w:tc>
      </w:tr>
      <w:tr w:rsidR="006501E6" w:rsidRPr="006501E6" w14:paraId="01B2AEF5" w14:textId="77777777" w:rsidTr="00CE6C99">
        <w:trPr>
          <w:trHeight w:val="300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23CB6E61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7639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4E564A8B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5F769607" w14:textId="7F4C04C9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8.283.820.000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63667B15" w14:textId="6E8C7CFC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6.717.346.445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6D8CCE16" w14:textId="0C3DB7BF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5.930.494.960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4DCB0CB1" w14:textId="513A0577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2.286.076.094</w:t>
            </w:r>
          </w:p>
        </w:tc>
      </w:tr>
      <w:tr w:rsidR="006501E6" w:rsidRPr="006501E6" w14:paraId="4A3455BA" w14:textId="77777777" w:rsidTr="00CE6C99">
        <w:trPr>
          <w:trHeight w:val="1530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3EEE9983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7649. Consolidación de los patrimonios como referente de ordenamiento territorial en la ciudad de Bogotá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2840C6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229 - Generar la activación de un (1) parque arqueológico de la Hacienda El Carmen (Usme) integrando borde urbano y rural de Bogotá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7EDBFB9E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Generar la activación de un (1) parque arqueológico de la Hacienda El Carmen (Usme) integrando borde urbano y rural de Bogotá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850CB71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Parques arqueológicos patrimoniales preservados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E998F62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129. Bienes de Interés cultural intervenidos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41E7A91" w14:textId="5AEF5E64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755.105.000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050EFF5" w14:textId="572DE51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694.953.015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C125755" w14:textId="7745807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677.953.015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6AD1CBD" w14:textId="6EF1A29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188.374.036</w:t>
            </w:r>
          </w:p>
        </w:tc>
      </w:tr>
      <w:tr w:rsidR="006501E6" w:rsidRPr="006501E6" w14:paraId="5DB6F9DA" w14:textId="77777777" w:rsidTr="00CE6C99">
        <w:trPr>
          <w:trHeight w:val="1785"/>
        </w:trPr>
        <w:tc>
          <w:tcPr>
            <w:tcW w:w="578" w:type="pct"/>
            <w:vMerge/>
            <w:vAlign w:val="center"/>
            <w:hideMark/>
          </w:tcPr>
          <w:p w14:paraId="54C99CF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5973B6B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228 - Formular cuatro (4) instrumentos de planeación territorial en entornos patrimoniales como determinante del ordenamiento territorial de Bogotá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5CF5E9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 Formular cuatro (4) instrumentos de planeación territorial en entornos patrimoniales como determinante del ordenamiento territorial de Bogotá.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F6CEE8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de lineamientos técnicos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10837F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126. Número de instrumentos de gestión del patrimonio urbano formulados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357E708" w14:textId="7F0D52C9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1.191.020.000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E46F1BF" w14:textId="260299E7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1.190.486.667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2B53669" w14:textId="6B65A17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1.173.486.667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CF4FDBB" w14:textId="72B3D4FD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462.780.334</w:t>
            </w:r>
          </w:p>
        </w:tc>
      </w:tr>
      <w:tr w:rsidR="006501E6" w:rsidRPr="006501E6" w14:paraId="6BD8BD63" w14:textId="77777777" w:rsidTr="00CE6C99">
        <w:trPr>
          <w:trHeight w:val="1275"/>
        </w:trPr>
        <w:tc>
          <w:tcPr>
            <w:tcW w:w="578" w:type="pct"/>
            <w:vMerge/>
            <w:vAlign w:val="center"/>
            <w:hideMark/>
          </w:tcPr>
          <w:p w14:paraId="4F9C07F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FEAA4E3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231 - Gestionar una (1) declaratoria de Sumapaz como Patrimonio de la Humanidad por la Unesco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57C4729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3 - Gestionar una (1) declaratoria de Sumapaz como Patrimonio de la Humanidad por la Unesco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6D6B7E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normativos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EC189AE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126. Número de instrumentos de gestión del patrimonio urbano formulados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1CBA7EF" w14:textId="09F34102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401.385.000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CF65FDB" w14:textId="4227ACCE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401.268.448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2C81AEC" w14:textId="06806244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401.268.448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1BD725A" w14:textId="58160B6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130.115.813</w:t>
            </w:r>
          </w:p>
        </w:tc>
      </w:tr>
      <w:tr w:rsidR="006501E6" w:rsidRPr="006501E6" w14:paraId="0D3A7C85" w14:textId="77777777" w:rsidTr="00CE6C99">
        <w:trPr>
          <w:trHeight w:val="70"/>
        </w:trPr>
        <w:tc>
          <w:tcPr>
            <w:tcW w:w="578" w:type="pct"/>
            <w:vMerge/>
            <w:vAlign w:val="center"/>
            <w:hideMark/>
          </w:tcPr>
          <w:p w14:paraId="74E675E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844F66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227 - Activación de siete (7) entornos con presencia representativa de patrimonio cultural material e inmaterial a través de procesos de interacción social, artística y cultural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8ADBA2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4 - Activación de siete (7)  entornos con presencia representativa de patrimonio cultural material e inmaterial a través de procesos de interacción social, artística y cultural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CAC00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Asistencias técnicas realizadas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C36D625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131. Entornos multiescalares para la preservación y sostenibilidad del patrimonio cultural activados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EC202FD" w14:textId="31774AFB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1.080.117.850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3F96A91" w14:textId="14363C7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1.079.610.000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27A2187" w14:textId="108E5E1A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973.188.154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265249D" w14:textId="265699FE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388.294.667</w:t>
            </w:r>
          </w:p>
        </w:tc>
      </w:tr>
      <w:tr w:rsidR="006501E6" w:rsidRPr="006501E6" w14:paraId="6A035156" w14:textId="77777777" w:rsidTr="00CE6C99">
        <w:trPr>
          <w:trHeight w:val="1785"/>
        </w:trPr>
        <w:tc>
          <w:tcPr>
            <w:tcW w:w="578" w:type="pct"/>
            <w:vMerge/>
            <w:vAlign w:val="center"/>
            <w:hideMark/>
          </w:tcPr>
          <w:p w14:paraId="17C7B9DC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6431E19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228 - Formular cuatro (4) instrumentos de planeación territorial en entornos patrimoniales como determinante del ordenamiento territorial de Bogotá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8A878A8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6. Gestionar 100 por ciento de la segunda etapa de implementación del Plan Especial de Manejo y Protección PEMP del Centro Histórico de Bogotá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229A93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de lineamientos técnicos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34D50D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126. Número de instrumentos de gestión del patrimonio urbano formulados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82301E0" w14:textId="36BBC132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2.065.372.150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20BC9F0" w14:textId="0D656DA8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1.942.766.485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94ED4AE" w14:textId="5351DE76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1.890.930.785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041DE8B" w14:textId="7ECD02B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757.786.886</w:t>
            </w:r>
          </w:p>
        </w:tc>
      </w:tr>
      <w:tr w:rsidR="006501E6" w:rsidRPr="006501E6" w14:paraId="49C99D89" w14:textId="77777777" w:rsidTr="00CE6C99">
        <w:trPr>
          <w:trHeight w:val="255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1C543E1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7649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66DEB6C5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0916892C" w14:textId="409386CC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5.493.000.000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40991C26" w14:textId="0222C1E5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5.309.084.615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4CD9BC5D" w14:textId="4AF56AA8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5.116.827.069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581C1E77" w14:textId="3DB19EB7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1.927.351.736</w:t>
            </w:r>
          </w:p>
        </w:tc>
      </w:tr>
      <w:tr w:rsidR="006501E6" w:rsidRPr="006501E6" w14:paraId="272BCEEA" w14:textId="77777777" w:rsidTr="00CE6C99">
        <w:trPr>
          <w:trHeight w:val="882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56AD7699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7612. Recuperación de Columbarios ubicados en el Globo B del Cementerio Central de Bogotá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7AB9FA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312 - Crear un (1)  espacio que integre dimensiones patrimoniales y de memoria en la ciudad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6E189BD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Crear un (1)  espacio que integre dimensiones patrimoniales y de memoria en la ciudad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120511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Restauraciones realizadas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FD3B71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130. Espacios que integren dimensiones patrimoniales y de memoria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8240875" w14:textId="65484DD5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605.284.000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9654A32" w14:textId="7C7E761F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31.999.998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DDC23E7" w14:textId="32A27E41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31.999.998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15A102F" w14:textId="07EA9638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22.044.443</w:t>
            </w:r>
          </w:p>
        </w:tc>
      </w:tr>
      <w:tr w:rsidR="006501E6" w:rsidRPr="006501E6" w14:paraId="058BDAE6" w14:textId="77777777" w:rsidTr="00CE6C99">
        <w:trPr>
          <w:trHeight w:val="731"/>
        </w:trPr>
        <w:tc>
          <w:tcPr>
            <w:tcW w:w="578" w:type="pct"/>
            <w:vMerge/>
            <w:vAlign w:val="center"/>
            <w:hideMark/>
          </w:tcPr>
          <w:p w14:paraId="56ADB9F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1C3A26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93A1E5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2 - Realizar 50 talleres participativos con la comunidad y actores sociales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5A9B52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Asistencias técnicas realizadas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A98A8E9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130. Espacios que integren dimensiones patrimoniales y de memoria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D94CE81" w14:textId="681BA934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69.000.000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0C31F3A" w14:textId="47F4FDA0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891D148" w14:textId="0E281701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D168F80" w14:textId="36189290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6501E6" w:rsidRPr="006501E6" w14:paraId="028513A1" w14:textId="77777777" w:rsidTr="00CE6C99">
        <w:trPr>
          <w:trHeight w:val="255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61596246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7612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3D1C0487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76E67480" w14:textId="1DC6A44D" w:rsidR="006501E6" w:rsidRPr="006501E6" w:rsidRDefault="006501E6" w:rsidP="00FE04EE">
            <w:pPr>
              <w:ind w:left="-70" w:right="-11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674.284.000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02103AF4" w14:textId="70301882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31.999.998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43B25E35" w14:textId="4411DDE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31.999.998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2CD5009B" w14:textId="76BB4A73" w:rsidR="006501E6" w:rsidRPr="006501E6" w:rsidRDefault="006501E6" w:rsidP="00FE04E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22.044.443</w:t>
            </w:r>
          </w:p>
        </w:tc>
      </w:tr>
      <w:tr w:rsidR="006501E6" w:rsidRPr="006501E6" w14:paraId="494D90C6" w14:textId="77777777" w:rsidTr="00CE6C99">
        <w:trPr>
          <w:trHeight w:val="2040"/>
        </w:trPr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464EA862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 xml:space="preserve">7597. Fortalecimiento de la gestión del Instituto Distrital de Patrimonio de Bogotá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29E877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493 - Desarrollar y mantener al 100% la capacidad institucional a través de la mejora en la infraestructura física, tecnológica y de gestión en beneficio de la ciudadanía.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6C035EE" w14:textId="60FF6D3A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1 - Aumentar en 10 puntos el Índice de Desempeño Institucional, mediante la implem</w:t>
            </w:r>
            <w:r w:rsidR="00CE7FA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e</w:t>
            </w: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ntación del Modelo de Gestión y Desempeño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E1A07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Servicio de implementación del Sistema de Gestión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8D4AC4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137 - Sistema de gestión y control implementado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1E1CD1F" w14:textId="1AC7D4FF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3.652.700.000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E871A58" w14:textId="483F42FB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3.402.645.557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00A7405" w14:textId="23C857FE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3.329.985.687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C119351" w14:textId="742CC2B4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1.352.574.924</w:t>
            </w:r>
          </w:p>
        </w:tc>
      </w:tr>
      <w:tr w:rsidR="006501E6" w:rsidRPr="006501E6" w14:paraId="20EE48DA" w14:textId="77777777" w:rsidTr="00CE6C99">
        <w:trPr>
          <w:trHeight w:val="2040"/>
        </w:trPr>
        <w:tc>
          <w:tcPr>
            <w:tcW w:w="578" w:type="pct"/>
            <w:vMerge/>
            <w:vAlign w:val="center"/>
            <w:hideMark/>
          </w:tcPr>
          <w:p w14:paraId="3FB7C9A1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8BF0D31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493 - Desarrollar y mantener al 100% la capacidad institucional a través de la mejora en la infraestructura física, tecnológica y de gestión en beneficio de la ciudadanía.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2469D344" w14:textId="6C7B8664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 xml:space="preserve">2 - Realizar el 100% de la administración, mantenimiento y adecuación de la </w:t>
            </w:r>
            <w:r w:rsidR="00CE7FA5"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infraestructura</w:t>
            </w: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 xml:space="preserve"> institucional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ADA8F9A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Sedes adecuadas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DC3CDC0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128. Adecuación y sostenibilidad del SIG-MIPG implementado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BB9318A" w14:textId="693F517B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2.530.800.000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AAE5F76" w14:textId="6B809E0A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2.359.827.833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E911406" w14:textId="50A305E4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2.301.896.108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EBA0212" w14:textId="5CB0A536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1.446.212.063</w:t>
            </w:r>
          </w:p>
        </w:tc>
      </w:tr>
      <w:tr w:rsidR="006501E6" w:rsidRPr="006501E6" w14:paraId="4F820EAC" w14:textId="77777777" w:rsidTr="00CE6C99">
        <w:trPr>
          <w:trHeight w:val="1590"/>
        </w:trPr>
        <w:tc>
          <w:tcPr>
            <w:tcW w:w="578" w:type="pct"/>
            <w:vMerge/>
            <w:vAlign w:val="center"/>
            <w:hideMark/>
          </w:tcPr>
          <w:p w14:paraId="706DA4A4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952126D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539 - Realizar el 100% de las acciones para el fortalecimiento de la comunicación pública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14:paraId="1C99BA57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3. Implementar el 100% de las estrategias de fortalecimiento de la comunicación pública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08E4DC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Documentos de lineamientos técnicos realizados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E4BCC7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139 - Estrategias para el fortalecimiento de la comunicación pública realizadas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CF11D39" w14:textId="5D15E53B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266.500.000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8FADB91" w14:textId="457AA95C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247.000.000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AC60492" w14:textId="1C34B690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209.200.000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9AA260A" w14:textId="6B9B51FE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  <w:t>104.600.000</w:t>
            </w:r>
          </w:p>
        </w:tc>
      </w:tr>
      <w:tr w:rsidR="006501E6" w:rsidRPr="006501E6" w14:paraId="1A072BF0" w14:textId="77777777" w:rsidTr="00CE6C99">
        <w:trPr>
          <w:trHeight w:val="255"/>
        </w:trPr>
        <w:tc>
          <w:tcPr>
            <w:tcW w:w="578" w:type="pct"/>
            <w:shd w:val="clear" w:color="000000" w:fill="D9D9D9"/>
            <w:vAlign w:val="center"/>
            <w:hideMark/>
          </w:tcPr>
          <w:p w14:paraId="4B79A96F" w14:textId="77777777" w:rsidR="006501E6" w:rsidRPr="006501E6" w:rsidRDefault="006501E6" w:rsidP="006501E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Subtotal Proyecto 7597</w:t>
            </w:r>
          </w:p>
        </w:tc>
        <w:tc>
          <w:tcPr>
            <w:tcW w:w="2332" w:type="pct"/>
            <w:gridSpan w:val="4"/>
            <w:shd w:val="clear" w:color="000000" w:fill="D9D9D9"/>
            <w:vAlign w:val="center"/>
            <w:hideMark/>
          </w:tcPr>
          <w:p w14:paraId="1565F612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039DD5DA" w14:textId="5FB6D212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6.450.000.000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5921C058" w14:textId="0EDE593B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6.009.473.390</w:t>
            </w:r>
          </w:p>
        </w:tc>
        <w:tc>
          <w:tcPr>
            <w:tcW w:w="518" w:type="pct"/>
            <w:shd w:val="clear" w:color="000000" w:fill="D9D9D9"/>
            <w:vAlign w:val="center"/>
            <w:hideMark/>
          </w:tcPr>
          <w:p w14:paraId="7EDCD9FD" w14:textId="5DE1F52C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5.841.081.795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14:paraId="79A3BFEF" w14:textId="281EC7E3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2.903.386.987</w:t>
            </w:r>
          </w:p>
        </w:tc>
      </w:tr>
      <w:tr w:rsidR="006501E6" w:rsidRPr="006501E6" w14:paraId="288D6771" w14:textId="77777777" w:rsidTr="00CE6C99">
        <w:trPr>
          <w:trHeight w:val="330"/>
        </w:trPr>
        <w:tc>
          <w:tcPr>
            <w:tcW w:w="578" w:type="pct"/>
            <w:shd w:val="clear" w:color="000000" w:fill="FCE4D6"/>
            <w:vAlign w:val="center"/>
            <w:hideMark/>
          </w:tcPr>
          <w:p w14:paraId="202D5042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2332" w:type="pct"/>
            <w:gridSpan w:val="4"/>
            <w:shd w:val="clear" w:color="000000" w:fill="FCE4D6"/>
            <w:vAlign w:val="center"/>
            <w:hideMark/>
          </w:tcPr>
          <w:p w14:paraId="056CC50E" w14:textId="77777777" w:rsidR="006501E6" w:rsidRPr="006501E6" w:rsidRDefault="006501E6" w:rsidP="006501E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38D04BBB" w14:textId="21A42CF5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27.345.104.000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29F60DC4" w14:textId="498990CC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23.692.276.575</w:t>
            </w:r>
          </w:p>
        </w:tc>
        <w:tc>
          <w:tcPr>
            <w:tcW w:w="518" w:type="pct"/>
            <w:shd w:val="clear" w:color="000000" w:fill="FCE4D6"/>
            <w:vAlign w:val="center"/>
            <w:hideMark/>
          </w:tcPr>
          <w:p w14:paraId="5F7AE0F5" w14:textId="27567485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22.440.331.349</w:t>
            </w:r>
          </w:p>
        </w:tc>
        <w:tc>
          <w:tcPr>
            <w:tcW w:w="537" w:type="pct"/>
            <w:shd w:val="clear" w:color="000000" w:fill="FCE4D6"/>
            <w:vAlign w:val="center"/>
            <w:hideMark/>
          </w:tcPr>
          <w:p w14:paraId="0814FF28" w14:textId="15D49058" w:rsidR="006501E6" w:rsidRPr="006501E6" w:rsidRDefault="006501E6" w:rsidP="00FE04EE">
            <w:pPr>
              <w:ind w:left="-70" w:right="-79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6501E6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CO"/>
              </w:rPr>
              <w:t>9.414.745.560</w:t>
            </w:r>
          </w:p>
        </w:tc>
      </w:tr>
    </w:tbl>
    <w:p w14:paraId="1F2A9448" w14:textId="22E70275" w:rsidR="009D3564" w:rsidRDefault="009D3564" w:rsidP="006501E6">
      <w:pPr>
        <w:rPr>
          <w:rFonts w:cs="Arial"/>
          <w:lang w:val="es-MX"/>
        </w:rPr>
        <w:sectPr w:rsidR="009D3564" w:rsidSect="006E029F">
          <w:type w:val="continuous"/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14:paraId="549FE00A" w14:textId="2BAD4A8C" w:rsidR="006C069F" w:rsidRDefault="00EF48C8" w:rsidP="00EF48C8">
      <w:pPr>
        <w:pStyle w:val="Prrafodelista"/>
        <w:tabs>
          <w:tab w:val="left" w:pos="720"/>
        </w:tabs>
        <w:ind w:left="0"/>
        <w:jc w:val="both"/>
        <w:rPr>
          <w:rFonts w:cs="Arial"/>
          <w:szCs w:val="22"/>
        </w:rPr>
      </w:pPr>
      <w:r>
        <w:rPr>
          <w:rFonts w:cs="Arial"/>
          <w:lang w:val="es-MX"/>
        </w:rPr>
        <w:t>La Ofic</w:t>
      </w:r>
      <w:r w:rsidR="00E865FD">
        <w:rPr>
          <w:rFonts w:cs="Arial"/>
          <w:lang w:val="es-MX"/>
        </w:rPr>
        <w:t xml:space="preserve">ina Asesora de Planeación en </w:t>
      </w:r>
      <w:r>
        <w:rPr>
          <w:rFonts w:cs="Arial"/>
          <w:lang w:val="es-MX"/>
        </w:rPr>
        <w:t xml:space="preserve">cumplimiento de su rol como segunda línea de defensa, realiza el </w:t>
      </w:r>
      <w:r w:rsidR="00D05510">
        <w:rPr>
          <w:rFonts w:cs="Arial"/>
          <w:lang w:val="es-MX"/>
        </w:rPr>
        <w:t>monitoreo</w:t>
      </w:r>
      <w:r>
        <w:rPr>
          <w:rFonts w:cs="Arial"/>
          <w:lang w:val="es-MX"/>
        </w:rPr>
        <w:t xml:space="preserve"> al Plan Anual de Adquisiciones, </w:t>
      </w:r>
      <w:r w:rsidR="00E865FD">
        <w:rPr>
          <w:rFonts w:cs="Arial"/>
          <w:szCs w:val="22"/>
        </w:rPr>
        <w:t>lo cual facilita hacer lo propio con</w:t>
      </w:r>
      <w:r>
        <w:rPr>
          <w:rFonts w:cs="Arial"/>
          <w:szCs w:val="22"/>
        </w:rPr>
        <w:t xml:space="preserve"> </w:t>
      </w:r>
      <w:r w:rsidR="00E865FD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l POAI, </w:t>
      </w:r>
      <w:r w:rsidRPr="00A34587">
        <w:rPr>
          <w:rFonts w:cs="Arial"/>
          <w:szCs w:val="22"/>
        </w:rPr>
        <w:t xml:space="preserve">a su vez suministra </w:t>
      </w:r>
      <w:r>
        <w:rPr>
          <w:rFonts w:cs="Arial"/>
          <w:szCs w:val="22"/>
        </w:rPr>
        <w:t xml:space="preserve">información que permita </w:t>
      </w:r>
      <w:r w:rsidRPr="00A34587">
        <w:rPr>
          <w:rFonts w:cs="Arial"/>
          <w:szCs w:val="22"/>
        </w:rPr>
        <w:t>la evaluación de los programas y/o proyectos que se van a ejecutar.</w:t>
      </w:r>
      <w:r>
        <w:rPr>
          <w:rFonts w:cs="Arial"/>
          <w:szCs w:val="22"/>
        </w:rPr>
        <w:t xml:space="preserve"> Lo anterior, evita </w:t>
      </w:r>
      <w:r w:rsidR="003A51D6">
        <w:rPr>
          <w:rFonts w:cs="Arial"/>
          <w:szCs w:val="22"/>
        </w:rPr>
        <w:t xml:space="preserve">generar la fatiga de auditoria, </w:t>
      </w:r>
      <w:r w:rsidR="00C71F68">
        <w:rPr>
          <w:rFonts w:cs="Arial"/>
          <w:szCs w:val="22"/>
        </w:rPr>
        <w:t>además</w:t>
      </w:r>
      <w:r w:rsidR="00E865FD">
        <w:rPr>
          <w:rFonts w:cs="Arial"/>
          <w:szCs w:val="22"/>
        </w:rPr>
        <w:t xml:space="preserve"> genera</w:t>
      </w:r>
      <w:r>
        <w:rPr>
          <w:rFonts w:cs="Arial"/>
          <w:szCs w:val="22"/>
        </w:rPr>
        <w:t xml:space="preserve"> información para el aseguramiento razonable de la operación. </w:t>
      </w:r>
    </w:p>
    <w:p w14:paraId="7B920660" w14:textId="256E45A4" w:rsidR="006501E6" w:rsidRDefault="006501E6" w:rsidP="00EF48C8">
      <w:pPr>
        <w:pStyle w:val="Prrafodelista"/>
        <w:tabs>
          <w:tab w:val="left" w:pos="720"/>
        </w:tabs>
        <w:ind w:left="0"/>
        <w:jc w:val="both"/>
        <w:rPr>
          <w:rFonts w:cs="Arial"/>
          <w:szCs w:val="22"/>
        </w:rPr>
      </w:pPr>
    </w:p>
    <w:p w14:paraId="1B4A0721" w14:textId="77777777" w:rsidR="00E865FD" w:rsidRDefault="00E865FD" w:rsidP="00EF48C8">
      <w:pPr>
        <w:pStyle w:val="Prrafodelista"/>
        <w:tabs>
          <w:tab w:val="left" w:pos="720"/>
        </w:tabs>
        <w:ind w:left="0"/>
        <w:jc w:val="both"/>
        <w:rPr>
          <w:rFonts w:cs="Arial"/>
          <w:szCs w:val="22"/>
        </w:rPr>
      </w:pPr>
    </w:p>
    <w:p w14:paraId="64B473A3" w14:textId="64A96762" w:rsidR="00A649A4" w:rsidRDefault="00A649A4" w:rsidP="00BF2E54">
      <w:pPr>
        <w:pStyle w:val="Prrafodelista"/>
        <w:numPr>
          <w:ilvl w:val="0"/>
          <w:numId w:val="9"/>
        </w:numPr>
        <w:jc w:val="center"/>
        <w:rPr>
          <w:rFonts w:cs="Arial"/>
          <w:b/>
        </w:rPr>
      </w:pPr>
      <w:r w:rsidRPr="00BF2E54">
        <w:rPr>
          <w:rFonts w:cs="Arial"/>
          <w:b/>
        </w:rPr>
        <w:t>FORTALEZAS EVIDENCIADAS</w:t>
      </w:r>
    </w:p>
    <w:p w14:paraId="746503EF" w14:textId="77777777" w:rsidR="00BA69E7" w:rsidRDefault="00BA69E7" w:rsidP="0035048B">
      <w:pPr>
        <w:pStyle w:val="Prrafodelista"/>
        <w:ind w:left="360"/>
      </w:pPr>
    </w:p>
    <w:p w14:paraId="51335733" w14:textId="52AF3F5A" w:rsidR="005D5F2A" w:rsidRDefault="005D5F2A" w:rsidP="009D3564">
      <w:pPr>
        <w:pStyle w:val="Prrafodelista"/>
        <w:numPr>
          <w:ilvl w:val="0"/>
          <w:numId w:val="27"/>
        </w:numPr>
        <w:ind w:left="426"/>
        <w:jc w:val="both"/>
        <w:rPr>
          <w:rFonts w:cs="Arial"/>
        </w:rPr>
      </w:pPr>
      <w:r>
        <w:rPr>
          <w:rFonts w:cs="Arial"/>
        </w:rPr>
        <w:t>Se ha venido mejorando en la implementación de herramientas que permitan monitorear la ejecución de metas, lo cual se ha traducido en el cumplimiento de las mismas.</w:t>
      </w:r>
    </w:p>
    <w:p w14:paraId="281E303F" w14:textId="3652FDBB" w:rsidR="005D5F2A" w:rsidRDefault="005D5F2A" w:rsidP="009D3564">
      <w:pPr>
        <w:pStyle w:val="Prrafodelista"/>
        <w:numPr>
          <w:ilvl w:val="0"/>
          <w:numId w:val="27"/>
        </w:numPr>
        <w:ind w:left="426"/>
        <w:jc w:val="both"/>
        <w:rPr>
          <w:rFonts w:cs="Arial"/>
        </w:rPr>
      </w:pPr>
      <w:r>
        <w:rPr>
          <w:rFonts w:cs="Arial"/>
        </w:rPr>
        <w:t>Los seguimientos periódicos desarrollados en Comité Directivo en materia de ejecución presupuestal, ha permitido la mejora en este ítem.</w:t>
      </w:r>
    </w:p>
    <w:p w14:paraId="06999E93" w14:textId="5C4B561C" w:rsidR="005D5F2A" w:rsidRPr="005D5F2A" w:rsidRDefault="005D5F2A" w:rsidP="009D3564">
      <w:pPr>
        <w:pStyle w:val="Prrafodelista"/>
        <w:numPr>
          <w:ilvl w:val="0"/>
          <w:numId w:val="27"/>
        </w:numPr>
        <w:ind w:left="426"/>
        <w:jc w:val="both"/>
        <w:rPr>
          <w:rFonts w:cs="Arial"/>
        </w:rPr>
      </w:pPr>
      <w:r w:rsidRPr="005D5F2A">
        <w:rPr>
          <w:rFonts w:cs="Arial"/>
        </w:rPr>
        <w:t xml:space="preserve">La herramienta </w:t>
      </w:r>
      <w:r>
        <w:rPr>
          <w:rFonts w:cs="Arial"/>
        </w:rPr>
        <w:t>para</w:t>
      </w:r>
      <w:r w:rsidRPr="005D5F2A">
        <w:rPr>
          <w:rFonts w:cs="Arial"/>
        </w:rPr>
        <w:t xml:space="preserve"> gesti</w:t>
      </w:r>
      <w:r>
        <w:rPr>
          <w:rFonts w:cs="Arial"/>
        </w:rPr>
        <w:t>o</w:t>
      </w:r>
      <w:r w:rsidRPr="005D5F2A">
        <w:rPr>
          <w:rFonts w:cs="Arial"/>
        </w:rPr>
        <w:t>n</w:t>
      </w:r>
      <w:r>
        <w:rPr>
          <w:rFonts w:cs="Arial"/>
        </w:rPr>
        <w:t>ar el Plan Anual de Adquisiciones,</w:t>
      </w:r>
      <w:r w:rsidRPr="005D5F2A">
        <w:rPr>
          <w:rFonts w:cs="Arial"/>
        </w:rPr>
        <w:t xml:space="preserve"> ha facilitado la consulta, monitoreo y seguimiento de los procesos contractuales</w:t>
      </w:r>
    </w:p>
    <w:p w14:paraId="52B8D313" w14:textId="3197FC12" w:rsidR="00BA69E7" w:rsidRPr="000D30DB" w:rsidRDefault="00BA69E7" w:rsidP="009D3564">
      <w:pPr>
        <w:pStyle w:val="Prrafodelista"/>
        <w:numPr>
          <w:ilvl w:val="0"/>
          <w:numId w:val="27"/>
        </w:numPr>
        <w:ind w:left="426"/>
        <w:jc w:val="both"/>
        <w:rPr>
          <w:rFonts w:cs="Arial"/>
          <w:b/>
        </w:rPr>
      </w:pPr>
      <w:r>
        <w:t>El seguimiento periódico realizado por la Oficina Asesora de Planeación al Plan Anual de Adquisiciones, permite, construir de manera fácil y rápida el seguimiento al POAI.</w:t>
      </w:r>
    </w:p>
    <w:p w14:paraId="2EADFB28" w14:textId="77777777" w:rsidR="000D30DB" w:rsidRDefault="000D30DB" w:rsidP="00E865FD">
      <w:pPr>
        <w:pStyle w:val="Prrafodelista"/>
        <w:jc w:val="both"/>
        <w:rPr>
          <w:rFonts w:cs="Arial"/>
          <w:b/>
        </w:rPr>
      </w:pPr>
    </w:p>
    <w:p w14:paraId="45DD4740" w14:textId="77777777" w:rsidR="009D3564" w:rsidRPr="000D30DB" w:rsidRDefault="009D3564" w:rsidP="00E865FD">
      <w:pPr>
        <w:pStyle w:val="Prrafodelista"/>
        <w:jc w:val="both"/>
        <w:rPr>
          <w:rFonts w:cs="Arial"/>
          <w:b/>
        </w:rPr>
      </w:pPr>
    </w:p>
    <w:p w14:paraId="67B6DDCC" w14:textId="77777777" w:rsidR="00A649A4" w:rsidRDefault="00A649A4" w:rsidP="00BF2E54">
      <w:pPr>
        <w:pStyle w:val="Prrafodelista"/>
        <w:numPr>
          <w:ilvl w:val="0"/>
          <w:numId w:val="9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OBSERVACIONES</w:t>
      </w:r>
    </w:p>
    <w:p w14:paraId="3D644DDF" w14:textId="77777777" w:rsidR="00B437AA" w:rsidRDefault="00B437AA" w:rsidP="006976A0">
      <w:pPr>
        <w:pStyle w:val="Prrafodelista"/>
        <w:ind w:left="360"/>
        <w:jc w:val="both"/>
        <w:rPr>
          <w:rFonts w:cs="Arial"/>
          <w:b/>
        </w:rPr>
      </w:pPr>
    </w:p>
    <w:p w14:paraId="4E572B6A" w14:textId="77777777" w:rsidR="00CE7FA5" w:rsidRDefault="00CE7FA5" w:rsidP="00CE7FA5">
      <w:pPr>
        <w:pStyle w:val="Prrafodelista"/>
        <w:numPr>
          <w:ilvl w:val="0"/>
          <w:numId w:val="27"/>
        </w:numPr>
        <w:ind w:left="426"/>
        <w:jc w:val="both"/>
      </w:pPr>
      <w:r>
        <w:t>Bajo nivel de cumplimiento en la meta física “</w:t>
      </w:r>
      <w:r w:rsidRPr="00CE7FA5">
        <w:t>3. Implementar el 100 por ciento de las Estrategias de Fortalecimiento de la Comunicación Pública</w:t>
      </w:r>
      <w:r>
        <w:t>” del proyecto 7597</w:t>
      </w:r>
    </w:p>
    <w:p w14:paraId="05AB65FA" w14:textId="11E2FE44" w:rsidR="00CE7FA5" w:rsidRPr="00CE7FA5" w:rsidRDefault="00CE7FA5" w:rsidP="00CE7FA5">
      <w:pPr>
        <w:pStyle w:val="Prrafodelista"/>
        <w:numPr>
          <w:ilvl w:val="0"/>
          <w:numId w:val="27"/>
        </w:numPr>
        <w:ind w:left="426"/>
        <w:jc w:val="both"/>
      </w:pPr>
      <w:r>
        <w:t>Bajo nivel de ejecución financiera de la meta “</w:t>
      </w:r>
      <w:r w:rsidRPr="00CE7FA5">
        <w:t>1. Crear 1 espacio que integre Dimensiones Patrimoniales y de Memoria en la ciudad</w:t>
      </w:r>
      <w:r>
        <w:t>” del proyecto 7612</w:t>
      </w:r>
    </w:p>
    <w:p w14:paraId="3AEEA2F2" w14:textId="77777777" w:rsidR="009D3564" w:rsidRPr="009D3564" w:rsidRDefault="009D3564" w:rsidP="009D3564">
      <w:pPr>
        <w:ind w:left="66"/>
        <w:jc w:val="both"/>
        <w:rPr>
          <w:rFonts w:cs="Arial"/>
          <w:b/>
        </w:rPr>
      </w:pPr>
    </w:p>
    <w:p w14:paraId="4DF5D9B0" w14:textId="77777777" w:rsidR="007B2469" w:rsidRDefault="007B2469" w:rsidP="007B2469">
      <w:pPr>
        <w:pStyle w:val="Prrafodelista"/>
        <w:rPr>
          <w:rFonts w:cs="Arial"/>
          <w:b/>
        </w:rPr>
      </w:pPr>
    </w:p>
    <w:p w14:paraId="431EEBB4" w14:textId="77777777" w:rsidR="00A649A4" w:rsidRDefault="00A649A4" w:rsidP="00BF2E54">
      <w:pPr>
        <w:pStyle w:val="Prrafodelista"/>
        <w:numPr>
          <w:ilvl w:val="0"/>
          <w:numId w:val="9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NO CONFORMIDADES DETECTADAS</w:t>
      </w:r>
    </w:p>
    <w:p w14:paraId="732B67F9" w14:textId="77777777" w:rsidR="000C1B65" w:rsidRPr="000C1B65" w:rsidRDefault="000C1B65" w:rsidP="002F368B">
      <w:pPr>
        <w:jc w:val="both"/>
        <w:rPr>
          <w:rFonts w:cs="Arial"/>
          <w:b/>
        </w:rPr>
      </w:pPr>
    </w:p>
    <w:p w14:paraId="5A9F4225" w14:textId="6FBE8B7C" w:rsidR="002F368B" w:rsidRDefault="00D05510" w:rsidP="009D3564">
      <w:pPr>
        <w:pStyle w:val="Prrafodelista"/>
        <w:numPr>
          <w:ilvl w:val="0"/>
          <w:numId w:val="29"/>
        </w:numPr>
        <w:ind w:left="426"/>
        <w:jc w:val="both"/>
        <w:rPr>
          <w:rFonts w:cs="Arial"/>
          <w:szCs w:val="22"/>
          <w:lang w:val="es-MX"/>
        </w:rPr>
      </w:pPr>
      <w:r>
        <w:rPr>
          <w:rFonts w:cs="Arial"/>
        </w:rPr>
        <w:t>No se evidencian</w:t>
      </w:r>
    </w:p>
    <w:p w14:paraId="1D6920A3" w14:textId="77777777" w:rsidR="0054369E" w:rsidRPr="00C71F68" w:rsidRDefault="0054369E" w:rsidP="00C71F68">
      <w:pPr>
        <w:ind w:left="720"/>
        <w:rPr>
          <w:rFonts w:cs="Arial"/>
          <w:b/>
        </w:rPr>
      </w:pPr>
    </w:p>
    <w:p w14:paraId="6DC1957D" w14:textId="77777777" w:rsidR="00FE04EE" w:rsidRPr="007E187A" w:rsidRDefault="00FE04EE" w:rsidP="0054369E">
      <w:pPr>
        <w:pStyle w:val="Prrafodelista"/>
        <w:ind w:left="360"/>
        <w:rPr>
          <w:rFonts w:cs="Arial"/>
          <w:b/>
        </w:rPr>
      </w:pPr>
    </w:p>
    <w:p w14:paraId="3B4EEE01" w14:textId="77777777" w:rsidR="00A649A4" w:rsidRDefault="00A649A4" w:rsidP="00BF2E54">
      <w:pPr>
        <w:pStyle w:val="Prrafodelista"/>
        <w:numPr>
          <w:ilvl w:val="0"/>
          <w:numId w:val="9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CONCLUSIÓN GENERAL</w:t>
      </w:r>
    </w:p>
    <w:p w14:paraId="7971C29C" w14:textId="77777777" w:rsidR="00CE6C99" w:rsidRDefault="00CE6C99" w:rsidP="00D05510">
      <w:pPr>
        <w:jc w:val="both"/>
        <w:rPr>
          <w:rFonts w:cs="Arial"/>
          <w:b/>
        </w:rPr>
      </w:pPr>
    </w:p>
    <w:p w14:paraId="3AF2044D" w14:textId="0AC3CEE9" w:rsidR="0054369E" w:rsidRPr="00D05510" w:rsidRDefault="00FC636D" w:rsidP="00D05510">
      <w:pPr>
        <w:jc w:val="both"/>
        <w:rPr>
          <w:rFonts w:cs="Arial"/>
        </w:rPr>
      </w:pPr>
      <w:r w:rsidRPr="00D05510">
        <w:rPr>
          <w:rFonts w:cs="Arial"/>
        </w:rPr>
        <w:t xml:space="preserve">En </w:t>
      </w:r>
      <w:r w:rsidR="00290FEE" w:rsidRPr="00D05510">
        <w:rPr>
          <w:rFonts w:cs="Arial"/>
        </w:rPr>
        <w:t>término</w:t>
      </w:r>
      <w:r w:rsidR="00E05551" w:rsidRPr="00D05510">
        <w:rPr>
          <w:rFonts w:cs="Arial"/>
        </w:rPr>
        <w:t>s</w:t>
      </w:r>
      <w:r w:rsidRPr="00D05510">
        <w:rPr>
          <w:rFonts w:cs="Arial"/>
        </w:rPr>
        <w:t xml:space="preserve"> generales se evidencia</w:t>
      </w:r>
      <w:r w:rsidR="002A2375" w:rsidRPr="00D05510">
        <w:rPr>
          <w:rFonts w:cs="Arial"/>
        </w:rPr>
        <w:t xml:space="preserve"> </w:t>
      </w:r>
      <w:r w:rsidR="00290FEE" w:rsidRPr="00D05510">
        <w:rPr>
          <w:rFonts w:cs="Arial"/>
        </w:rPr>
        <w:t>cumplimiento</w:t>
      </w:r>
      <w:r w:rsidR="00D05510">
        <w:rPr>
          <w:rFonts w:cs="Arial"/>
        </w:rPr>
        <w:t xml:space="preserve"> en nivel satisfactorio, tanto</w:t>
      </w:r>
      <w:r w:rsidR="00290FEE" w:rsidRPr="00D05510">
        <w:rPr>
          <w:rFonts w:cs="Arial"/>
        </w:rPr>
        <w:t xml:space="preserve"> de </w:t>
      </w:r>
      <w:r w:rsidR="002A2375" w:rsidRPr="00D05510">
        <w:rPr>
          <w:rFonts w:cs="Arial"/>
        </w:rPr>
        <w:t>las metas físicas</w:t>
      </w:r>
      <w:r w:rsidR="00D05510">
        <w:rPr>
          <w:rFonts w:cs="Arial"/>
        </w:rPr>
        <w:t>, como las</w:t>
      </w:r>
      <w:r w:rsidR="00290FEE" w:rsidRPr="00D05510">
        <w:rPr>
          <w:rFonts w:cs="Arial"/>
        </w:rPr>
        <w:t xml:space="preserve"> presupuestales</w:t>
      </w:r>
      <w:r w:rsidRPr="00D05510">
        <w:rPr>
          <w:rFonts w:cs="Arial"/>
        </w:rPr>
        <w:t xml:space="preserve"> </w:t>
      </w:r>
      <w:r w:rsidR="00D05510">
        <w:rPr>
          <w:rFonts w:cs="Arial"/>
        </w:rPr>
        <w:t xml:space="preserve">a cargo del IDPC, </w:t>
      </w:r>
      <w:r w:rsidR="00CE7FA5">
        <w:rPr>
          <w:rFonts w:cs="Arial"/>
        </w:rPr>
        <w:t>a excepción de lo observado. D</w:t>
      </w:r>
      <w:r w:rsidR="00D05510">
        <w:rPr>
          <w:rFonts w:cs="Arial"/>
        </w:rPr>
        <w:t>e igual manera, se evidencia el manejo adecuado de las herramientas de planeación disponibles.</w:t>
      </w:r>
    </w:p>
    <w:p w14:paraId="486ACD51" w14:textId="77777777" w:rsidR="009D3564" w:rsidRPr="009D3564" w:rsidRDefault="009D3564" w:rsidP="009D3564">
      <w:pPr>
        <w:jc w:val="both"/>
        <w:rPr>
          <w:rFonts w:cs="Arial"/>
        </w:rPr>
      </w:pPr>
    </w:p>
    <w:p w14:paraId="719BCDC5" w14:textId="77777777" w:rsidR="0054369E" w:rsidRPr="007E187A" w:rsidRDefault="0054369E" w:rsidP="0054369E">
      <w:pPr>
        <w:pStyle w:val="Prrafodelista"/>
        <w:ind w:left="360"/>
        <w:rPr>
          <w:rFonts w:cs="Arial"/>
          <w:b/>
        </w:rPr>
      </w:pPr>
    </w:p>
    <w:p w14:paraId="47652494" w14:textId="77777777" w:rsidR="00A649A4" w:rsidRDefault="00A649A4" w:rsidP="00BF2E54">
      <w:pPr>
        <w:pStyle w:val="Prrafodelista"/>
        <w:numPr>
          <w:ilvl w:val="0"/>
          <w:numId w:val="9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RECOMENDACIONES</w:t>
      </w:r>
    </w:p>
    <w:p w14:paraId="5EE5CA00" w14:textId="77777777" w:rsidR="005D36E9" w:rsidRDefault="005D36E9" w:rsidP="0054369E">
      <w:pPr>
        <w:pStyle w:val="Prrafodelista"/>
        <w:ind w:left="360"/>
        <w:jc w:val="both"/>
        <w:rPr>
          <w:rFonts w:cs="Arial"/>
        </w:rPr>
      </w:pPr>
    </w:p>
    <w:p w14:paraId="772C39E0" w14:textId="718D7320" w:rsidR="00CE7FA5" w:rsidRPr="00CE7FA5" w:rsidRDefault="00CE7FA5" w:rsidP="00D05510">
      <w:pPr>
        <w:pStyle w:val="Prrafodelista"/>
        <w:numPr>
          <w:ilvl w:val="0"/>
          <w:numId w:val="26"/>
        </w:numPr>
        <w:ind w:left="426"/>
        <w:jc w:val="both"/>
        <w:rPr>
          <w:rFonts w:cs="Arial"/>
        </w:rPr>
      </w:pPr>
      <w:r w:rsidRPr="00CE7FA5">
        <w:rPr>
          <w:rFonts w:cs="Arial"/>
        </w:rPr>
        <w:t>Verificar las causas del no cumplimiento de las metas programadas y establecer las acciones que conlleven a su cumplimiento.</w:t>
      </w:r>
    </w:p>
    <w:p w14:paraId="4134580B" w14:textId="0B0FC604" w:rsidR="008F7354" w:rsidRPr="007B3ED5" w:rsidRDefault="00D05510" w:rsidP="00D05510">
      <w:pPr>
        <w:pStyle w:val="Prrafodelista"/>
        <w:numPr>
          <w:ilvl w:val="0"/>
          <w:numId w:val="26"/>
        </w:numPr>
        <w:ind w:left="426"/>
        <w:jc w:val="both"/>
        <w:rPr>
          <w:rFonts w:cs="Arial"/>
          <w:b/>
        </w:rPr>
      </w:pPr>
      <w:r>
        <w:rPr>
          <w:rFonts w:cs="Arial"/>
        </w:rPr>
        <w:t>Mantener</w:t>
      </w:r>
      <w:r w:rsidR="00F536A4" w:rsidRPr="007B3ED5">
        <w:rPr>
          <w:rFonts w:cs="Arial"/>
        </w:rPr>
        <w:t xml:space="preserve"> los controles establecidos para el cumplimiento de las metas </w:t>
      </w:r>
      <w:r w:rsidR="007B3ED5" w:rsidRPr="007B3ED5">
        <w:rPr>
          <w:rFonts w:cs="Arial"/>
        </w:rPr>
        <w:t xml:space="preserve">físicas </w:t>
      </w:r>
      <w:r w:rsidR="00F536A4" w:rsidRPr="007B3ED5">
        <w:rPr>
          <w:rFonts w:cs="Arial"/>
        </w:rPr>
        <w:t xml:space="preserve">y </w:t>
      </w:r>
      <w:r w:rsidR="007B3ED5">
        <w:rPr>
          <w:rFonts w:cs="Arial"/>
        </w:rPr>
        <w:t>financiera</w:t>
      </w:r>
      <w:r w:rsidR="00F536A4" w:rsidRPr="007B3ED5">
        <w:rPr>
          <w:rFonts w:cs="Arial"/>
        </w:rPr>
        <w:t>s</w:t>
      </w:r>
      <w:r w:rsidR="007B3ED5">
        <w:rPr>
          <w:rFonts w:cs="Arial"/>
        </w:rPr>
        <w:t>, así como, del reporte de información en el seguimiento al PAA y POAI.</w:t>
      </w:r>
    </w:p>
    <w:p w14:paraId="45CB11A9" w14:textId="01D0F4A8" w:rsidR="008F7354" w:rsidRPr="009D3564" w:rsidRDefault="008F7354" w:rsidP="00D05510">
      <w:pPr>
        <w:pStyle w:val="Prrafodelista"/>
        <w:numPr>
          <w:ilvl w:val="0"/>
          <w:numId w:val="26"/>
        </w:numPr>
        <w:ind w:left="426"/>
        <w:jc w:val="both"/>
        <w:rPr>
          <w:rFonts w:cs="Arial"/>
          <w:b/>
        </w:rPr>
      </w:pPr>
      <w:r>
        <w:rPr>
          <w:rFonts w:cs="Arial"/>
        </w:rPr>
        <w:t xml:space="preserve">Continuar con el monitoreo </w:t>
      </w:r>
      <w:r w:rsidR="004B3414">
        <w:rPr>
          <w:rFonts w:cs="Arial"/>
        </w:rPr>
        <w:t xml:space="preserve">constante y periódico al seguimiento </w:t>
      </w:r>
      <w:r w:rsidR="000B1DEA">
        <w:rPr>
          <w:rFonts w:cs="Arial"/>
        </w:rPr>
        <w:t>presupuestal y</w:t>
      </w:r>
      <w:r w:rsidR="004B3414">
        <w:rPr>
          <w:rFonts w:cs="Arial"/>
        </w:rPr>
        <w:t xml:space="preserve"> de metas físicas de los proyectos de inversión. </w:t>
      </w:r>
    </w:p>
    <w:p w14:paraId="540EDC4B" w14:textId="77777777" w:rsidR="009D3564" w:rsidRPr="009D3564" w:rsidRDefault="009D3564" w:rsidP="009D3564">
      <w:pPr>
        <w:jc w:val="both"/>
        <w:rPr>
          <w:rFonts w:cs="Arial"/>
          <w:b/>
        </w:rPr>
      </w:pPr>
    </w:p>
    <w:p w14:paraId="43199DB0" w14:textId="77777777" w:rsidR="00A649A4" w:rsidRPr="00A649A4" w:rsidRDefault="00A649A4" w:rsidP="00A649A4">
      <w:pPr>
        <w:ind w:left="360"/>
        <w:rPr>
          <w:rFonts w:cs="Arial"/>
          <w:b/>
        </w:rPr>
      </w:pPr>
    </w:p>
    <w:p w14:paraId="4C5124DE" w14:textId="77777777" w:rsidR="007E187A" w:rsidRPr="007E187A" w:rsidRDefault="007E187A" w:rsidP="00AD1023">
      <w:pPr>
        <w:rPr>
          <w:rFonts w:cs="Arial"/>
          <w:b/>
        </w:rPr>
      </w:pPr>
    </w:p>
    <w:sectPr w:rsidR="007E187A" w:rsidRPr="007E187A" w:rsidSect="006E029F">
      <w:type w:val="continuous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A65B" w14:textId="77777777" w:rsidR="00BA083E" w:rsidRDefault="00BA083E" w:rsidP="00106E49">
      <w:r>
        <w:separator/>
      </w:r>
    </w:p>
  </w:endnote>
  <w:endnote w:type="continuationSeparator" w:id="0">
    <w:p w14:paraId="1979F2C9" w14:textId="77777777" w:rsidR="00BA083E" w:rsidRDefault="00BA083E" w:rsidP="001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FE04EE" w14:paraId="4649E5C5" w14:textId="77777777" w:rsidTr="00455B38">
      <w:tc>
        <w:tcPr>
          <w:tcW w:w="2942" w:type="dxa"/>
        </w:tcPr>
        <w:p w14:paraId="5B4A80BF" w14:textId="260E9B2A" w:rsidR="00FE04EE" w:rsidRPr="00455B38" w:rsidRDefault="00FE04EE" w:rsidP="001D2412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 03</w:t>
          </w:r>
          <w:r w:rsidRPr="00455B38">
            <w:rPr>
              <w:sz w:val="18"/>
              <w:szCs w:val="18"/>
            </w:rPr>
            <w:t xml:space="preserve">   3</w:t>
          </w:r>
          <w:r>
            <w:rPr>
              <w:sz w:val="18"/>
              <w:szCs w:val="18"/>
            </w:rPr>
            <w:t>1</w:t>
          </w:r>
          <w:r w:rsidRPr="00455B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12</w:t>
          </w:r>
          <w:r w:rsidRPr="00455B38">
            <w:rPr>
              <w:sz w:val="18"/>
              <w:szCs w:val="18"/>
            </w:rPr>
            <w:t>/2020</w:t>
          </w:r>
        </w:p>
      </w:tc>
      <w:tc>
        <w:tcPr>
          <w:tcW w:w="2943" w:type="dxa"/>
        </w:tcPr>
        <w:p w14:paraId="543A11A7" w14:textId="77777777" w:rsidR="00FE04EE" w:rsidRDefault="00FE04EE">
          <w:pPr>
            <w:pStyle w:val="Piedepgina"/>
          </w:pPr>
        </w:p>
      </w:tc>
      <w:tc>
        <w:tcPr>
          <w:tcW w:w="2943" w:type="dxa"/>
        </w:tcPr>
        <w:p w14:paraId="52C40D95" w14:textId="77777777" w:rsidR="00FE04EE" w:rsidRDefault="00FE04EE">
          <w:pPr>
            <w:pStyle w:val="Piedepgina"/>
          </w:pPr>
        </w:p>
      </w:tc>
    </w:tr>
  </w:tbl>
  <w:p w14:paraId="5B4AE9E1" w14:textId="77777777" w:rsidR="00FE04EE" w:rsidRPr="00455B38" w:rsidRDefault="00FE04EE" w:rsidP="00455B38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5B76" w14:textId="77777777" w:rsidR="00BA083E" w:rsidRDefault="00BA083E" w:rsidP="00106E49">
      <w:r>
        <w:separator/>
      </w:r>
    </w:p>
  </w:footnote>
  <w:footnote w:type="continuationSeparator" w:id="0">
    <w:p w14:paraId="476D8604" w14:textId="77777777" w:rsidR="00BA083E" w:rsidRDefault="00BA083E" w:rsidP="0010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412"/>
      <w:gridCol w:w="4395"/>
      <w:gridCol w:w="3021"/>
    </w:tblGrid>
    <w:tr w:rsidR="00FE04EE" w14:paraId="17F55E8E" w14:textId="77777777" w:rsidTr="00F1402C">
      <w:trPr>
        <w:trHeight w:val="268"/>
      </w:trPr>
      <w:tc>
        <w:tcPr>
          <w:tcW w:w="800" w:type="pct"/>
          <w:vMerge w:val="restart"/>
          <w:vAlign w:val="center"/>
        </w:tcPr>
        <w:p w14:paraId="7FFF3766" w14:textId="301B7BC8" w:rsidR="00FE04EE" w:rsidRDefault="00FE04EE" w:rsidP="00455B3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96869BF" wp14:editId="0EE6423E">
                <wp:extent cx="775970" cy="672465"/>
                <wp:effectExtent l="0" t="0" r="0" b="635"/>
                <wp:docPr id="4" name="image1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IDPCBYN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14:paraId="7CFD37E4" w14:textId="6B6BB5CD" w:rsidR="00FE04EE" w:rsidRPr="002F1F7E" w:rsidRDefault="00FE04EE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2F1F7E">
            <w:rPr>
              <w:b/>
              <w:bCs/>
              <w:sz w:val="18"/>
              <w:szCs w:val="18"/>
            </w:rPr>
            <w:t>INSTITUTO DISTRITAL DE PATRIMONIO CULTURAL</w:t>
          </w:r>
        </w:p>
      </w:tc>
      <w:tc>
        <w:tcPr>
          <w:tcW w:w="1711" w:type="pct"/>
          <w:vMerge w:val="restart"/>
          <w:vAlign w:val="center"/>
        </w:tcPr>
        <w:p w14:paraId="22B738FF" w14:textId="77777777" w:rsidR="00FE04EE" w:rsidRPr="00C2554A" w:rsidRDefault="00FE04EE" w:rsidP="00455B38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*20221200114503*</w:t>
          </w:r>
        </w:p>
        <w:p w14:paraId="6A124EDA" w14:textId="375563B4" w:rsidR="00FE04EE" w:rsidRDefault="00FE04EE" w:rsidP="00455B38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20221200114503</w:t>
          </w:r>
        </w:p>
        <w:p w14:paraId="5B67E539" w14:textId="77777777" w:rsidR="00FE04EE" w:rsidRDefault="00FE04EE" w:rsidP="00455B38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Fecha: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19-08-2022</w:t>
          </w:r>
        </w:p>
        <w:p w14:paraId="19561F24" w14:textId="3099510B" w:rsidR="00FE04EE" w:rsidRDefault="00FE04EE" w:rsidP="00455B38">
          <w:pPr>
            <w:pStyle w:val="Encabezado"/>
            <w:jc w:val="right"/>
          </w:pPr>
          <w:r w:rsidRPr="006C56C7">
            <w:rPr>
              <w:rFonts w:cs="Arial"/>
              <w:sz w:val="18"/>
              <w:szCs w:val="18"/>
              <w:lang w:val="en-US"/>
            </w:rPr>
            <w:t xml:space="preserve">Pág.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PAGE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2A43D5">
            <w:rPr>
              <w:rFonts w:cs="Arial"/>
              <w:noProof/>
              <w:sz w:val="18"/>
              <w:szCs w:val="18"/>
            </w:rPr>
            <w:t>1</w:t>
          </w:r>
          <w:r w:rsidRPr="006C56C7">
            <w:rPr>
              <w:rFonts w:cs="Arial"/>
              <w:sz w:val="18"/>
              <w:szCs w:val="18"/>
            </w:rPr>
            <w:fldChar w:fldCharType="end"/>
          </w:r>
          <w:r w:rsidRPr="006C56C7">
            <w:rPr>
              <w:rFonts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NUMPAGES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2A43D5">
            <w:rPr>
              <w:rFonts w:cs="Arial"/>
              <w:noProof/>
              <w:sz w:val="18"/>
              <w:szCs w:val="18"/>
            </w:rPr>
            <w:t>3</w:t>
          </w:r>
          <w:r w:rsidRPr="006C56C7">
            <w:rPr>
              <w:rFonts w:cs="Arial"/>
              <w:sz w:val="18"/>
              <w:szCs w:val="18"/>
            </w:rPr>
            <w:fldChar w:fldCharType="end"/>
          </w:r>
        </w:p>
      </w:tc>
    </w:tr>
    <w:tr w:rsidR="00FE04EE" w14:paraId="08F8725E" w14:textId="77777777" w:rsidTr="00F1402C">
      <w:trPr>
        <w:trHeight w:val="343"/>
      </w:trPr>
      <w:tc>
        <w:tcPr>
          <w:tcW w:w="800" w:type="pct"/>
          <w:vMerge/>
          <w:vAlign w:val="center"/>
        </w:tcPr>
        <w:p w14:paraId="657EB559" w14:textId="77777777" w:rsidR="00FE04EE" w:rsidRDefault="00FE04EE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48FFF810" w14:textId="1FEBDBD4" w:rsidR="00FE04EE" w:rsidRPr="002F1F7E" w:rsidRDefault="00FE04EE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PROCESO DE SEGUIMIENTO Y EVALUACIÓN</w:t>
          </w:r>
        </w:p>
      </w:tc>
      <w:tc>
        <w:tcPr>
          <w:tcW w:w="1711" w:type="pct"/>
          <w:vMerge/>
          <w:vAlign w:val="center"/>
        </w:tcPr>
        <w:p w14:paraId="1EDC6AC3" w14:textId="77777777" w:rsidR="00FE04EE" w:rsidRDefault="00FE04EE" w:rsidP="00455B38">
          <w:pPr>
            <w:pStyle w:val="Encabezado"/>
            <w:jc w:val="center"/>
          </w:pPr>
        </w:p>
      </w:tc>
    </w:tr>
    <w:tr w:rsidR="00FE04EE" w14:paraId="3DC35361" w14:textId="77777777" w:rsidTr="00F1402C">
      <w:tc>
        <w:tcPr>
          <w:tcW w:w="800" w:type="pct"/>
          <w:vMerge/>
          <w:vAlign w:val="center"/>
        </w:tcPr>
        <w:p w14:paraId="581663E7" w14:textId="77777777" w:rsidR="00FE04EE" w:rsidRDefault="00FE04EE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6E036EAE" w14:textId="216961A6" w:rsidR="00FE04EE" w:rsidRPr="002F1F7E" w:rsidRDefault="00FE04EE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5782D">
            <w:rPr>
              <w:b/>
              <w:bCs/>
              <w:sz w:val="18"/>
              <w:szCs w:val="18"/>
            </w:rPr>
            <w:t>INFORME DE SEGUIMIENTO Y/O EVALUACIÓN</w:t>
          </w:r>
        </w:p>
      </w:tc>
      <w:tc>
        <w:tcPr>
          <w:tcW w:w="1711" w:type="pct"/>
          <w:vMerge/>
          <w:vAlign w:val="center"/>
        </w:tcPr>
        <w:p w14:paraId="14B9FA48" w14:textId="77777777" w:rsidR="00FE04EE" w:rsidRDefault="00FE04EE" w:rsidP="00455B38">
          <w:pPr>
            <w:pStyle w:val="Encabezado"/>
            <w:jc w:val="center"/>
          </w:pPr>
        </w:p>
      </w:tc>
    </w:tr>
  </w:tbl>
  <w:p w14:paraId="1D78BD1D" w14:textId="77777777" w:rsidR="00FE04EE" w:rsidRDefault="00FE0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95"/>
    <w:multiLevelType w:val="multilevel"/>
    <w:tmpl w:val="7B329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465B01"/>
    <w:multiLevelType w:val="hybridMultilevel"/>
    <w:tmpl w:val="9C168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6C0C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032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32EED"/>
    <w:multiLevelType w:val="hybridMultilevel"/>
    <w:tmpl w:val="06880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3CAC"/>
    <w:multiLevelType w:val="hybridMultilevel"/>
    <w:tmpl w:val="A17EDD0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15106"/>
    <w:multiLevelType w:val="hybridMultilevel"/>
    <w:tmpl w:val="F19A2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49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60290"/>
    <w:multiLevelType w:val="hybridMultilevel"/>
    <w:tmpl w:val="2F0C373E"/>
    <w:lvl w:ilvl="0" w:tplc="240A000B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3536124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093D4B"/>
    <w:multiLevelType w:val="hybridMultilevel"/>
    <w:tmpl w:val="C81EBA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2AC3"/>
    <w:multiLevelType w:val="multilevel"/>
    <w:tmpl w:val="78C494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1" w15:restartNumberingAfterBreak="0">
    <w:nsid w:val="3D77403D"/>
    <w:multiLevelType w:val="hybridMultilevel"/>
    <w:tmpl w:val="6616CDD0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D966F4F"/>
    <w:multiLevelType w:val="hybridMultilevel"/>
    <w:tmpl w:val="5112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65CE"/>
    <w:multiLevelType w:val="hybridMultilevel"/>
    <w:tmpl w:val="5C242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5450"/>
    <w:multiLevelType w:val="hybridMultilevel"/>
    <w:tmpl w:val="F20A18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424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4E47C7"/>
    <w:multiLevelType w:val="multilevel"/>
    <w:tmpl w:val="C09481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8E34C2"/>
    <w:multiLevelType w:val="multilevel"/>
    <w:tmpl w:val="1F18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732C74"/>
    <w:multiLevelType w:val="hybridMultilevel"/>
    <w:tmpl w:val="48EAAF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D379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33BA5"/>
    <w:multiLevelType w:val="hybridMultilevel"/>
    <w:tmpl w:val="CA407A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E51D3"/>
    <w:multiLevelType w:val="multilevel"/>
    <w:tmpl w:val="C61E21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852598"/>
    <w:multiLevelType w:val="hybridMultilevel"/>
    <w:tmpl w:val="01F688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4710"/>
    <w:multiLevelType w:val="hybridMultilevel"/>
    <w:tmpl w:val="FE06EF7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E312D"/>
    <w:multiLevelType w:val="hybridMultilevel"/>
    <w:tmpl w:val="AF1C6F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11E4"/>
    <w:multiLevelType w:val="multilevel"/>
    <w:tmpl w:val="27CAC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71412"/>
    <w:multiLevelType w:val="hybridMultilevel"/>
    <w:tmpl w:val="4C62E2C0"/>
    <w:lvl w:ilvl="0" w:tplc="427843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7843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465"/>
    <w:multiLevelType w:val="hybridMultilevel"/>
    <w:tmpl w:val="8B02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F73E1"/>
    <w:multiLevelType w:val="multilevel"/>
    <w:tmpl w:val="7B329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6A68D1"/>
    <w:multiLevelType w:val="hybridMultilevel"/>
    <w:tmpl w:val="D5D61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E30E2"/>
    <w:multiLevelType w:val="hybridMultilevel"/>
    <w:tmpl w:val="FC5E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9"/>
  </w:num>
  <w:num w:numId="5">
    <w:abstractNumId w:val="30"/>
  </w:num>
  <w:num w:numId="6">
    <w:abstractNumId w:val="3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11"/>
  </w:num>
  <w:num w:numId="13">
    <w:abstractNumId w:val="2"/>
  </w:num>
  <w:num w:numId="14">
    <w:abstractNumId w:val="21"/>
  </w:num>
  <w:num w:numId="15">
    <w:abstractNumId w:val="8"/>
  </w:num>
  <w:num w:numId="16">
    <w:abstractNumId w:val="15"/>
  </w:num>
  <w:num w:numId="17">
    <w:abstractNumId w:val="10"/>
  </w:num>
  <w:num w:numId="18">
    <w:abstractNumId w:val="16"/>
  </w:num>
  <w:num w:numId="19">
    <w:abstractNumId w:val="25"/>
  </w:num>
  <w:num w:numId="20">
    <w:abstractNumId w:val="28"/>
  </w:num>
  <w:num w:numId="21">
    <w:abstractNumId w:val="0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5"/>
  </w:num>
  <w:num w:numId="27">
    <w:abstractNumId w:val="14"/>
  </w:num>
  <w:num w:numId="28">
    <w:abstractNumId w:val="20"/>
  </w:num>
  <w:num w:numId="29">
    <w:abstractNumId w:val="4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5"/>
    <w:rsid w:val="00001400"/>
    <w:rsid w:val="000050A5"/>
    <w:rsid w:val="000055DE"/>
    <w:rsid w:val="00006EBC"/>
    <w:rsid w:val="00007127"/>
    <w:rsid w:val="000109F6"/>
    <w:rsid w:val="000120FB"/>
    <w:rsid w:val="00014E3D"/>
    <w:rsid w:val="000332AB"/>
    <w:rsid w:val="000468CA"/>
    <w:rsid w:val="00062066"/>
    <w:rsid w:val="00063EC1"/>
    <w:rsid w:val="000752C5"/>
    <w:rsid w:val="000812F2"/>
    <w:rsid w:val="0008165F"/>
    <w:rsid w:val="00093E7D"/>
    <w:rsid w:val="000961F8"/>
    <w:rsid w:val="00096DD1"/>
    <w:rsid w:val="00097C7B"/>
    <w:rsid w:val="000A2A56"/>
    <w:rsid w:val="000B05FE"/>
    <w:rsid w:val="000B1DEA"/>
    <w:rsid w:val="000B3808"/>
    <w:rsid w:val="000B3B6E"/>
    <w:rsid w:val="000B4F64"/>
    <w:rsid w:val="000C1B65"/>
    <w:rsid w:val="000D30DB"/>
    <w:rsid w:val="000F4FA7"/>
    <w:rsid w:val="000F64F2"/>
    <w:rsid w:val="000F6884"/>
    <w:rsid w:val="00106E49"/>
    <w:rsid w:val="00120854"/>
    <w:rsid w:val="00120E82"/>
    <w:rsid w:val="00121FD4"/>
    <w:rsid w:val="00127B55"/>
    <w:rsid w:val="00132DA8"/>
    <w:rsid w:val="00150D29"/>
    <w:rsid w:val="001513C7"/>
    <w:rsid w:val="001601E9"/>
    <w:rsid w:val="0016021F"/>
    <w:rsid w:val="00172F30"/>
    <w:rsid w:val="001845A0"/>
    <w:rsid w:val="00194711"/>
    <w:rsid w:val="001B2B16"/>
    <w:rsid w:val="001B32E9"/>
    <w:rsid w:val="001C69FE"/>
    <w:rsid w:val="001C79B0"/>
    <w:rsid w:val="001D07A6"/>
    <w:rsid w:val="001D2412"/>
    <w:rsid w:val="001F32F9"/>
    <w:rsid w:val="001F7174"/>
    <w:rsid w:val="002037AB"/>
    <w:rsid w:val="00215F1A"/>
    <w:rsid w:val="00224A31"/>
    <w:rsid w:val="00231651"/>
    <w:rsid w:val="00240B50"/>
    <w:rsid w:val="00243FA4"/>
    <w:rsid w:val="002554D8"/>
    <w:rsid w:val="00267F04"/>
    <w:rsid w:val="002748BD"/>
    <w:rsid w:val="002845F2"/>
    <w:rsid w:val="00284723"/>
    <w:rsid w:val="00290FEE"/>
    <w:rsid w:val="002A2375"/>
    <w:rsid w:val="002A43D5"/>
    <w:rsid w:val="002C1C5E"/>
    <w:rsid w:val="002D70E8"/>
    <w:rsid w:val="002F1F7E"/>
    <w:rsid w:val="002F368B"/>
    <w:rsid w:val="002F47CF"/>
    <w:rsid w:val="00301810"/>
    <w:rsid w:val="00310A9C"/>
    <w:rsid w:val="00316A80"/>
    <w:rsid w:val="00320073"/>
    <w:rsid w:val="00327E3E"/>
    <w:rsid w:val="00330D90"/>
    <w:rsid w:val="00340FAE"/>
    <w:rsid w:val="00345FAA"/>
    <w:rsid w:val="0035008C"/>
    <w:rsid w:val="0035048B"/>
    <w:rsid w:val="00352506"/>
    <w:rsid w:val="00357182"/>
    <w:rsid w:val="0035775A"/>
    <w:rsid w:val="0036199B"/>
    <w:rsid w:val="0036563E"/>
    <w:rsid w:val="00374AAE"/>
    <w:rsid w:val="00377826"/>
    <w:rsid w:val="00392574"/>
    <w:rsid w:val="003A51D6"/>
    <w:rsid w:val="003A7890"/>
    <w:rsid w:val="003C420E"/>
    <w:rsid w:val="003D0B81"/>
    <w:rsid w:val="003D316D"/>
    <w:rsid w:val="003D5CA2"/>
    <w:rsid w:val="003E3A38"/>
    <w:rsid w:val="003F45F3"/>
    <w:rsid w:val="00404627"/>
    <w:rsid w:val="00406C1A"/>
    <w:rsid w:val="00422D80"/>
    <w:rsid w:val="00422FE2"/>
    <w:rsid w:val="00424F75"/>
    <w:rsid w:val="0044688D"/>
    <w:rsid w:val="004472F5"/>
    <w:rsid w:val="00455B38"/>
    <w:rsid w:val="0045675C"/>
    <w:rsid w:val="0045782D"/>
    <w:rsid w:val="00460473"/>
    <w:rsid w:val="004900E8"/>
    <w:rsid w:val="004904E5"/>
    <w:rsid w:val="004916AF"/>
    <w:rsid w:val="004A6F66"/>
    <w:rsid w:val="004B3414"/>
    <w:rsid w:val="004B75DE"/>
    <w:rsid w:val="004C78D4"/>
    <w:rsid w:val="004D3791"/>
    <w:rsid w:val="004D47D9"/>
    <w:rsid w:val="004F4723"/>
    <w:rsid w:val="00507135"/>
    <w:rsid w:val="00510BE9"/>
    <w:rsid w:val="005220B2"/>
    <w:rsid w:val="005238BC"/>
    <w:rsid w:val="00534142"/>
    <w:rsid w:val="00542054"/>
    <w:rsid w:val="0054369E"/>
    <w:rsid w:val="00543B4C"/>
    <w:rsid w:val="00580B73"/>
    <w:rsid w:val="0058153B"/>
    <w:rsid w:val="00582BD1"/>
    <w:rsid w:val="00584190"/>
    <w:rsid w:val="0058422B"/>
    <w:rsid w:val="00584FC4"/>
    <w:rsid w:val="00591D06"/>
    <w:rsid w:val="00595271"/>
    <w:rsid w:val="00595FCC"/>
    <w:rsid w:val="005B0FD4"/>
    <w:rsid w:val="005B14AA"/>
    <w:rsid w:val="005C0DC2"/>
    <w:rsid w:val="005D36E9"/>
    <w:rsid w:val="005D5F2A"/>
    <w:rsid w:val="00623C97"/>
    <w:rsid w:val="006363D5"/>
    <w:rsid w:val="00643BBD"/>
    <w:rsid w:val="006501E6"/>
    <w:rsid w:val="00654484"/>
    <w:rsid w:val="0065482D"/>
    <w:rsid w:val="00656614"/>
    <w:rsid w:val="00663A1B"/>
    <w:rsid w:val="00664EA7"/>
    <w:rsid w:val="00667D2A"/>
    <w:rsid w:val="00686C75"/>
    <w:rsid w:val="00696844"/>
    <w:rsid w:val="006976A0"/>
    <w:rsid w:val="006B0324"/>
    <w:rsid w:val="006B2850"/>
    <w:rsid w:val="006C069F"/>
    <w:rsid w:val="006C470F"/>
    <w:rsid w:val="006D00E3"/>
    <w:rsid w:val="006D49C8"/>
    <w:rsid w:val="006D5B41"/>
    <w:rsid w:val="006D64AE"/>
    <w:rsid w:val="006E029F"/>
    <w:rsid w:val="006E4B21"/>
    <w:rsid w:val="006F4633"/>
    <w:rsid w:val="006F47C9"/>
    <w:rsid w:val="00706F3D"/>
    <w:rsid w:val="0071741A"/>
    <w:rsid w:val="00717B8B"/>
    <w:rsid w:val="00717CC2"/>
    <w:rsid w:val="00730A18"/>
    <w:rsid w:val="00735C07"/>
    <w:rsid w:val="0073716D"/>
    <w:rsid w:val="007412BD"/>
    <w:rsid w:val="0074220E"/>
    <w:rsid w:val="00742369"/>
    <w:rsid w:val="007454F7"/>
    <w:rsid w:val="00747BFF"/>
    <w:rsid w:val="00753CE6"/>
    <w:rsid w:val="00762741"/>
    <w:rsid w:val="0077026F"/>
    <w:rsid w:val="007716F5"/>
    <w:rsid w:val="00772F51"/>
    <w:rsid w:val="007822B7"/>
    <w:rsid w:val="007839FD"/>
    <w:rsid w:val="00786F46"/>
    <w:rsid w:val="0079262A"/>
    <w:rsid w:val="007A61DB"/>
    <w:rsid w:val="007B2469"/>
    <w:rsid w:val="007B369C"/>
    <w:rsid w:val="007B3ED5"/>
    <w:rsid w:val="007B56AF"/>
    <w:rsid w:val="007D430F"/>
    <w:rsid w:val="007D4C91"/>
    <w:rsid w:val="007E168A"/>
    <w:rsid w:val="007E187A"/>
    <w:rsid w:val="007E261F"/>
    <w:rsid w:val="007F53E4"/>
    <w:rsid w:val="00803686"/>
    <w:rsid w:val="008102CA"/>
    <w:rsid w:val="00810338"/>
    <w:rsid w:val="00814669"/>
    <w:rsid w:val="00822561"/>
    <w:rsid w:val="00823BD6"/>
    <w:rsid w:val="00841E01"/>
    <w:rsid w:val="00844A3B"/>
    <w:rsid w:val="0085278D"/>
    <w:rsid w:val="0085414F"/>
    <w:rsid w:val="0085617D"/>
    <w:rsid w:val="00867B96"/>
    <w:rsid w:val="008C00B7"/>
    <w:rsid w:val="008E2126"/>
    <w:rsid w:val="008E6C13"/>
    <w:rsid w:val="008F5C84"/>
    <w:rsid w:val="008F70A7"/>
    <w:rsid w:val="008F7354"/>
    <w:rsid w:val="00901100"/>
    <w:rsid w:val="00906CF7"/>
    <w:rsid w:val="00907B77"/>
    <w:rsid w:val="0091336C"/>
    <w:rsid w:val="00932493"/>
    <w:rsid w:val="009355BD"/>
    <w:rsid w:val="0094280F"/>
    <w:rsid w:val="009473F9"/>
    <w:rsid w:val="00955685"/>
    <w:rsid w:val="00956D70"/>
    <w:rsid w:val="00976FA6"/>
    <w:rsid w:val="00977E66"/>
    <w:rsid w:val="00990E7C"/>
    <w:rsid w:val="0099146F"/>
    <w:rsid w:val="00991F78"/>
    <w:rsid w:val="009A1B04"/>
    <w:rsid w:val="009B24B1"/>
    <w:rsid w:val="009B3A4E"/>
    <w:rsid w:val="009C39D8"/>
    <w:rsid w:val="009C5226"/>
    <w:rsid w:val="009C65DD"/>
    <w:rsid w:val="009C7642"/>
    <w:rsid w:val="009D3564"/>
    <w:rsid w:val="009E0D8F"/>
    <w:rsid w:val="009E7691"/>
    <w:rsid w:val="009F10B0"/>
    <w:rsid w:val="009F7DF1"/>
    <w:rsid w:val="00A05BC6"/>
    <w:rsid w:val="00A07B17"/>
    <w:rsid w:val="00A1461D"/>
    <w:rsid w:val="00A17A2B"/>
    <w:rsid w:val="00A17F7E"/>
    <w:rsid w:val="00A20D51"/>
    <w:rsid w:val="00A24E1E"/>
    <w:rsid w:val="00A41826"/>
    <w:rsid w:val="00A421FC"/>
    <w:rsid w:val="00A649A4"/>
    <w:rsid w:val="00AA171B"/>
    <w:rsid w:val="00AA3AC4"/>
    <w:rsid w:val="00AA532A"/>
    <w:rsid w:val="00AB32D1"/>
    <w:rsid w:val="00AB4520"/>
    <w:rsid w:val="00AC6A28"/>
    <w:rsid w:val="00AC7A5C"/>
    <w:rsid w:val="00AD1023"/>
    <w:rsid w:val="00AD5687"/>
    <w:rsid w:val="00AE2C14"/>
    <w:rsid w:val="00AF7885"/>
    <w:rsid w:val="00B036B5"/>
    <w:rsid w:val="00B27EEA"/>
    <w:rsid w:val="00B403DD"/>
    <w:rsid w:val="00B437AA"/>
    <w:rsid w:val="00B53D03"/>
    <w:rsid w:val="00B55B55"/>
    <w:rsid w:val="00B57E39"/>
    <w:rsid w:val="00B66762"/>
    <w:rsid w:val="00B72B31"/>
    <w:rsid w:val="00B80D42"/>
    <w:rsid w:val="00B9412E"/>
    <w:rsid w:val="00B945A0"/>
    <w:rsid w:val="00BA083E"/>
    <w:rsid w:val="00BA69E7"/>
    <w:rsid w:val="00BB22DB"/>
    <w:rsid w:val="00BB2B7E"/>
    <w:rsid w:val="00BB5222"/>
    <w:rsid w:val="00BC3509"/>
    <w:rsid w:val="00BC5AAC"/>
    <w:rsid w:val="00BD10FA"/>
    <w:rsid w:val="00BD55A4"/>
    <w:rsid w:val="00BD5E53"/>
    <w:rsid w:val="00BE0824"/>
    <w:rsid w:val="00BE4A5E"/>
    <w:rsid w:val="00BF2E54"/>
    <w:rsid w:val="00BF4AAF"/>
    <w:rsid w:val="00BF71E5"/>
    <w:rsid w:val="00C046F7"/>
    <w:rsid w:val="00C1455F"/>
    <w:rsid w:val="00C1728C"/>
    <w:rsid w:val="00C3739A"/>
    <w:rsid w:val="00C43565"/>
    <w:rsid w:val="00C56413"/>
    <w:rsid w:val="00C57D0F"/>
    <w:rsid w:val="00C71F68"/>
    <w:rsid w:val="00C9009E"/>
    <w:rsid w:val="00C94B43"/>
    <w:rsid w:val="00CA0E19"/>
    <w:rsid w:val="00CB387F"/>
    <w:rsid w:val="00CB457A"/>
    <w:rsid w:val="00CC1C0E"/>
    <w:rsid w:val="00CD5826"/>
    <w:rsid w:val="00CE29E9"/>
    <w:rsid w:val="00CE2B8D"/>
    <w:rsid w:val="00CE6C99"/>
    <w:rsid w:val="00CE7A63"/>
    <w:rsid w:val="00CE7FA5"/>
    <w:rsid w:val="00CF1555"/>
    <w:rsid w:val="00D05510"/>
    <w:rsid w:val="00D064E4"/>
    <w:rsid w:val="00D064FD"/>
    <w:rsid w:val="00D16B19"/>
    <w:rsid w:val="00D20F41"/>
    <w:rsid w:val="00D458E1"/>
    <w:rsid w:val="00D51E76"/>
    <w:rsid w:val="00D547C1"/>
    <w:rsid w:val="00D6738E"/>
    <w:rsid w:val="00D7505C"/>
    <w:rsid w:val="00D80F21"/>
    <w:rsid w:val="00D932C5"/>
    <w:rsid w:val="00D93C63"/>
    <w:rsid w:val="00DB13C7"/>
    <w:rsid w:val="00DB4419"/>
    <w:rsid w:val="00DC11B2"/>
    <w:rsid w:val="00DC636F"/>
    <w:rsid w:val="00DC71D0"/>
    <w:rsid w:val="00DE2827"/>
    <w:rsid w:val="00DE3339"/>
    <w:rsid w:val="00DE7754"/>
    <w:rsid w:val="00DE78F4"/>
    <w:rsid w:val="00DF26E9"/>
    <w:rsid w:val="00E02381"/>
    <w:rsid w:val="00E05551"/>
    <w:rsid w:val="00E10833"/>
    <w:rsid w:val="00E13244"/>
    <w:rsid w:val="00E27717"/>
    <w:rsid w:val="00E439E5"/>
    <w:rsid w:val="00E4453A"/>
    <w:rsid w:val="00E44ADE"/>
    <w:rsid w:val="00E50576"/>
    <w:rsid w:val="00E60E2A"/>
    <w:rsid w:val="00E62D36"/>
    <w:rsid w:val="00E71B01"/>
    <w:rsid w:val="00E72FEA"/>
    <w:rsid w:val="00E732F9"/>
    <w:rsid w:val="00E73B60"/>
    <w:rsid w:val="00E865FD"/>
    <w:rsid w:val="00E91648"/>
    <w:rsid w:val="00ED24C0"/>
    <w:rsid w:val="00EF17F9"/>
    <w:rsid w:val="00EF48C8"/>
    <w:rsid w:val="00F0210D"/>
    <w:rsid w:val="00F1402C"/>
    <w:rsid w:val="00F26E02"/>
    <w:rsid w:val="00F3419A"/>
    <w:rsid w:val="00F4701A"/>
    <w:rsid w:val="00F47A7D"/>
    <w:rsid w:val="00F512C1"/>
    <w:rsid w:val="00F53237"/>
    <w:rsid w:val="00F536A4"/>
    <w:rsid w:val="00F5759E"/>
    <w:rsid w:val="00F614F0"/>
    <w:rsid w:val="00F66C98"/>
    <w:rsid w:val="00F73E92"/>
    <w:rsid w:val="00FA7FEA"/>
    <w:rsid w:val="00FB156C"/>
    <w:rsid w:val="00FB7AC0"/>
    <w:rsid w:val="00FC636D"/>
    <w:rsid w:val="00FD2CE9"/>
    <w:rsid w:val="00FD3A3F"/>
    <w:rsid w:val="00FD514E"/>
    <w:rsid w:val="00FD6700"/>
    <w:rsid w:val="00FE04EE"/>
    <w:rsid w:val="00FE4DE1"/>
    <w:rsid w:val="00FE7A0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631E"/>
  <w15:chartTrackingRefBased/>
  <w15:docId w15:val="{B21B1870-2166-4958-B906-C669DB1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A7"/>
  </w:style>
  <w:style w:type="paragraph" w:styleId="Ttulo1">
    <w:name w:val="heading 1"/>
    <w:basedOn w:val="Normal"/>
    <w:link w:val="Ttulo1Car"/>
    <w:uiPriority w:val="1"/>
    <w:qFormat/>
    <w:rsid w:val="00B036B5"/>
    <w:pPr>
      <w:widowControl w:val="0"/>
      <w:autoSpaceDE w:val="0"/>
      <w:autoSpaceDN w:val="0"/>
      <w:ind w:left="837" w:hanging="360"/>
      <w:outlineLvl w:val="0"/>
    </w:pPr>
    <w:rPr>
      <w:rFonts w:eastAsia="Arial" w:cs="Arial"/>
      <w:b/>
      <w:bCs/>
      <w:sz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106E49"/>
  </w:style>
  <w:style w:type="paragraph" w:styleId="Piedepgina">
    <w:name w:val="footer"/>
    <w:basedOn w:val="Normal"/>
    <w:link w:val="Piedepgina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49"/>
  </w:style>
  <w:style w:type="table" w:styleId="Tablaconcuadrcula">
    <w:name w:val="Table Grid"/>
    <w:basedOn w:val="Tablanormal"/>
    <w:uiPriority w:val="39"/>
    <w:rsid w:val="0010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qFormat/>
    <w:rsid w:val="002F1F7E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2F1F7E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B036B5"/>
    <w:rPr>
      <w:rFonts w:eastAsia="Arial" w:cs="Arial"/>
      <w:b/>
      <w:bCs/>
      <w:sz w:val="24"/>
      <w:lang w:val="es-ES" w:eastAsia="es-ES" w:bidi="es-ES"/>
    </w:rPr>
  </w:style>
  <w:style w:type="paragraph" w:styleId="Prrafodelista">
    <w:name w:val="List Paragraph"/>
    <w:aliases w:val="Bullet List,FooterText,numbered,List Paragraph1,Paragraphe de liste1,lp1,List Paragraph"/>
    <w:basedOn w:val="Normal"/>
    <w:link w:val="PrrafodelistaCar"/>
    <w:uiPriority w:val="34"/>
    <w:qFormat/>
    <w:rsid w:val="00B036B5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B036B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rrafodelistaCar">
    <w:name w:val="Párrafo de lista Car"/>
    <w:aliases w:val="Bullet List Car,FooterText Car,numbered Car,List Paragraph1 Car,Paragraphe de liste1 Car,lp1 Car,List Paragraph Car"/>
    <w:link w:val="Prrafodelista"/>
    <w:uiPriority w:val="34"/>
    <w:locked/>
    <w:rsid w:val="00E02381"/>
  </w:style>
  <w:style w:type="character" w:styleId="Hipervnculo">
    <w:name w:val="Hyperlink"/>
    <w:basedOn w:val="Fuentedeprrafopredeter"/>
    <w:uiPriority w:val="99"/>
    <w:unhideWhenUsed/>
    <w:rsid w:val="00772F5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6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F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F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F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F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6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12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unity.secop.gov.co/Public/App/AnnualPurchasingPlanEditPublic/View?id=178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c.gov.co/8-4-plan-anual-de-adquisicio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ana.paez\Downloads\Seguimiento%20Metas,%20PAA%20POAI%20I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ana.paez\Downloads\Seguimiento%20Metas,%20PAA%20POAI%20I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FUNCIONAMIENTO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2.3483365949119372E-2"/>
          <c:y val="0.28791299091372768"/>
          <c:w val="0.94259621656881931"/>
          <c:h val="0.47985950100977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'[Seguimiento Metas, PAA POAI I 2022.xlsx]Ejecución Presupuestal'!$C$8</c:f>
              <c:strCache>
                <c:ptCount val="1"/>
                <c:pt idx="0">
                  <c:v>APROPIACIÓN INICIAL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Presupuestal'!$B$9:$B$12</c:f>
              <c:strCache>
                <c:ptCount val="4"/>
                <c:pt idx="0">
                  <c:v>Servicios Personales</c:v>
                </c:pt>
                <c:pt idx="1">
                  <c:v>Adquisición de bienes y servicios</c:v>
                </c:pt>
                <c:pt idx="2">
                  <c:v>Gastos Diversos</c:v>
                </c:pt>
                <c:pt idx="3">
                  <c:v>TOTAL</c:v>
                </c:pt>
              </c:strCache>
            </c:strRef>
          </c:cat>
          <c:val>
            <c:numRef>
              <c:f>'[Seguimiento Metas, PAA POAI I 2022.xlsx]Ejecución Presupuestal'!$C$9:$C$12</c:f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2CB3-4EB3-85B8-F27103C6CEC8}"/>
            </c:ext>
          </c:extLst>
        </c:ser>
        <c:ser>
          <c:idx val="1"/>
          <c:order val="1"/>
          <c:tx>
            <c:strRef>
              <c:f>'[Seguimiento Metas, PAA POAI I 2022.xlsx]Ejecución Presupuestal'!$D$8</c:f>
              <c:strCache>
                <c:ptCount val="1"/>
                <c:pt idx="0">
                  <c:v>MODIFICACIONES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Presupuestal'!$B$9:$B$12</c:f>
              <c:strCache>
                <c:ptCount val="4"/>
                <c:pt idx="0">
                  <c:v>Servicios Personales</c:v>
                </c:pt>
                <c:pt idx="1">
                  <c:v>Adquisición de bienes y servicios</c:v>
                </c:pt>
                <c:pt idx="2">
                  <c:v>Gastos Diversos</c:v>
                </c:pt>
                <c:pt idx="3">
                  <c:v>TOTAL</c:v>
                </c:pt>
              </c:strCache>
            </c:strRef>
          </c:cat>
          <c:val>
            <c:numRef>
              <c:f>'[Seguimiento Metas, PAA POAI I 2022.xlsx]Ejecución Presupuestal'!$D$9:$D$12</c:f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2CB3-4EB3-85B8-F27103C6CEC8}"/>
            </c:ext>
          </c:extLst>
        </c:ser>
        <c:ser>
          <c:idx val="2"/>
          <c:order val="2"/>
          <c:tx>
            <c:strRef>
              <c:f>'[Seguimiento Metas, PAA POAI I 2022.xlsx]Ejecución Presupuestal'!$E$8</c:f>
              <c:strCache>
                <c:ptCount val="1"/>
                <c:pt idx="0">
                  <c:v>APROPIACIÓN VIGENTE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Presupuestal'!$B$9:$B$12</c:f>
              <c:strCache>
                <c:ptCount val="4"/>
                <c:pt idx="0">
                  <c:v>Servicios Personales</c:v>
                </c:pt>
                <c:pt idx="1">
                  <c:v>Adquisición de bienes y servicios</c:v>
                </c:pt>
                <c:pt idx="2">
                  <c:v>Gastos Diversos</c:v>
                </c:pt>
                <c:pt idx="3">
                  <c:v>TOTAL</c:v>
                </c:pt>
              </c:strCache>
            </c:strRef>
          </c:cat>
          <c:val>
            <c:numRef>
              <c:f>'[Seguimiento Metas, PAA POAI I 2022.xlsx]Ejecución Presupuestal'!$E$9:$E$12</c:f>
              <c:numCache>
                <c:formatCode>#,##0</c:formatCode>
                <c:ptCount val="4"/>
                <c:pt idx="0">
                  <c:v>5396476000</c:v>
                </c:pt>
                <c:pt idx="1">
                  <c:v>1796626000</c:v>
                </c:pt>
                <c:pt idx="2">
                  <c:v>300000</c:v>
                </c:pt>
                <c:pt idx="3">
                  <c:v>7193402000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B3-4EB3-85B8-F27103C6CEC8}"/>
            </c:ext>
          </c:extLst>
        </c:ser>
        <c:ser>
          <c:idx val="3"/>
          <c:order val="3"/>
          <c:tx>
            <c:strRef>
              <c:f>'[Seguimiento Metas, PAA POAI I 2022.xlsx]Ejecución Presupuestal'!$F$8</c:f>
              <c:strCache>
                <c:ptCount val="1"/>
                <c:pt idx="0">
                  <c:v>COMPROMISO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Presupuestal'!$B$9:$B$12</c:f>
              <c:strCache>
                <c:ptCount val="4"/>
                <c:pt idx="0">
                  <c:v>Servicios Personales</c:v>
                </c:pt>
                <c:pt idx="1">
                  <c:v>Adquisición de bienes y servicios</c:v>
                </c:pt>
                <c:pt idx="2">
                  <c:v>Gastos Diversos</c:v>
                </c:pt>
                <c:pt idx="3">
                  <c:v>TOTAL</c:v>
                </c:pt>
              </c:strCache>
            </c:strRef>
          </c:cat>
          <c:val>
            <c:numRef>
              <c:f>'[Seguimiento Metas, PAA POAI I 2022.xlsx]Ejecución Presupuestal'!$F$9:$F$12</c:f>
              <c:numCache>
                <c:formatCode>#,##0</c:formatCode>
                <c:ptCount val="4"/>
                <c:pt idx="0">
                  <c:v>2467722782</c:v>
                </c:pt>
                <c:pt idx="1">
                  <c:v>1201378943</c:v>
                </c:pt>
                <c:pt idx="2">
                  <c:v>201000</c:v>
                </c:pt>
                <c:pt idx="3">
                  <c:v>3669302725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B3-4EB3-85B8-F27103C6CEC8}"/>
            </c:ext>
          </c:extLst>
        </c:ser>
        <c:ser>
          <c:idx val="5"/>
          <c:order val="5"/>
          <c:tx>
            <c:strRef>
              <c:f>'[Seguimiento Metas, PAA POAI I 2022.xlsx]Ejecución Presupuestal'!$H$8</c:f>
              <c:strCache>
                <c:ptCount val="1"/>
                <c:pt idx="0">
                  <c:v>GIRO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Presupuestal'!$B$9:$B$12</c:f>
              <c:strCache>
                <c:ptCount val="4"/>
                <c:pt idx="0">
                  <c:v>Servicios Personales</c:v>
                </c:pt>
                <c:pt idx="1">
                  <c:v>Adquisición de bienes y servicios</c:v>
                </c:pt>
                <c:pt idx="2">
                  <c:v>Gastos Diversos</c:v>
                </c:pt>
                <c:pt idx="3">
                  <c:v>TOTAL</c:v>
                </c:pt>
              </c:strCache>
            </c:strRef>
          </c:cat>
          <c:val>
            <c:numRef>
              <c:f>'[Seguimiento Metas, PAA POAI I 2022.xlsx]Ejecución Presupuestal'!$H$9:$H$12</c:f>
              <c:numCache>
                <c:formatCode>#,##0</c:formatCode>
                <c:ptCount val="4"/>
                <c:pt idx="0">
                  <c:v>2467722782</c:v>
                </c:pt>
                <c:pt idx="1">
                  <c:v>599201531</c:v>
                </c:pt>
                <c:pt idx="2">
                  <c:v>201000</c:v>
                </c:pt>
                <c:pt idx="3">
                  <c:v>3067125313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B3-4EB3-85B8-F27103C6CE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409310896"/>
        <c:axId val="-409315792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'[Seguimiento Metas, PAA POAI I 2022.xlsx]Ejecución Presupuestal'!$G$8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'[Seguimiento Metas, PAA POAI I 2022.xlsx]Ejecución Presupuestal'!$B$9:$B$12</c15:sqref>
                        </c15:formulaRef>
                      </c:ext>
                    </c:extLst>
                    <c:strCache>
                      <c:ptCount val="4"/>
                      <c:pt idx="0">
                        <c:v>Servicios Personales</c:v>
                      </c:pt>
                      <c:pt idx="1">
                        <c:v>Adquisición de bienes y servicios</c:v>
                      </c:pt>
                      <c:pt idx="2">
                        <c:v>Gastos Diversos</c:v>
                      </c:pt>
                      <c:pt idx="3">
                        <c:v>TOTAL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'[Seguimiento Metas, PAA POAI I 2022.xlsx]Ejecución Presupuestal'!$G$9:$G$12</c15:sqref>
                        </c15:formulaRef>
                      </c:ext>
                    </c:extLst>
                    <c:numCache>
                      <c:formatCode>#,##0.00</c:formatCode>
                      <c:ptCount val="4"/>
                      <c:pt idx="0">
                        <c:v>45.728412060018428</c:v>
                      </c:pt>
                      <c:pt idx="1">
                        <c:v>66.868616117099506</c:v>
                      </c:pt>
                      <c:pt idx="2">
                        <c:v>67</c:v>
                      </c:pt>
                      <c:pt idx="3">
                        <c:v>51.009282186648264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2CB3-4EB3-85B8-F27103C6CEC8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Presupuestal'!$I$8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Presupuestal'!$B$9:$B$12</c15:sqref>
                        </c15:formulaRef>
                      </c:ext>
                    </c:extLst>
                    <c:strCache>
                      <c:ptCount val="4"/>
                      <c:pt idx="0">
                        <c:v>Servicios Personales</c:v>
                      </c:pt>
                      <c:pt idx="1">
                        <c:v>Adquisición de bienes y servicios</c:v>
                      </c:pt>
                      <c:pt idx="2">
                        <c:v>Gastos Diversos</c:v>
                      </c:pt>
                      <c:pt idx="3">
                        <c:v>TOTAL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Presupuestal'!$I$9:$I$12</c15:sqref>
                        </c15:formulaRef>
                      </c:ext>
                    </c:extLst>
                    <c:numCache>
                      <c:formatCode>#,##0.00</c:formatCode>
                      <c:ptCount val="4"/>
                      <c:pt idx="0">
                        <c:v>45.728412060018428</c:v>
                      </c:pt>
                      <c:pt idx="1">
                        <c:v>33.351489458574015</c:v>
                      </c:pt>
                      <c:pt idx="2">
                        <c:v>67</c:v>
                      </c:pt>
                      <c:pt idx="3">
                        <c:v>42.638035702717573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CB3-4EB3-85B8-F27103C6CEC8}"/>
                  </c:ext>
                </c:extLst>
              </c15:ser>
            </c15:filteredBarSeries>
          </c:ext>
        </c:extLst>
      </c:barChart>
      <c:catAx>
        <c:axId val="-40931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09315792"/>
        <c:crosses val="autoZero"/>
        <c:auto val="1"/>
        <c:lblAlgn val="ctr"/>
        <c:lblOffset val="100"/>
        <c:noMultiLvlLbl val="0"/>
      </c:catAx>
      <c:valAx>
        <c:axId val="-40931579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40931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359030463657795"/>
          <c:y val="0.14468181830536853"/>
          <c:w val="0.5893229784633085"/>
          <c:h val="7.2816068365846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INVERSIÓN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'[Seguimiento Metas, PAA POAI I 2022.xlsx]Ejecución Presupuestal'!$C$15</c:f>
              <c:strCache>
                <c:ptCount val="1"/>
                <c:pt idx="0">
                  <c:v>APROPIACIÓN INICIAL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Presupuestal'!$B$16:$B$21</c:f>
              <c:strCache>
                <c:ptCount val="6"/>
                <c:pt idx="0">
                  <c:v>Formación en patrimonio cultural en el ciclo integral de educación para la vida en Bogotá</c:v>
                </c:pt>
                <c:pt idx="1">
                  <c:v>Desarrollo de acciones integrales de valoración y recuperación de Bienes y Sectores de Interés Cultural de Bogotá</c:v>
                </c:pt>
                <c:pt idx="2">
                  <c:v>Consolidación de la capacidad institucional y ciudadana para la territorialización, apropiación, fomento, salvaguardia y divulgación del Patrimonio Cultural en Bogotá</c:v>
                </c:pt>
                <c:pt idx="3">
                  <c:v>Consolidación de los patrimonios como referente de ordenamiento territorial en la ciudad de Bogotá</c:v>
                </c:pt>
                <c:pt idx="4">
                  <c:v>Recuperación de Columbarios ubicados en el Globo B del Cementerio Central de Bogotá</c:v>
                </c:pt>
                <c:pt idx="5">
                  <c:v>Fortalecimiento de la gestión del Instituto Distrital de Patrimonio Cultural de Bogotá</c:v>
                </c:pt>
              </c:strCache>
            </c:strRef>
          </c:cat>
          <c:val>
            <c:numRef>
              <c:f>'[Seguimiento Metas, PAA POAI I 2022.xlsx]Ejecución Presupuestal'!$C$16:$C$21</c:f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759A-4294-88F1-0CDFC788D24E}"/>
            </c:ext>
          </c:extLst>
        </c:ser>
        <c:ser>
          <c:idx val="1"/>
          <c:order val="1"/>
          <c:tx>
            <c:strRef>
              <c:f>'[Seguimiento Metas, PAA POAI I 2022.xlsx]Ejecución Presupuestal'!$D$15</c:f>
              <c:strCache>
                <c:ptCount val="1"/>
                <c:pt idx="0">
                  <c:v>MODIFICACIONES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Presupuestal'!$B$16:$B$21</c:f>
              <c:strCache>
                <c:ptCount val="6"/>
                <c:pt idx="0">
                  <c:v>Formación en patrimonio cultural en el ciclo integral de educación para la vida en Bogotá</c:v>
                </c:pt>
                <c:pt idx="1">
                  <c:v>Desarrollo de acciones integrales de valoración y recuperación de Bienes y Sectores de Interés Cultural de Bogotá</c:v>
                </c:pt>
                <c:pt idx="2">
                  <c:v>Consolidación de la capacidad institucional y ciudadana para la territorialización, apropiación, fomento, salvaguardia y divulgación del Patrimonio Cultural en Bogotá</c:v>
                </c:pt>
                <c:pt idx="3">
                  <c:v>Consolidación de los patrimonios como referente de ordenamiento territorial en la ciudad de Bogotá</c:v>
                </c:pt>
                <c:pt idx="4">
                  <c:v>Recuperación de Columbarios ubicados en el Globo B del Cementerio Central de Bogotá</c:v>
                </c:pt>
                <c:pt idx="5">
                  <c:v>Fortalecimiento de la gestión del Instituto Distrital de Patrimonio Cultural de Bogotá</c:v>
                </c:pt>
              </c:strCache>
            </c:strRef>
          </c:cat>
          <c:val>
            <c:numRef>
              <c:f>'[Seguimiento Metas, PAA POAI I 2022.xlsx]Ejecución Presupuestal'!$D$16:$D$21</c:f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759A-4294-88F1-0CDFC788D24E}"/>
            </c:ext>
          </c:extLst>
        </c:ser>
        <c:ser>
          <c:idx val="2"/>
          <c:order val="2"/>
          <c:tx>
            <c:strRef>
              <c:f>'[Seguimiento Metas, PAA POAI I 2022.xlsx]Ejecución Presupuestal'!$E$15</c:f>
              <c:strCache>
                <c:ptCount val="1"/>
                <c:pt idx="0">
                  <c:v>APROPIACIÓN VIGENTE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Presupuestal'!$B$16:$B$21</c:f>
              <c:strCache>
                <c:ptCount val="6"/>
                <c:pt idx="0">
                  <c:v>Formación en patrimonio cultural en el ciclo integral de educación para la vida en Bogotá</c:v>
                </c:pt>
                <c:pt idx="1">
                  <c:v>Desarrollo de acciones integrales de valoración y recuperación de Bienes y Sectores de Interés Cultural de Bogotá</c:v>
                </c:pt>
                <c:pt idx="2">
                  <c:v>Consolidación de la capacidad institucional y ciudadana para la territorialización, apropiación, fomento, salvaguardia y divulgación del Patrimonio Cultural en Bogotá</c:v>
                </c:pt>
                <c:pt idx="3">
                  <c:v>Consolidación de los patrimonios como referente de ordenamiento territorial en la ciudad de Bogotá</c:v>
                </c:pt>
                <c:pt idx="4">
                  <c:v>Recuperación de Columbarios ubicados en el Globo B del Cementerio Central de Bogotá</c:v>
                </c:pt>
                <c:pt idx="5">
                  <c:v>Fortalecimiento de la gestión del Instituto Distrital de Patrimonio Cultural de Bogotá</c:v>
                </c:pt>
              </c:strCache>
            </c:strRef>
          </c:cat>
          <c:val>
            <c:numRef>
              <c:f>'[Seguimiento Metas, PAA POAI I 2022.xlsx]Ejecución Presupuestal'!$E$16:$E$21</c:f>
              <c:numCache>
                <c:formatCode>#,##0</c:formatCode>
                <c:ptCount val="6"/>
                <c:pt idx="0">
                  <c:v>300000000</c:v>
                </c:pt>
                <c:pt idx="1">
                  <c:v>6144000000</c:v>
                </c:pt>
                <c:pt idx="2">
                  <c:v>8283820000</c:v>
                </c:pt>
                <c:pt idx="3">
                  <c:v>5493000000</c:v>
                </c:pt>
                <c:pt idx="4">
                  <c:v>674284000</c:v>
                </c:pt>
                <c:pt idx="5">
                  <c:v>6450000000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9A-4294-88F1-0CDFC788D24E}"/>
            </c:ext>
          </c:extLst>
        </c:ser>
        <c:ser>
          <c:idx val="3"/>
          <c:order val="3"/>
          <c:tx>
            <c:strRef>
              <c:f>'[Seguimiento Metas, PAA POAI I 2022.xlsx]Ejecución Presupuestal'!$F$15</c:f>
              <c:strCache>
                <c:ptCount val="1"/>
                <c:pt idx="0">
                  <c:v>COMPROMISO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Presupuestal'!$B$16:$B$21</c:f>
              <c:strCache>
                <c:ptCount val="6"/>
                <c:pt idx="0">
                  <c:v>Formación en patrimonio cultural en el ciclo integral de educación para la vida en Bogotá</c:v>
                </c:pt>
                <c:pt idx="1">
                  <c:v>Desarrollo de acciones integrales de valoración y recuperación de Bienes y Sectores de Interés Cultural de Bogotá</c:v>
                </c:pt>
                <c:pt idx="2">
                  <c:v>Consolidación de la capacidad institucional y ciudadana para la territorialización, apropiación, fomento, salvaguardia y divulgación del Patrimonio Cultural en Bogotá</c:v>
                </c:pt>
                <c:pt idx="3">
                  <c:v>Consolidación de los patrimonios como referente de ordenamiento territorial en la ciudad de Bogotá</c:v>
                </c:pt>
                <c:pt idx="4">
                  <c:v>Recuperación de Columbarios ubicados en el Globo B del Cementerio Central de Bogotá</c:v>
                </c:pt>
                <c:pt idx="5">
                  <c:v>Fortalecimiento de la gestión del Instituto Distrital de Patrimonio Cultural de Bogotá</c:v>
                </c:pt>
              </c:strCache>
            </c:strRef>
          </c:cat>
          <c:val>
            <c:numRef>
              <c:f>'[Seguimiento Metas, PAA POAI I 2022.xlsx]Ejecución Presupuestal'!$F$16:$F$21</c:f>
              <c:numCache>
                <c:formatCode>#,##0</c:formatCode>
                <c:ptCount val="6"/>
                <c:pt idx="0">
                  <c:v>281100000</c:v>
                </c:pt>
                <c:pt idx="1">
                  <c:v>5238827527</c:v>
                </c:pt>
                <c:pt idx="2">
                  <c:v>5930494960</c:v>
                </c:pt>
                <c:pt idx="3">
                  <c:v>5116827069</c:v>
                </c:pt>
                <c:pt idx="4">
                  <c:v>31999998</c:v>
                </c:pt>
                <c:pt idx="5">
                  <c:v>5841081795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9A-4294-88F1-0CDFC788D24E}"/>
            </c:ext>
          </c:extLst>
        </c:ser>
        <c:ser>
          <c:idx val="5"/>
          <c:order val="5"/>
          <c:tx>
            <c:strRef>
              <c:f>'[Seguimiento Metas, PAA POAI I 2022.xlsx]Ejecución Presupuestal'!$H$15</c:f>
              <c:strCache>
                <c:ptCount val="1"/>
                <c:pt idx="0">
                  <c:v>GIRO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'[Seguimiento Metas, PAA POAI I 2022.xlsx]Ejecución Presupuestal'!$B$16:$B$21</c:f>
              <c:strCache>
                <c:ptCount val="6"/>
                <c:pt idx="0">
                  <c:v>Formación en patrimonio cultural en el ciclo integral de educación para la vida en Bogotá</c:v>
                </c:pt>
                <c:pt idx="1">
                  <c:v>Desarrollo de acciones integrales de valoración y recuperación de Bienes y Sectores de Interés Cultural de Bogotá</c:v>
                </c:pt>
                <c:pt idx="2">
                  <c:v>Consolidación de la capacidad institucional y ciudadana para la territorialización, apropiación, fomento, salvaguardia y divulgación del Patrimonio Cultural en Bogotá</c:v>
                </c:pt>
                <c:pt idx="3">
                  <c:v>Consolidación de los patrimonios como referente de ordenamiento territorial en la ciudad de Bogotá</c:v>
                </c:pt>
                <c:pt idx="4">
                  <c:v>Recuperación de Columbarios ubicados en el Globo B del Cementerio Central de Bogotá</c:v>
                </c:pt>
                <c:pt idx="5">
                  <c:v>Fortalecimiento de la gestión del Instituto Distrital de Patrimonio Cultural de Bogotá</c:v>
                </c:pt>
              </c:strCache>
            </c:strRef>
          </c:cat>
          <c:val>
            <c:numRef>
              <c:f>'[Seguimiento Metas, PAA POAI I 2022.xlsx]Ejecución Presupuestal'!$H$16:$H$21</c:f>
              <c:numCache>
                <c:formatCode>#,##0</c:formatCode>
                <c:ptCount val="6"/>
                <c:pt idx="0">
                  <c:v>110600000</c:v>
                </c:pt>
                <c:pt idx="1">
                  <c:v>2165286300</c:v>
                </c:pt>
                <c:pt idx="2">
                  <c:v>2286076094</c:v>
                </c:pt>
                <c:pt idx="3">
                  <c:v>1927351736</c:v>
                </c:pt>
                <c:pt idx="4">
                  <c:v>22044443</c:v>
                </c:pt>
                <c:pt idx="5">
                  <c:v>2903386987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9A-4294-88F1-0CDFC788D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409310352"/>
        <c:axId val="-40930980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'[Seguimiento Metas, PAA POAI I 2022.xlsx]Ejecución Presupuestal'!$G$15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'[Seguimiento Metas, PAA POAI I 2022.xlsx]Ejecución Presupuestal'!$B$16:$B$21</c15:sqref>
                        </c15:formulaRef>
                      </c:ext>
                    </c:extLst>
                    <c:strCache>
                      <c:ptCount val="6"/>
                      <c:pt idx="0">
                        <c:v>Formación en patrimonio cultural en el ciclo integral de educación para la vida en Bogotá</c:v>
                      </c:pt>
                      <c:pt idx="1">
                        <c:v>Desarrollo de acciones integrales de valoración y recuperación de Bienes y Sectores de Interés Cultural de Bogotá</c:v>
                      </c:pt>
                      <c:pt idx="2">
                        <c:v>Consolidación de la capacidad institucional y ciudadana para la territorialización, apropiación, fomento, salvaguardia y divulgación del Patrimonio Cultural en Bogotá</c:v>
                      </c:pt>
                      <c:pt idx="3">
                        <c:v>Consolidación de los patrimonios como referente de ordenamiento territorial en la ciudad de Bogotá</c:v>
                      </c:pt>
                      <c:pt idx="4">
                        <c:v>Recuperación de Columbarios ubicados en el Globo B del Cementerio Central de Bogotá</c:v>
                      </c:pt>
                      <c:pt idx="5">
                        <c:v>Fortalecimiento de la gestión del Instituto Distrital de Patrimonio Cultural de Bogotá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'[Seguimiento Metas, PAA POAI I 2022.xlsx]Ejecución Presupuestal'!$G$16:$G$21</c15:sqref>
                        </c15:formulaRef>
                      </c:ext>
                    </c:extLst>
                    <c:numCache>
                      <c:formatCode>#,##0.00</c:formatCode>
                      <c:ptCount val="6"/>
                      <c:pt idx="0">
                        <c:v>93.7</c:v>
                      </c:pt>
                      <c:pt idx="1">
                        <c:v>85.267375113932289</c:v>
                      </c:pt>
                      <c:pt idx="2">
                        <c:v>71.591306426262278</c:v>
                      </c:pt>
                      <c:pt idx="3">
                        <c:v>93.151776242490442</c:v>
                      </c:pt>
                      <c:pt idx="4">
                        <c:v>4.7457744807825781</c:v>
                      </c:pt>
                      <c:pt idx="5">
                        <c:v>90.559407674418608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759A-4294-88F1-0CDFC788D24E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Presupuestal'!$I$15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Presupuestal'!$B$16:$B$21</c15:sqref>
                        </c15:formulaRef>
                      </c:ext>
                    </c:extLst>
                    <c:strCache>
                      <c:ptCount val="6"/>
                      <c:pt idx="0">
                        <c:v>Formación en patrimonio cultural en el ciclo integral de educación para la vida en Bogotá</c:v>
                      </c:pt>
                      <c:pt idx="1">
                        <c:v>Desarrollo de acciones integrales de valoración y recuperación de Bienes y Sectores de Interés Cultural de Bogotá</c:v>
                      </c:pt>
                      <c:pt idx="2">
                        <c:v>Consolidación de la capacidad institucional y ciudadana para la territorialización, apropiación, fomento, salvaguardia y divulgación del Patrimonio Cultural en Bogotá</c:v>
                      </c:pt>
                      <c:pt idx="3">
                        <c:v>Consolidación de los patrimonios como referente de ordenamiento territorial en la ciudad de Bogotá</c:v>
                      </c:pt>
                      <c:pt idx="4">
                        <c:v>Recuperación de Columbarios ubicados en el Globo B del Cementerio Central de Bogotá</c:v>
                      </c:pt>
                      <c:pt idx="5">
                        <c:v>Fortalecimiento de la gestión del Instituto Distrital de Patrimonio Cultural de Bogotá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'[Seguimiento Metas, PAA POAI I 2022.xlsx]Ejecución Presupuestal'!$I$16:$I$21</c15:sqref>
                        </c15:formulaRef>
                      </c:ext>
                    </c:extLst>
                    <c:numCache>
                      <c:formatCode>#,##0.00</c:formatCode>
                      <c:ptCount val="6"/>
                      <c:pt idx="0">
                        <c:v>36.866666666666667</c:v>
                      </c:pt>
                      <c:pt idx="1">
                        <c:v>35.242290039062503</c:v>
                      </c:pt>
                      <c:pt idx="2">
                        <c:v>27.596882766646306</c:v>
                      </c:pt>
                      <c:pt idx="3">
                        <c:v>35.087415547059898</c:v>
                      </c:pt>
                      <c:pt idx="4">
                        <c:v>3.2693112990965232</c:v>
                      </c:pt>
                      <c:pt idx="5">
                        <c:v>45.013751736434109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59A-4294-88F1-0CDFC788D24E}"/>
                  </c:ext>
                </c:extLst>
              </c15:ser>
            </c15:filteredBarSeries>
          </c:ext>
        </c:extLst>
      </c:barChart>
      <c:catAx>
        <c:axId val="-40931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09309808"/>
        <c:crosses val="autoZero"/>
        <c:auto val="1"/>
        <c:lblAlgn val="ctr"/>
        <c:lblOffset val="100"/>
        <c:noMultiLvlLbl val="0"/>
      </c:catAx>
      <c:valAx>
        <c:axId val="-40930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0931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9CFB-9002-483F-BDD1-F80B37F9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3755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o evaluación</vt:lpstr>
    </vt:vector>
  </TitlesOfParts>
  <Manager>SGDEA</Manager>
  <Company>Instituto Distrital de Patrimonio Cultural</Company>
  <LinksUpToDate>false</LinksUpToDate>
  <CharactersWithSpaces>24363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o evaluación</dc:title>
  <dc:subject>Informe de seguimiento o evaluación</dc:subject>
  <dc:creator>Seguimiento y evaluación</dc:creator>
  <cp:keywords/>
  <dc:description/>
  <cp:lastModifiedBy>Eleana Marcela Paez Urrego</cp:lastModifiedBy>
  <cp:revision>2</cp:revision>
  <cp:lastPrinted>2022-08-12T22:42:00Z</cp:lastPrinted>
  <dcterms:created xsi:type="dcterms:W3CDTF">2022-08-31T21:22:00Z</dcterms:created>
  <dcterms:modified xsi:type="dcterms:W3CDTF">2022-08-31T21:22:00Z</dcterms:modified>
  <cp:category/>
  <cp:version>4</cp:version>
</cp:coreProperties>
</file>