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tblLook w:val="04A0" w:firstRow="1" w:lastRow="0" w:firstColumn="1" w:lastColumn="0" w:noHBand="0" w:noVBand="1"/>
      </w:tblPr>
      <w:tblGrid>
        <w:gridCol w:w="3825"/>
        <w:gridCol w:w="834"/>
        <w:gridCol w:w="833"/>
        <w:gridCol w:w="833"/>
        <w:gridCol w:w="833"/>
        <w:gridCol w:w="833"/>
        <w:gridCol w:w="837"/>
      </w:tblGrid>
      <w:tr w:rsidR="00CF27CA" w:rsidRPr="00CF27CA" w14:paraId="0A3D8AC3" w14:textId="77777777" w:rsidTr="007E187A">
        <w:tc>
          <w:tcPr>
            <w:tcW w:w="2166" w:type="pct"/>
            <w:shd w:val="clear" w:color="auto" w:fill="F2F2F2" w:themeFill="background1" w:themeFillShade="F2"/>
            <w:vAlign w:val="center"/>
          </w:tcPr>
          <w:p w14:paraId="12923681" w14:textId="558DB7A2" w:rsidR="0045782D" w:rsidRPr="00CF27CA" w:rsidRDefault="0045782D" w:rsidP="0045782D">
            <w:pPr>
              <w:jc w:val="both"/>
              <w:rPr>
                <w:b/>
                <w:sz w:val="20"/>
                <w:szCs w:val="22"/>
              </w:rPr>
            </w:pPr>
            <w:bookmarkStart w:id="0" w:name="_GoBack"/>
            <w:bookmarkEnd w:id="0"/>
            <w:r w:rsidRPr="00CF27CA">
              <w:rPr>
                <w:rFonts w:cs="Arial"/>
                <w:b/>
                <w:sz w:val="20"/>
                <w:szCs w:val="22"/>
              </w:rPr>
              <w:t>FECHA DE EMISIÓN DEL INFORME</w:t>
            </w:r>
          </w:p>
        </w:tc>
        <w:tc>
          <w:tcPr>
            <w:tcW w:w="472" w:type="pct"/>
            <w:shd w:val="clear" w:color="auto" w:fill="F2F2F2" w:themeFill="background1" w:themeFillShade="F2"/>
            <w:vAlign w:val="center"/>
          </w:tcPr>
          <w:p w14:paraId="14398F64" w14:textId="707D4FA8" w:rsidR="0045782D" w:rsidRPr="00CF27CA" w:rsidRDefault="0045782D" w:rsidP="00B036B5">
            <w:pPr>
              <w:jc w:val="center"/>
              <w:rPr>
                <w:b/>
              </w:rPr>
            </w:pPr>
            <w:r w:rsidRPr="00CF27CA">
              <w:rPr>
                <w:b/>
              </w:rPr>
              <w:t>DÍA</w:t>
            </w:r>
          </w:p>
        </w:tc>
        <w:tc>
          <w:tcPr>
            <w:tcW w:w="472" w:type="pct"/>
            <w:vAlign w:val="center"/>
          </w:tcPr>
          <w:p w14:paraId="7F3EAFB0" w14:textId="72773C56" w:rsidR="0045782D" w:rsidRPr="00CF27CA" w:rsidRDefault="000324E2" w:rsidP="00B036B5">
            <w:pPr>
              <w:jc w:val="center"/>
              <w:rPr>
                <w:bCs/>
              </w:rPr>
            </w:pPr>
            <w:r>
              <w:rPr>
                <w:bCs/>
              </w:rPr>
              <w:t>14</w:t>
            </w:r>
          </w:p>
        </w:tc>
        <w:tc>
          <w:tcPr>
            <w:tcW w:w="472" w:type="pct"/>
            <w:shd w:val="clear" w:color="auto" w:fill="F2F2F2" w:themeFill="background1" w:themeFillShade="F2"/>
            <w:vAlign w:val="center"/>
          </w:tcPr>
          <w:p w14:paraId="22E6F444" w14:textId="06ABE94D" w:rsidR="0045782D" w:rsidRPr="00CF27CA" w:rsidRDefault="0045782D" w:rsidP="00B036B5">
            <w:pPr>
              <w:jc w:val="center"/>
              <w:rPr>
                <w:b/>
              </w:rPr>
            </w:pPr>
            <w:r w:rsidRPr="00CF27CA">
              <w:rPr>
                <w:b/>
              </w:rPr>
              <w:t>MES</w:t>
            </w:r>
          </w:p>
        </w:tc>
        <w:tc>
          <w:tcPr>
            <w:tcW w:w="472" w:type="pct"/>
            <w:vAlign w:val="center"/>
          </w:tcPr>
          <w:p w14:paraId="11359BF7" w14:textId="46E87C00" w:rsidR="0045782D" w:rsidRPr="00CF27CA" w:rsidRDefault="00DB76F9" w:rsidP="00B036B5">
            <w:pPr>
              <w:jc w:val="center"/>
              <w:rPr>
                <w:bCs/>
              </w:rPr>
            </w:pPr>
            <w:r>
              <w:rPr>
                <w:bCs/>
              </w:rPr>
              <w:t>05</w:t>
            </w:r>
          </w:p>
        </w:tc>
        <w:tc>
          <w:tcPr>
            <w:tcW w:w="472" w:type="pct"/>
            <w:shd w:val="clear" w:color="auto" w:fill="F2F2F2" w:themeFill="background1" w:themeFillShade="F2"/>
            <w:vAlign w:val="center"/>
          </w:tcPr>
          <w:p w14:paraId="50ACFC3D" w14:textId="553771D2" w:rsidR="0045782D" w:rsidRPr="00CF27CA" w:rsidRDefault="0045782D" w:rsidP="00B036B5">
            <w:pPr>
              <w:jc w:val="center"/>
              <w:rPr>
                <w:b/>
              </w:rPr>
            </w:pPr>
            <w:r w:rsidRPr="00CF27CA">
              <w:rPr>
                <w:b/>
              </w:rPr>
              <w:t>AÑO</w:t>
            </w:r>
          </w:p>
        </w:tc>
        <w:tc>
          <w:tcPr>
            <w:tcW w:w="474" w:type="pct"/>
            <w:vAlign w:val="center"/>
          </w:tcPr>
          <w:p w14:paraId="0E41B807" w14:textId="40804499" w:rsidR="0045782D" w:rsidRPr="00CF27CA" w:rsidRDefault="00CF27CA" w:rsidP="00B036B5">
            <w:pPr>
              <w:jc w:val="center"/>
            </w:pPr>
            <w:r>
              <w:t>2021</w:t>
            </w:r>
          </w:p>
        </w:tc>
      </w:tr>
      <w:tr w:rsidR="00CF27CA" w14:paraId="149B1566" w14:textId="77777777" w:rsidTr="00CF27CA">
        <w:trPr>
          <w:trHeight w:val="799"/>
        </w:trPr>
        <w:tc>
          <w:tcPr>
            <w:tcW w:w="2166" w:type="pct"/>
            <w:shd w:val="clear" w:color="auto" w:fill="F2F2F2" w:themeFill="background1" w:themeFillShade="F2"/>
            <w:vAlign w:val="center"/>
          </w:tcPr>
          <w:p w14:paraId="2AB28578" w14:textId="53990E23" w:rsidR="00CF27CA" w:rsidRPr="00AD5687" w:rsidRDefault="00CF27CA" w:rsidP="00CF27CA">
            <w:pPr>
              <w:jc w:val="both"/>
              <w:rPr>
                <w:b/>
                <w:sz w:val="20"/>
                <w:szCs w:val="22"/>
              </w:rPr>
            </w:pPr>
            <w:r w:rsidRPr="00AD5687">
              <w:rPr>
                <w:rFonts w:cs="Arial"/>
                <w:b/>
                <w:sz w:val="20"/>
                <w:szCs w:val="22"/>
                <w:lang w:val="es-MX"/>
              </w:rPr>
              <w:t>PROCESO, PROCEDIMIENTO O ACTIVIDAD EVALUADA</w:t>
            </w:r>
          </w:p>
        </w:tc>
        <w:tc>
          <w:tcPr>
            <w:tcW w:w="2834" w:type="pct"/>
            <w:gridSpan w:val="6"/>
            <w:vAlign w:val="center"/>
          </w:tcPr>
          <w:p w14:paraId="1DB71B32" w14:textId="310C8D1D" w:rsidR="00CF27CA" w:rsidRDefault="00CF27CA" w:rsidP="00CF27CA">
            <w:pPr>
              <w:pStyle w:val="Prrafodelista"/>
              <w:ind w:left="31"/>
              <w:jc w:val="both"/>
            </w:pPr>
            <w:r w:rsidRPr="0046063B">
              <w:rPr>
                <w:rFonts w:cs="Arial"/>
              </w:rPr>
              <w:t xml:space="preserve">Informe Seguimiento </w:t>
            </w:r>
            <w:r>
              <w:rPr>
                <w:rFonts w:cs="Arial"/>
              </w:rPr>
              <w:t>Riesgos de Gestión y Corrupción</w:t>
            </w:r>
            <w:r w:rsidRPr="0046063B">
              <w:rPr>
                <w:rFonts w:cs="Arial"/>
              </w:rPr>
              <w:t xml:space="preserve"> - </w:t>
            </w:r>
            <w:r w:rsidR="00DB76F9">
              <w:rPr>
                <w:rFonts w:cs="Arial"/>
              </w:rPr>
              <w:t>Prim</w:t>
            </w:r>
            <w:r>
              <w:rPr>
                <w:rFonts w:cs="Arial"/>
              </w:rPr>
              <w:t>er</w:t>
            </w:r>
            <w:r w:rsidRPr="0046063B">
              <w:rPr>
                <w:rFonts w:cs="Arial"/>
              </w:rPr>
              <w:t xml:space="preserve"> </w:t>
            </w:r>
            <w:r w:rsidR="00DB76F9">
              <w:rPr>
                <w:rFonts w:cs="Arial"/>
              </w:rPr>
              <w:t>Cuatrimestre de 2021</w:t>
            </w:r>
          </w:p>
        </w:tc>
      </w:tr>
      <w:tr w:rsidR="00CF27CA" w14:paraId="1E7326F9" w14:textId="77777777" w:rsidTr="00CF27CA">
        <w:trPr>
          <w:trHeight w:val="852"/>
        </w:trPr>
        <w:tc>
          <w:tcPr>
            <w:tcW w:w="2166" w:type="pct"/>
            <w:shd w:val="clear" w:color="auto" w:fill="F2F2F2" w:themeFill="background1" w:themeFillShade="F2"/>
            <w:vAlign w:val="center"/>
          </w:tcPr>
          <w:p w14:paraId="1C90A16E" w14:textId="33653F2A" w:rsidR="00CF27CA" w:rsidRPr="00AD5687" w:rsidRDefault="00CF27CA" w:rsidP="00CF27CA">
            <w:pPr>
              <w:jc w:val="both"/>
              <w:rPr>
                <w:b/>
                <w:sz w:val="20"/>
                <w:szCs w:val="22"/>
              </w:rPr>
            </w:pPr>
            <w:r w:rsidRPr="00AD5687">
              <w:rPr>
                <w:rFonts w:cs="Arial"/>
                <w:b/>
                <w:sz w:val="20"/>
                <w:szCs w:val="22"/>
                <w:lang w:val="es-MX"/>
              </w:rPr>
              <w:t>RESPONSABLE DEL PROCESO, PROCEDIMIENTO O ACTIVIDAD EVALUADA</w:t>
            </w:r>
          </w:p>
        </w:tc>
        <w:tc>
          <w:tcPr>
            <w:tcW w:w="2834" w:type="pct"/>
            <w:gridSpan w:val="6"/>
            <w:vAlign w:val="center"/>
          </w:tcPr>
          <w:p w14:paraId="738DB55A" w14:textId="24C1E52A" w:rsidR="00CF27CA" w:rsidRDefault="00CF27CA" w:rsidP="00CF27CA">
            <w:pPr>
              <w:pStyle w:val="Prrafodelista"/>
              <w:ind w:left="31"/>
              <w:jc w:val="both"/>
            </w:pPr>
            <w:r>
              <w:rPr>
                <w:rFonts w:cs="Arial"/>
                <w:lang w:val="es-MX"/>
              </w:rPr>
              <w:t>Dependencias del IDPC</w:t>
            </w:r>
          </w:p>
        </w:tc>
      </w:tr>
      <w:tr w:rsidR="00CF27CA" w14:paraId="4069ACF0" w14:textId="77777777" w:rsidTr="00CF27CA">
        <w:trPr>
          <w:trHeight w:val="979"/>
        </w:trPr>
        <w:tc>
          <w:tcPr>
            <w:tcW w:w="2166" w:type="pct"/>
            <w:shd w:val="clear" w:color="auto" w:fill="F2F2F2" w:themeFill="background1" w:themeFillShade="F2"/>
            <w:vAlign w:val="center"/>
          </w:tcPr>
          <w:p w14:paraId="42AAD9E0" w14:textId="64AC8B6E" w:rsidR="00CF27CA" w:rsidRPr="00AD5687" w:rsidRDefault="00CF27CA" w:rsidP="00CF27CA">
            <w:pPr>
              <w:jc w:val="both"/>
              <w:rPr>
                <w:b/>
                <w:sz w:val="20"/>
                <w:szCs w:val="22"/>
              </w:rPr>
            </w:pPr>
            <w:r w:rsidRPr="00AD5687">
              <w:rPr>
                <w:rFonts w:cs="Arial"/>
                <w:b/>
                <w:sz w:val="20"/>
                <w:szCs w:val="22"/>
                <w:lang w:val="es-MX"/>
              </w:rPr>
              <w:t>OBJETIVO GENERAL</w:t>
            </w:r>
          </w:p>
        </w:tc>
        <w:tc>
          <w:tcPr>
            <w:tcW w:w="2834" w:type="pct"/>
            <w:gridSpan w:val="6"/>
            <w:vAlign w:val="center"/>
          </w:tcPr>
          <w:p w14:paraId="2F7541CA" w14:textId="3D8152BA" w:rsidR="00CF27CA" w:rsidRDefault="00CF27CA" w:rsidP="00CF27CA">
            <w:pPr>
              <w:pStyle w:val="Prrafodelista"/>
              <w:ind w:left="31"/>
              <w:jc w:val="both"/>
            </w:pPr>
            <w:r w:rsidRPr="004821EE">
              <w:rPr>
                <w:rFonts w:cs="Arial"/>
              </w:rPr>
              <w:t xml:space="preserve">Verificar </w:t>
            </w:r>
            <w:r>
              <w:rPr>
                <w:rFonts w:cs="Arial"/>
              </w:rPr>
              <w:t>cuatrimestralmente</w:t>
            </w:r>
            <w:r w:rsidRPr="004821EE">
              <w:rPr>
                <w:rFonts w:cs="Arial"/>
              </w:rPr>
              <w:t xml:space="preserve"> el cumplimiento a los avances reportados </w:t>
            </w:r>
            <w:r>
              <w:rPr>
                <w:rFonts w:cs="Arial"/>
              </w:rPr>
              <w:t>en la matriz de riesgos de gestión y corrupción</w:t>
            </w:r>
            <w:r w:rsidRPr="004821EE">
              <w:rPr>
                <w:rFonts w:cs="Arial"/>
              </w:rPr>
              <w:t xml:space="preserve"> por cada </w:t>
            </w:r>
            <w:r>
              <w:rPr>
                <w:rFonts w:cs="Arial"/>
              </w:rPr>
              <w:t>proceso.</w:t>
            </w:r>
            <w:r w:rsidRPr="004821EE">
              <w:rPr>
                <w:rFonts w:cs="Arial"/>
              </w:rPr>
              <w:t xml:space="preserve"> </w:t>
            </w:r>
          </w:p>
        </w:tc>
      </w:tr>
      <w:tr w:rsidR="00CF27CA" w14:paraId="61758759" w14:textId="77777777" w:rsidTr="00CF27CA">
        <w:trPr>
          <w:trHeight w:val="694"/>
        </w:trPr>
        <w:tc>
          <w:tcPr>
            <w:tcW w:w="2166" w:type="pct"/>
            <w:shd w:val="clear" w:color="auto" w:fill="F2F2F2" w:themeFill="background1" w:themeFillShade="F2"/>
            <w:vAlign w:val="center"/>
          </w:tcPr>
          <w:p w14:paraId="311C42C3" w14:textId="77D930F8" w:rsidR="00CF27CA" w:rsidRPr="00AD5687" w:rsidRDefault="00CF27CA" w:rsidP="00CF27CA">
            <w:pPr>
              <w:jc w:val="both"/>
              <w:rPr>
                <w:b/>
                <w:sz w:val="20"/>
                <w:szCs w:val="22"/>
              </w:rPr>
            </w:pPr>
            <w:r w:rsidRPr="00AD5687">
              <w:rPr>
                <w:rFonts w:cs="Arial"/>
                <w:b/>
                <w:sz w:val="20"/>
                <w:szCs w:val="22"/>
              </w:rPr>
              <w:t>ALCANCE</w:t>
            </w:r>
          </w:p>
        </w:tc>
        <w:tc>
          <w:tcPr>
            <w:tcW w:w="2834" w:type="pct"/>
            <w:gridSpan w:val="6"/>
            <w:vAlign w:val="center"/>
          </w:tcPr>
          <w:p w14:paraId="243A08EF" w14:textId="7683A183" w:rsidR="00CF27CA" w:rsidRDefault="00CF27CA" w:rsidP="00DB76F9">
            <w:pPr>
              <w:pStyle w:val="Prrafodelista"/>
              <w:ind w:left="31"/>
              <w:jc w:val="both"/>
            </w:pPr>
            <w:r w:rsidRPr="004821EE">
              <w:rPr>
                <w:rFonts w:cs="Arial"/>
              </w:rPr>
              <w:t xml:space="preserve">Comprende el </w:t>
            </w:r>
            <w:r>
              <w:rPr>
                <w:rFonts w:cs="Arial"/>
              </w:rPr>
              <w:t xml:space="preserve">cuatrimestre de </w:t>
            </w:r>
            <w:r w:rsidR="00DB76F9">
              <w:rPr>
                <w:rFonts w:cs="Arial"/>
              </w:rPr>
              <w:t>enero a abril de 2021</w:t>
            </w:r>
            <w:r>
              <w:rPr>
                <w:rFonts w:cs="Arial"/>
              </w:rPr>
              <w:t>.</w:t>
            </w:r>
          </w:p>
        </w:tc>
      </w:tr>
      <w:tr w:rsidR="00CF27CA" w14:paraId="00289A75" w14:textId="77777777" w:rsidTr="00CF27CA">
        <w:trPr>
          <w:trHeight w:val="1134"/>
        </w:trPr>
        <w:tc>
          <w:tcPr>
            <w:tcW w:w="2166" w:type="pct"/>
            <w:shd w:val="clear" w:color="auto" w:fill="F2F2F2" w:themeFill="background1" w:themeFillShade="F2"/>
            <w:vAlign w:val="center"/>
          </w:tcPr>
          <w:p w14:paraId="74D648F4" w14:textId="3189BBAA" w:rsidR="00CF27CA" w:rsidRPr="00AD5687" w:rsidRDefault="00CF27CA" w:rsidP="00CF27CA">
            <w:pPr>
              <w:jc w:val="both"/>
              <w:rPr>
                <w:b/>
                <w:sz w:val="20"/>
                <w:szCs w:val="22"/>
              </w:rPr>
            </w:pPr>
            <w:r w:rsidRPr="00AD5687">
              <w:rPr>
                <w:rFonts w:cs="Arial"/>
                <w:b/>
                <w:sz w:val="20"/>
                <w:szCs w:val="22"/>
                <w:lang w:val="es-MX"/>
              </w:rPr>
              <w:t>CRITERIOS</w:t>
            </w:r>
          </w:p>
        </w:tc>
        <w:tc>
          <w:tcPr>
            <w:tcW w:w="2834" w:type="pct"/>
            <w:gridSpan w:val="6"/>
            <w:vAlign w:val="center"/>
          </w:tcPr>
          <w:p w14:paraId="7437FE6C" w14:textId="77777777" w:rsidR="00CF27CA" w:rsidRPr="00CF27CA" w:rsidRDefault="00CF27CA" w:rsidP="00CF27CA">
            <w:pPr>
              <w:pStyle w:val="NormalWeb"/>
              <w:numPr>
                <w:ilvl w:val="0"/>
                <w:numId w:val="9"/>
              </w:numPr>
              <w:spacing w:before="0" w:beforeAutospacing="0" w:after="0" w:afterAutospacing="0"/>
              <w:ind w:left="360"/>
              <w:jc w:val="both"/>
              <w:rPr>
                <w:rFonts w:ascii="Arial" w:hAnsi="Arial" w:cs="Arial"/>
                <w:sz w:val="22"/>
                <w:szCs w:val="20"/>
              </w:rPr>
            </w:pPr>
            <w:r w:rsidRPr="00CF27CA">
              <w:rPr>
                <w:rFonts w:ascii="Arial" w:hAnsi="Arial" w:cs="Arial"/>
                <w:sz w:val="22"/>
                <w:szCs w:val="20"/>
              </w:rPr>
              <w:t>Ley 87 de 1993 “Por la cual se establecen normas para el ejercicio del control interno en las entidades y organismos del estado y se dictan otras disposiciones”</w:t>
            </w:r>
          </w:p>
          <w:p w14:paraId="232858F7" w14:textId="77777777" w:rsidR="00CF27CA" w:rsidRPr="00CF27CA" w:rsidRDefault="00CF27CA" w:rsidP="00CF27CA">
            <w:pPr>
              <w:pStyle w:val="NormalWeb"/>
              <w:numPr>
                <w:ilvl w:val="0"/>
                <w:numId w:val="9"/>
              </w:numPr>
              <w:spacing w:before="0" w:beforeAutospacing="0" w:after="0" w:afterAutospacing="0"/>
              <w:ind w:left="360"/>
              <w:jc w:val="both"/>
              <w:rPr>
                <w:rFonts w:ascii="Arial" w:hAnsi="Arial" w:cs="Arial"/>
                <w:sz w:val="22"/>
                <w:szCs w:val="20"/>
              </w:rPr>
            </w:pPr>
            <w:r w:rsidRPr="00CF27CA">
              <w:rPr>
                <w:rFonts w:ascii="Arial" w:hAnsi="Arial" w:cs="Arial"/>
                <w:sz w:val="22"/>
                <w:szCs w:val="20"/>
              </w:rPr>
              <w:t>Ley 1474 de 2011 “Por la cual se dictan normas orientadas a fortalecer los mecanismos de prevención, investigación y sanción de actos de corrupción y la efectividad del control de la gestión pública.”</w:t>
            </w:r>
          </w:p>
          <w:p w14:paraId="5DE9CC94" w14:textId="77777777" w:rsidR="00CF27CA" w:rsidRPr="00CF27CA" w:rsidRDefault="00CF27CA" w:rsidP="00CF27CA">
            <w:pPr>
              <w:pStyle w:val="NormalWeb"/>
              <w:numPr>
                <w:ilvl w:val="0"/>
                <w:numId w:val="9"/>
              </w:numPr>
              <w:spacing w:before="0" w:beforeAutospacing="0" w:after="0" w:afterAutospacing="0"/>
              <w:ind w:left="360"/>
              <w:jc w:val="both"/>
              <w:rPr>
                <w:rFonts w:ascii="Arial" w:hAnsi="Arial" w:cs="Arial"/>
                <w:sz w:val="22"/>
                <w:szCs w:val="20"/>
              </w:rPr>
            </w:pPr>
            <w:r w:rsidRPr="00CF27CA">
              <w:rPr>
                <w:rFonts w:ascii="Arial" w:hAnsi="Arial" w:cs="Arial"/>
                <w:sz w:val="22"/>
                <w:szCs w:val="20"/>
              </w:rPr>
              <w:t>Ley 1712 de 2014 art 18 y 19 “Por medio de la cual se crea la Ley de Transparencia y del Derecho de Acceso a la Información Pública Nacional y se dictan otras disposiciones.”</w:t>
            </w:r>
          </w:p>
          <w:p w14:paraId="6D5A233A" w14:textId="77777777" w:rsidR="00CF27CA" w:rsidRPr="00CF27CA" w:rsidRDefault="00CF27CA" w:rsidP="00CF27CA">
            <w:pPr>
              <w:pStyle w:val="NormalWeb"/>
              <w:numPr>
                <w:ilvl w:val="0"/>
                <w:numId w:val="9"/>
              </w:numPr>
              <w:spacing w:before="0" w:beforeAutospacing="0" w:after="0" w:afterAutospacing="0"/>
              <w:ind w:left="360"/>
              <w:jc w:val="both"/>
              <w:rPr>
                <w:rFonts w:ascii="Arial" w:hAnsi="Arial" w:cs="Arial"/>
                <w:sz w:val="22"/>
                <w:szCs w:val="20"/>
              </w:rPr>
            </w:pPr>
            <w:r w:rsidRPr="00CF27CA">
              <w:rPr>
                <w:rFonts w:ascii="Arial" w:hAnsi="Arial" w:cs="Arial"/>
                <w:sz w:val="22"/>
                <w:szCs w:val="20"/>
              </w:rPr>
              <w:t>Decreto 1083 de 2015 “Por medio del cual se expide el Decreto Único Reglamentario del Sector de Función Pública”</w:t>
            </w:r>
          </w:p>
          <w:p w14:paraId="360663A1" w14:textId="77777777" w:rsidR="00CF27CA" w:rsidRPr="00CF27CA" w:rsidRDefault="00CF27CA" w:rsidP="00CF27CA">
            <w:pPr>
              <w:pStyle w:val="Default"/>
              <w:numPr>
                <w:ilvl w:val="0"/>
                <w:numId w:val="9"/>
              </w:numPr>
              <w:ind w:left="360"/>
              <w:jc w:val="both"/>
              <w:rPr>
                <w:color w:val="auto"/>
                <w:sz w:val="22"/>
                <w:szCs w:val="20"/>
              </w:rPr>
            </w:pPr>
            <w:r w:rsidRPr="00CF27CA">
              <w:rPr>
                <w:color w:val="auto"/>
                <w:sz w:val="22"/>
                <w:szCs w:val="20"/>
              </w:rPr>
              <w:t>Decreto 648 de 2017 “Por el cual se modifica y adiciona el Decreto 1083 de 2015, Reglamentario Único del Sector de la Función Pública”.</w:t>
            </w:r>
          </w:p>
          <w:p w14:paraId="2E28DF32" w14:textId="77777777" w:rsidR="00CF27CA" w:rsidRPr="00CF27CA" w:rsidRDefault="00CF27CA" w:rsidP="00CF27CA">
            <w:pPr>
              <w:pStyle w:val="Default"/>
              <w:numPr>
                <w:ilvl w:val="0"/>
                <w:numId w:val="9"/>
              </w:numPr>
              <w:ind w:left="360"/>
              <w:jc w:val="both"/>
              <w:rPr>
                <w:color w:val="auto"/>
                <w:sz w:val="22"/>
                <w:szCs w:val="20"/>
              </w:rPr>
            </w:pPr>
            <w:r w:rsidRPr="00CF27CA">
              <w:rPr>
                <w:color w:val="auto"/>
                <w:sz w:val="22"/>
                <w:szCs w:val="20"/>
              </w:rPr>
              <w:t>Decreto 1499 de 2017 “Por medio del cual se modifica el Decreto 1083 de 2015, Decreto Único Reglamentario del Sector Función Pública, en lo relacionado con el Sistema de Gestión establecido en el artículo 133 de la Ley 1753 de 2015”</w:t>
            </w:r>
          </w:p>
          <w:p w14:paraId="7107547B" w14:textId="77777777" w:rsidR="00CF27CA" w:rsidRPr="00CF27CA" w:rsidRDefault="00CF27CA" w:rsidP="00CF27CA">
            <w:pPr>
              <w:pStyle w:val="Default"/>
              <w:numPr>
                <w:ilvl w:val="0"/>
                <w:numId w:val="9"/>
              </w:numPr>
              <w:ind w:left="360"/>
              <w:jc w:val="both"/>
              <w:rPr>
                <w:color w:val="auto"/>
                <w:sz w:val="28"/>
              </w:rPr>
            </w:pPr>
            <w:r w:rsidRPr="00CF27CA">
              <w:rPr>
                <w:color w:val="auto"/>
                <w:sz w:val="22"/>
                <w:szCs w:val="20"/>
              </w:rPr>
              <w:t>Decreto 338 de 2019 “Por el cual se modifica el Decreto 1083 de 2015, Único Reglamentario del Sector de Función Pública, en lo relacionado con el Sistema de Control Interno y se crea la Red Anticorrupción”</w:t>
            </w:r>
          </w:p>
          <w:p w14:paraId="0AEE6E7F" w14:textId="77777777" w:rsidR="00CF27CA" w:rsidRPr="00CF27CA" w:rsidRDefault="00CF27CA" w:rsidP="00CF27CA">
            <w:pPr>
              <w:pStyle w:val="Default"/>
              <w:numPr>
                <w:ilvl w:val="0"/>
                <w:numId w:val="9"/>
              </w:numPr>
              <w:ind w:left="360"/>
              <w:jc w:val="both"/>
              <w:rPr>
                <w:color w:val="auto"/>
                <w:sz w:val="28"/>
              </w:rPr>
            </w:pPr>
            <w:r w:rsidRPr="00CF27CA">
              <w:rPr>
                <w:color w:val="auto"/>
                <w:sz w:val="22"/>
                <w:szCs w:val="20"/>
              </w:rPr>
              <w:t>Guía para la administración de riesgos</w:t>
            </w:r>
          </w:p>
          <w:p w14:paraId="5BB9C0DC" w14:textId="7811A685" w:rsidR="00CF27CA" w:rsidRPr="00CF27CA" w:rsidRDefault="00CF27CA" w:rsidP="00CF27CA">
            <w:pPr>
              <w:pStyle w:val="Default"/>
              <w:numPr>
                <w:ilvl w:val="0"/>
                <w:numId w:val="9"/>
              </w:numPr>
              <w:ind w:left="360"/>
              <w:jc w:val="both"/>
              <w:rPr>
                <w:color w:val="auto"/>
                <w:sz w:val="28"/>
              </w:rPr>
            </w:pPr>
            <w:r w:rsidRPr="004156D2">
              <w:rPr>
                <w:sz w:val="22"/>
                <w:szCs w:val="20"/>
              </w:rPr>
              <w:t>Matriz Riesgos</w:t>
            </w:r>
          </w:p>
        </w:tc>
      </w:tr>
      <w:tr w:rsidR="00CF27CA" w14:paraId="4B60AD89" w14:textId="77777777" w:rsidTr="00CF27CA">
        <w:trPr>
          <w:trHeight w:val="498"/>
        </w:trPr>
        <w:tc>
          <w:tcPr>
            <w:tcW w:w="2166" w:type="pct"/>
            <w:shd w:val="clear" w:color="auto" w:fill="F2F2F2" w:themeFill="background1" w:themeFillShade="F2"/>
            <w:vAlign w:val="center"/>
          </w:tcPr>
          <w:p w14:paraId="07E409BC" w14:textId="3D499669" w:rsidR="00CF27CA" w:rsidRPr="00AD5687" w:rsidRDefault="00CF27CA" w:rsidP="00CF27CA">
            <w:pPr>
              <w:jc w:val="both"/>
              <w:rPr>
                <w:rFonts w:cs="Arial"/>
                <w:b/>
                <w:sz w:val="20"/>
                <w:szCs w:val="22"/>
                <w:lang w:val="es-MX"/>
              </w:rPr>
            </w:pPr>
            <w:r w:rsidRPr="00AD5687">
              <w:rPr>
                <w:rFonts w:cs="Arial"/>
                <w:b/>
                <w:sz w:val="20"/>
                <w:szCs w:val="22"/>
                <w:lang w:val="es-MX"/>
              </w:rPr>
              <w:lastRenderedPageBreak/>
              <w:t>PRUEBAS DE AUDITORÍA</w:t>
            </w:r>
          </w:p>
        </w:tc>
        <w:tc>
          <w:tcPr>
            <w:tcW w:w="2834" w:type="pct"/>
            <w:gridSpan w:val="6"/>
            <w:vAlign w:val="center"/>
          </w:tcPr>
          <w:p w14:paraId="52561496" w14:textId="395168DA" w:rsidR="00CF27CA" w:rsidRPr="00097C7B" w:rsidRDefault="00CF27CA" w:rsidP="00CF27CA">
            <w:pPr>
              <w:pStyle w:val="Prrafodelista"/>
              <w:ind w:left="31"/>
              <w:jc w:val="both"/>
              <w:rPr>
                <w:sz w:val="20"/>
                <w:szCs w:val="22"/>
              </w:rPr>
            </w:pPr>
            <w:r w:rsidRPr="004821EE">
              <w:rPr>
                <w:rFonts w:cs="Arial"/>
              </w:rPr>
              <w:t>Verificación documental</w:t>
            </w:r>
          </w:p>
        </w:tc>
      </w:tr>
      <w:tr w:rsidR="00CF27CA" w14:paraId="3D795E5E" w14:textId="77777777" w:rsidTr="00CF27CA">
        <w:trPr>
          <w:trHeight w:val="561"/>
        </w:trPr>
        <w:tc>
          <w:tcPr>
            <w:tcW w:w="2166" w:type="pct"/>
            <w:shd w:val="clear" w:color="auto" w:fill="F2F2F2" w:themeFill="background1" w:themeFillShade="F2"/>
            <w:vAlign w:val="center"/>
          </w:tcPr>
          <w:p w14:paraId="757E46A4" w14:textId="4B1C1735" w:rsidR="00CF27CA" w:rsidRPr="00AD5687" w:rsidRDefault="00CF27CA" w:rsidP="00CF27CA">
            <w:pPr>
              <w:jc w:val="both"/>
              <w:rPr>
                <w:rFonts w:cs="Arial"/>
                <w:b/>
                <w:sz w:val="20"/>
                <w:szCs w:val="22"/>
                <w:lang w:val="es-MX"/>
              </w:rPr>
            </w:pPr>
            <w:r w:rsidRPr="00AD5687">
              <w:rPr>
                <w:rFonts w:cs="Arial"/>
                <w:b/>
                <w:sz w:val="20"/>
                <w:szCs w:val="22"/>
                <w:lang w:val="es-MX"/>
              </w:rPr>
              <w:t>EQUIPO AUDITOR</w:t>
            </w:r>
          </w:p>
        </w:tc>
        <w:tc>
          <w:tcPr>
            <w:tcW w:w="2834" w:type="pct"/>
            <w:gridSpan w:val="6"/>
            <w:vAlign w:val="center"/>
          </w:tcPr>
          <w:p w14:paraId="0868F486" w14:textId="03303A75" w:rsidR="00CF27CA" w:rsidRPr="00097C7B" w:rsidRDefault="00CF27CA" w:rsidP="00CF27CA">
            <w:pPr>
              <w:pStyle w:val="Prrafodelista"/>
              <w:ind w:left="31"/>
              <w:jc w:val="both"/>
              <w:rPr>
                <w:sz w:val="20"/>
                <w:szCs w:val="22"/>
              </w:rPr>
            </w:pPr>
            <w:r w:rsidRPr="00CF27CA">
              <w:rPr>
                <w:szCs w:val="20"/>
              </w:rPr>
              <w:t xml:space="preserve">Eleana Marcela Páez Urrego </w:t>
            </w:r>
          </w:p>
        </w:tc>
      </w:tr>
      <w:tr w:rsidR="00CF27CA" w14:paraId="022BA904" w14:textId="77777777" w:rsidTr="00CF27CA">
        <w:trPr>
          <w:trHeight w:val="697"/>
        </w:trPr>
        <w:tc>
          <w:tcPr>
            <w:tcW w:w="2166" w:type="pct"/>
            <w:shd w:val="clear" w:color="auto" w:fill="F2F2F2" w:themeFill="background1" w:themeFillShade="F2"/>
            <w:vAlign w:val="center"/>
          </w:tcPr>
          <w:p w14:paraId="0C29F327" w14:textId="0FB316A9" w:rsidR="00CF27CA" w:rsidRPr="00AD5687" w:rsidRDefault="00CF27CA" w:rsidP="00CF27CA">
            <w:pPr>
              <w:jc w:val="both"/>
              <w:rPr>
                <w:rFonts w:cs="Arial"/>
                <w:b/>
                <w:sz w:val="20"/>
                <w:szCs w:val="22"/>
                <w:lang w:val="es-MX"/>
              </w:rPr>
            </w:pPr>
            <w:r w:rsidRPr="00AD5687">
              <w:rPr>
                <w:rFonts w:cs="Arial"/>
                <w:b/>
                <w:sz w:val="20"/>
                <w:szCs w:val="22"/>
              </w:rPr>
              <w:t>FECHA DE EJECUCIÓN DE LA AUDITORÍA</w:t>
            </w:r>
          </w:p>
        </w:tc>
        <w:tc>
          <w:tcPr>
            <w:tcW w:w="2834" w:type="pct"/>
            <w:gridSpan w:val="6"/>
            <w:vAlign w:val="center"/>
          </w:tcPr>
          <w:p w14:paraId="4061C768" w14:textId="50CA9C9D" w:rsidR="00CF27CA" w:rsidRPr="00097C7B" w:rsidRDefault="00CF27CA" w:rsidP="00DB76F9">
            <w:pPr>
              <w:pStyle w:val="Prrafodelista"/>
              <w:ind w:left="31"/>
              <w:jc w:val="both"/>
              <w:rPr>
                <w:sz w:val="20"/>
                <w:szCs w:val="22"/>
              </w:rPr>
            </w:pPr>
            <w:r w:rsidRPr="004821EE">
              <w:rPr>
                <w:rFonts w:cs="Arial"/>
              </w:rPr>
              <w:t xml:space="preserve">Del </w:t>
            </w:r>
            <w:r w:rsidR="00DB76F9">
              <w:rPr>
                <w:rFonts w:cs="Arial"/>
              </w:rPr>
              <w:t>07 al 11</w:t>
            </w:r>
            <w:r>
              <w:rPr>
                <w:rFonts w:cs="Arial"/>
              </w:rPr>
              <w:t xml:space="preserve"> de </w:t>
            </w:r>
            <w:r w:rsidR="00DB76F9">
              <w:rPr>
                <w:rFonts w:cs="Arial"/>
              </w:rPr>
              <w:t>may</w:t>
            </w:r>
            <w:r>
              <w:rPr>
                <w:rFonts w:cs="Arial"/>
              </w:rPr>
              <w:t>o de 2021</w:t>
            </w:r>
          </w:p>
        </w:tc>
      </w:tr>
      <w:tr w:rsidR="00CF27CA" w14:paraId="48D3900F" w14:textId="77777777" w:rsidTr="00CF27CA">
        <w:trPr>
          <w:trHeight w:val="1134"/>
        </w:trPr>
        <w:tc>
          <w:tcPr>
            <w:tcW w:w="2166" w:type="pct"/>
            <w:shd w:val="clear" w:color="auto" w:fill="F2F2F2" w:themeFill="background1" w:themeFillShade="F2"/>
            <w:vAlign w:val="center"/>
          </w:tcPr>
          <w:p w14:paraId="5FFFB5D3" w14:textId="64791308" w:rsidR="00CF27CA" w:rsidRPr="00AD5687" w:rsidRDefault="00CF27CA" w:rsidP="00CF27CA">
            <w:pPr>
              <w:jc w:val="both"/>
              <w:rPr>
                <w:rFonts w:cs="Arial"/>
                <w:b/>
                <w:sz w:val="20"/>
                <w:szCs w:val="22"/>
                <w:lang w:val="es-MX"/>
              </w:rPr>
            </w:pPr>
            <w:r w:rsidRPr="00AD5687">
              <w:rPr>
                <w:rFonts w:cs="Arial"/>
                <w:b/>
                <w:sz w:val="20"/>
                <w:szCs w:val="22"/>
              </w:rPr>
              <w:t>INSUMOS</w:t>
            </w:r>
          </w:p>
        </w:tc>
        <w:tc>
          <w:tcPr>
            <w:tcW w:w="2834" w:type="pct"/>
            <w:gridSpan w:val="6"/>
            <w:vAlign w:val="center"/>
          </w:tcPr>
          <w:p w14:paraId="6FEF4268" w14:textId="3D524FD5" w:rsidR="00CF27CA" w:rsidRPr="00097C7B" w:rsidRDefault="00CF27CA" w:rsidP="00DB76F9">
            <w:pPr>
              <w:pStyle w:val="Prrafodelista"/>
              <w:ind w:left="31"/>
              <w:jc w:val="both"/>
              <w:rPr>
                <w:sz w:val="20"/>
                <w:szCs w:val="22"/>
              </w:rPr>
            </w:pPr>
            <w:r>
              <w:rPr>
                <w:szCs w:val="20"/>
              </w:rPr>
              <w:t>Los resultados</w:t>
            </w:r>
            <w:r w:rsidRPr="00CF27CA">
              <w:rPr>
                <w:szCs w:val="20"/>
              </w:rPr>
              <w:t xml:space="preserve"> se fundamentan en la información solicitada a la Oficina Asesora de Planeación, a través del radicado </w:t>
            </w:r>
            <w:r>
              <w:rPr>
                <w:szCs w:val="20"/>
              </w:rPr>
              <w:t>2021</w:t>
            </w:r>
            <w:r w:rsidRPr="00CF27CA">
              <w:rPr>
                <w:szCs w:val="20"/>
              </w:rPr>
              <w:t>12000</w:t>
            </w:r>
            <w:r w:rsidR="00DB76F9">
              <w:rPr>
                <w:szCs w:val="20"/>
              </w:rPr>
              <w:t>76</w:t>
            </w:r>
            <w:r>
              <w:rPr>
                <w:szCs w:val="20"/>
              </w:rPr>
              <w:t>0</w:t>
            </w:r>
            <w:r w:rsidR="00DB76F9">
              <w:rPr>
                <w:szCs w:val="20"/>
              </w:rPr>
              <w:t>6</w:t>
            </w:r>
            <w:r w:rsidRPr="00CF27CA">
              <w:rPr>
                <w:szCs w:val="20"/>
              </w:rPr>
              <w:t xml:space="preserve">3 del </w:t>
            </w:r>
            <w:r w:rsidR="00DB76F9">
              <w:rPr>
                <w:szCs w:val="20"/>
              </w:rPr>
              <w:t>03/05</w:t>
            </w:r>
            <w:r>
              <w:rPr>
                <w:szCs w:val="20"/>
              </w:rPr>
              <w:t xml:space="preserve">/2021 </w:t>
            </w:r>
            <w:r w:rsidR="00DB76F9">
              <w:rPr>
                <w:szCs w:val="20"/>
              </w:rPr>
              <w:t>y respondida con radicado 202122</w:t>
            </w:r>
            <w:r>
              <w:rPr>
                <w:szCs w:val="20"/>
              </w:rPr>
              <w:t>000</w:t>
            </w:r>
            <w:r w:rsidR="00DB76F9">
              <w:rPr>
                <w:szCs w:val="20"/>
              </w:rPr>
              <w:t>79</w:t>
            </w:r>
            <w:r>
              <w:rPr>
                <w:szCs w:val="20"/>
              </w:rPr>
              <w:t>1</w:t>
            </w:r>
            <w:r w:rsidR="00DB76F9">
              <w:rPr>
                <w:szCs w:val="20"/>
              </w:rPr>
              <w:t>23 del 07/05</w:t>
            </w:r>
            <w:r>
              <w:rPr>
                <w:szCs w:val="20"/>
              </w:rPr>
              <w:t>/2021</w:t>
            </w:r>
            <w:r w:rsidRPr="00CF27CA">
              <w:rPr>
                <w:szCs w:val="20"/>
              </w:rPr>
              <w:t xml:space="preserve">. </w:t>
            </w:r>
          </w:p>
        </w:tc>
      </w:tr>
      <w:tr w:rsidR="00CF27CA" w14:paraId="0ACC3BE1" w14:textId="77777777" w:rsidTr="00CF27CA">
        <w:trPr>
          <w:trHeight w:val="695"/>
        </w:trPr>
        <w:tc>
          <w:tcPr>
            <w:tcW w:w="2166" w:type="pct"/>
            <w:shd w:val="clear" w:color="auto" w:fill="F2F2F2" w:themeFill="background1" w:themeFillShade="F2"/>
            <w:vAlign w:val="center"/>
          </w:tcPr>
          <w:p w14:paraId="774A6816" w14:textId="13DBF83E" w:rsidR="00CF27CA" w:rsidRPr="00AD5687" w:rsidRDefault="00CF27CA" w:rsidP="00CF27CA">
            <w:pPr>
              <w:jc w:val="both"/>
              <w:rPr>
                <w:rFonts w:cs="Arial"/>
                <w:b/>
                <w:sz w:val="20"/>
                <w:szCs w:val="22"/>
                <w:lang w:val="es-MX"/>
              </w:rPr>
            </w:pPr>
            <w:r w:rsidRPr="00AD5687">
              <w:rPr>
                <w:rFonts w:cs="Arial"/>
                <w:b/>
                <w:sz w:val="20"/>
                <w:szCs w:val="22"/>
              </w:rPr>
              <w:t>LIMITACIONES DE LA EVALUACIÓN Y/O SEGUIMIENTO</w:t>
            </w:r>
          </w:p>
        </w:tc>
        <w:tc>
          <w:tcPr>
            <w:tcW w:w="2834" w:type="pct"/>
            <w:gridSpan w:val="6"/>
            <w:vAlign w:val="center"/>
          </w:tcPr>
          <w:p w14:paraId="7C880F9F" w14:textId="0AA2F6AD" w:rsidR="00CF27CA" w:rsidRPr="00097C7B" w:rsidRDefault="00EF3DE4" w:rsidP="00EF3DE4">
            <w:pPr>
              <w:pStyle w:val="Prrafodelista"/>
              <w:ind w:left="31"/>
              <w:jc w:val="both"/>
              <w:rPr>
                <w:sz w:val="20"/>
                <w:szCs w:val="22"/>
              </w:rPr>
            </w:pPr>
            <w:r>
              <w:rPr>
                <w:rFonts w:cs="Arial"/>
              </w:rPr>
              <w:t>Falta de identificación por parte de los procesos, de los controles y acciones de mitigación que no tienen continuidad en la vigencia 2021</w:t>
            </w:r>
          </w:p>
        </w:tc>
      </w:tr>
    </w:tbl>
    <w:p w14:paraId="4162D6BC" w14:textId="77777777" w:rsidR="007E187A" w:rsidRDefault="007E187A" w:rsidP="007E187A">
      <w:pPr>
        <w:pStyle w:val="Prrafodelista"/>
        <w:rPr>
          <w:rFonts w:cs="Arial"/>
          <w:b/>
        </w:rPr>
      </w:pPr>
    </w:p>
    <w:p w14:paraId="6C8CE5A8" w14:textId="77777777" w:rsidR="00F1402C" w:rsidRPr="00CF27CA" w:rsidRDefault="00F1402C" w:rsidP="00CF27CA">
      <w:pPr>
        <w:rPr>
          <w:rFonts w:cs="Arial"/>
          <w:b/>
        </w:rPr>
      </w:pPr>
    </w:p>
    <w:p w14:paraId="45635FF4" w14:textId="59482FE9" w:rsidR="007E187A" w:rsidRPr="007E187A" w:rsidRDefault="007E187A" w:rsidP="007E187A">
      <w:pPr>
        <w:pStyle w:val="Prrafodelista"/>
        <w:numPr>
          <w:ilvl w:val="0"/>
          <w:numId w:val="8"/>
        </w:numPr>
        <w:jc w:val="center"/>
        <w:rPr>
          <w:rFonts w:cs="Arial"/>
          <w:b/>
        </w:rPr>
      </w:pPr>
      <w:r w:rsidRPr="007E187A">
        <w:rPr>
          <w:rFonts w:cs="Arial"/>
          <w:b/>
        </w:rPr>
        <w:t>RESULTADOS DE LA EVALUACIÓN Y/O SEGUIMIENTO</w:t>
      </w:r>
    </w:p>
    <w:p w14:paraId="1064F87F" w14:textId="77777777" w:rsidR="007E187A" w:rsidRPr="007E187A" w:rsidRDefault="007E187A" w:rsidP="007E187A">
      <w:pPr>
        <w:jc w:val="both"/>
        <w:rPr>
          <w:rFonts w:cs="Arial"/>
          <w:b/>
        </w:rPr>
      </w:pPr>
    </w:p>
    <w:p w14:paraId="769ABEAD" w14:textId="2C4807E1" w:rsidR="005E5D95" w:rsidRPr="005E5D95" w:rsidRDefault="00EF3DE4" w:rsidP="005E5D95">
      <w:pPr>
        <w:jc w:val="both"/>
        <w:rPr>
          <w:rFonts w:cs="Arial"/>
          <w:i/>
          <w:szCs w:val="22"/>
        </w:rPr>
      </w:pPr>
      <w:r>
        <w:rPr>
          <w:rFonts w:cs="Arial"/>
          <w:szCs w:val="22"/>
        </w:rPr>
        <w:t>L</w:t>
      </w:r>
      <w:r w:rsidR="005E5D95">
        <w:rPr>
          <w:rFonts w:cs="Arial"/>
          <w:szCs w:val="22"/>
        </w:rPr>
        <w:t>a</w:t>
      </w:r>
      <w:r w:rsidR="005E5D95" w:rsidRPr="005E5D95">
        <w:rPr>
          <w:rFonts w:cs="Arial"/>
          <w:szCs w:val="22"/>
        </w:rPr>
        <w:t xml:space="preserve"> Oficina Asesora de Planeación</w:t>
      </w:r>
      <w:r w:rsidR="005E5D95">
        <w:rPr>
          <w:rFonts w:cs="Arial"/>
          <w:szCs w:val="22"/>
        </w:rPr>
        <w:t>, mediante correo electrónico del 23 de abril de 2021 informa que “</w:t>
      </w:r>
      <w:r w:rsidR="005E5D95" w:rsidRPr="005E5D95">
        <w:rPr>
          <w:rFonts w:cs="Arial"/>
          <w:i/>
          <w:szCs w:val="22"/>
        </w:rPr>
        <w:t>se encuentra en un proceso de actualización del manual de riesgos de acuerdo con los lineamientos establecidos en la "Guía para la administración del riesgo y el diseño de controles en entidades públicas" Versión 5, publicada en diciembre de 2020, que actualiza de fondo la identificación y evaluación de los riesgos.</w:t>
      </w:r>
    </w:p>
    <w:p w14:paraId="2991EFFB" w14:textId="77777777" w:rsidR="005E5D95" w:rsidRPr="005E5D95" w:rsidRDefault="005E5D95" w:rsidP="005E5D95">
      <w:pPr>
        <w:jc w:val="both"/>
        <w:rPr>
          <w:rFonts w:cs="Arial"/>
          <w:i/>
          <w:szCs w:val="22"/>
        </w:rPr>
      </w:pPr>
    </w:p>
    <w:p w14:paraId="5EB030D8" w14:textId="149844F7" w:rsidR="005E5D95" w:rsidRPr="005E5D95" w:rsidRDefault="005E5D95" w:rsidP="005E5D95">
      <w:pPr>
        <w:jc w:val="both"/>
        <w:rPr>
          <w:rFonts w:cs="Arial"/>
          <w:szCs w:val="22"/>
        </w:rPr>
      </w:pPr>
      <w:r w:rsidRPr="005E5D95">
        <w:rPr>
          <w:rFonts w:cs="Arial"/>
          <w:i/>
          <w:szCs w:val="22"/>
        </w:rPr>
        <w:t>Por esta razón para el corte de abril (primer cuatrimestre), se requiere que envíen las evidencias de los riesgos de corrupción y de los controles para los que hayan tenido continuidad en el año 2021</w:t>
      </w:r>
      <w:r>
        <w:rPr>
          <w:rFonts w:cs="Arial"/>
          <w:szCs w:val="22"/>
        </w:rPr>
        <w:t>”</w:t>
      </w:r>
      <w:r w:rsidRPr="005E5D95">
        <w:rPr>
          <w:rFonts w:cs="Arial"/>
          <w:szCs w:val="22"/>
        </w:rPr>
        <w:t>. </w:t>
      </w:r>
    </w:p>
    <w:p w14:paraId="060986A3" w14:textId="0EC0646F" w:rsidR="005E071D" w:rsidRDefault="005E071D" w:rsidP="00E73C0A">
      <w:pPr>
        <w:pStyle w:val="Prrafodelista"/>
        <w:ind w:left="0"/>
        <w:jc w:val="both"/>
        <w:rPr>
          <w:rFonts w:cs="Arial"/>
          <w:szCs w:val="22"/>
        </w:rPr>
      </w:pPr>
    </w:p>
    <w:p w14:paraId="001AA386" w14:textId="2D2DE9C7" w:rsidR="00CF27CA" w:rsidRDefault="00EF3DE4" w:rsidP="00E73C0A">
      <w:pPr>
        <w:pStyle w:val="Prrafodelista"/>
        <w:ind w:left="0"/>
        <w:jc w:val="both"/>
        <w:rPr>
          <w:rFonts w:cs="Arial"/>
          <w:szCs w:val="22"/>
        </w:rPr>
      </w:pPr>
      <w:r>
        <w:rPr>
          <w:rFonts w:cs="Arial"/>
          <w:szCs w:val="22"/>
        </w:rPr>
        <w:t xml:space="preserve">Teniendo en cuenta lo anterior, así como la obligación </w:t>
      </w:r>
      <w:r w:rsidRPr="007B181C">
        <w:rPr>
          <w:rFonts w:cs="Arial"/>
          <w:szCs w:val="22"/>
        </w:rPr>
        <w:t>de realizar evaluación independiente sobre la gestión del riesgo en la entidad</w:t>
      </w:r>
      <w:r>
        <w:rPr>
          <w:rFonts w:cs="Arial"/>
          <w:szCs w:val="22"/>
        </w:rPr>
        <w:t xml:space="preserve">, la Asesoría </w:t>
      </w:r>
      <w:r w:rsidR="00CF27CA">
        <w:rPr>
          <w:rFonts w:cs="Arial"/>
          <w:szCs w:val="22"/>
        </w:rPr>
        <w:t>de Control Interno</w:t>
      </w:r>
      <w:r>
        <w:rPr>
          <w:rFonts w:cs="Arial"/>
          <w:szCs w:val="22"/>
        </w:rPr>
        <w:t xml:space="preserve"> procedió a realizar e</w:t>
      </w:r>
      <w:r w:rsidR="00CF27CA" w:rsidRPr="007B181C">
        <w:rPr>
          <w:rFonts w:cs="Arial"/>
          <w:szCs w:val="22"/>
        </w:rPr>
        <w:t xml:space="preserve">l seguimiento </w:t>
      </w:r>
      <w:r>
        <w:rPr>
          <w:rFonts w:cs="Arial"/>
          <w:szCs w:val="22"/>
        </w:rPr>
        <w:t>respectivo</w:t>
      </w:r>
      <w:r w:rsidR="00CF27CA">
        <w:rPr>
          <w:rFonts w:cs="Arial"/>
          <w:szCs w:val="22"/>
        </w:rPr>
        <w:t xml:space="preserve">, en el cual se tuvo en cuenta, </w:t>
      </w:r>
      <w:r w:rsidR="00DB76F9">
        <w:rPr>
          <w:rFonts w:cs="Arial"/>
          <w:szCs w:val="22"/>
        </w:rPr>
        <w:t>los resultados</w:t>
      </w:r>
      <w:r w:rsidR="00CF27CA">
        <w:rPr>
          <w:rFonts w:cs="Arial"/>
          <w:szCs w:val="22"/>
        </w:rPr>
        <w:t xml:space="preserve"> en el seguimiento anterior, así como el análisis de</w:t>
      </w:r>
      <w:r w:rsidR="00DB76F9">
        <w:rPr>
          <w:rFonts w:cs="Arial"/>
          <w:szCs w:val="22"/>
        </w:rPr>
        <w:t>l monitoreo y</w:t>
      </w:r>
      <w:r w:rsidR="00CF27CA">
        <w:rPr>
          <w:rFonts w:cs="Arial"/>
          <w:szCs w:val="22"/>
        </w:rPr>
        <w:t xml:space="preserve"> las</w:t>
      </w:r>
      <w:r w:rsidR="00CF27CA" w:rsidRPr="007B181C">
        <w:rPr>
          <w:rFonts w:cs="Arial"/>
          <w:szCs w:val="22"/>
        </w:rPr>
        <w:t xml:space="preserve"> evidencias presentadas por los procesos.</w:t>
      </w:r>
      <w:r>
        <w:rPr>
          <w:rFonts w:cs="Arial"/>
          <w:szCs w:val="22"/>
        </w:rPr>
        <w:t xml:space="preserve"> No obstante, no se evidenció una clara</w:t>
      </w:r>
      <w:r>
        <w:rPr>
          <w:rFonts w:cs="Arial"/>
        </w:rPr>
        <w:t xml:space="preserve"> identificación por parte de los procesos, de los controles y acciones de mitigación que no tienen continuidad en la vigencia 2021, lo cual dificultó la evaluación de esta Asesoría.</w:t>
      </w:r>
    </w:p>
    <w:p w14:paraId="18FFEB6A" w14:textId="77777777" w:rsidR="00CF27CA" w:rsidRDefault="00CF27CA" w:rsidP="00CF27CA">
      <w:pPr>
        <w:jc w:val="both"/>
        <w:rPr>
          <w:rFonts w:cs="Arial"/>
          <w:b/>
          <w:szCs w:val="22"/>
        </w:rPr>
      </w:pPr>
    </w:p>
    <w:p w14:paraId="2CF70549" w14:textId="77777777" w:rsidR="00CF27CA" w:rsidRPr="00D95668" w:rsidRDefault="00CF27CA" w:rsidP="00CF27CA">
      <w:pPr>
        <w:jc w:val="both"/>
        <w:rPr>
          <w:rFonts w:cs="Arial"/>
          <w:b/>
          <w:szCs w:val="22"/>
        </w:rPr>
      </w:pPr>
    </w:p>
    <w:p w14:paraId="1B927B76" w14:textId="0807EB33" w:rsidR="00CF27CA" w:rsidRPr="00E73C0A" w:rsidRDefault="00CF27CA" w:rsidP="00E73C0A">
      <w:pPr>
        <w:pStyle w:val="Prrafodelista"/>
        <w:numPr>
          <w:ilvl w:val="1"/>
          <w:numId w:val="18"/>
        </w:numPr>
        <w:jc w:val="both"/>
        <w:rPr>
          <w:rFonts w:cs="Arial"/>
          <w:b/>
          <w:szCs w:val="22"/>
        </w:rPr>
      </w:pPr>
      <w:r w:rsidRPr="00E73C0A">
        <w:rPr>
          <w:rFonts w:cs="Arial"/>
          <w:b/>
          <w:szCs w:val="22"/>
        </w:rPr>
        <w:t>SEGUIMIENTO AL MONITOREO DE RIESGOS DE CORRUPCIÓN (</w:t>
      </w:r>
      <w:r w:rsidRPr="00E73C0A">
        <w:rPr>
          <w:rFonts w:cs="Arial"/>
          <w:szCs w:val="22"/>
        </w:rPr>
        <w:t>Ver anexo 1</w:t>
      </w:r>
      <w:r w:rsidRPr="00E73C0A">
        <w:rPr>
          <w:rFonts w:cs="Arial"/>
          <w:b/>
          <w:szCs w:val="22"/>
        </w:rPr>
        <w:t>)</w:t>
      </w:r>
    </w:p>
    <w:p w14:paraId="08AC2132" w14:textId="77777777" w:rsidR="00CF27CA" w:rsidRDefault="00CF27CA" w:rsidP="003000DC">
      <w:pPr>
        <w:rPr>
          <w:rFonts w:cs="Arial"/>
        </w:rPr>
      </w:pPr>
    </w:p>
    <w:p w14:paraId="1B87910F" w14:textId="77777777" w:rsidR="003000DC" w:rsidRDefault="003000DC" w:rsidP="003000DC">
      <w:pPr>
        <w:rPr>
          <w:rFonts w:cs="Arial"/>
          <w:szCs w:val="22"/>
          <w:u w:val="single"/>
        </w:rPr>
      </w:pPr>
    </w:p>
    <w:p w14:paraId="4E822799" w14:textId="237BE11C" w:rsidR="00CF27CA" w:rsidRPr="00E73C0A" w:rsidRDefault="00CF27CA" w:rsidP="00E73C0A">
      <w:pPr>
        <w:pStyle w:val="Prrafodelista"/>
        <w:numPr>
          <w:ilvl w:val="2"/>
          <w:numId w:val="16"/>
        </w:numPr>
        <w:ind w:left="709" w:hanging="646"/>
        <w:rPr>
          <w:rFonts w:cs="Arial"/>
          <w:szCs w:val="22"/>
          <w:u w:val="single"/>
        </w:rPr>
      </w:pPr>
      <w:r w:rsidRPr="00E73C0A">
        <w:rPr>
          <w:rFonts w:cs="Arial"/>
          <w:szCs w:val="22"/>
          <w:u w:val="single"/>
        </w:rPr>
        <w:t>Atención a la ciudadanía:</w:t>
      </w:r>
    </w:p>
    <w:p w14:paraId="47471808" w14:textId="77777777" w:rsidR="0035684E" w:rsidRDefault="0035684E" w:rsidP="00E73C0A">
      <w:pPr>
        <w:ind w:left="567"/>
        <w:rPr>
          <w:rFonts w:cs="Arial"/>
          <w:szCs w:val="22"/>
        </w:rPr>
      </w:pPr>
    </w:p>
    <w:p w14:paraId="18FB5DEB" w14:textId="77777777" w:rsidR="00CF27CA" w:rsidRPr="00E73C0A" w:rsidRDefault="00CF27CA" w:rsidP="00E73C0A">
      <w:pPr>
        <w:pStyle w:val="Prrafodelista"/>
        <w:numPr>
          <w:ilvl w:val="3"/>
          <w:numId w:val="16"/>
        </w:numPr>
        <w:ind w:left="851" w:hanging="790"/>
        <w:jc w:val="both"/>
        <w:rPr>
          <w:rFonts w:cs="Arial"/>
          <w:b/>
          <w:szCs w:val="22"/>
        </w:rPr>
      </w:pPr>
      <w:r w:rsidRPr="00E73C0A">
        <w:rPr>
          <w:rFonts w:cs="Arial"/>
          <w:b/>
          <w:szCs w:val="22"/>
        </w:rPr>
        <w:t>Riesgo “Recepción de dadivas por dar respuesta oportuna o prioritaria a un trámite”</w:t>
      </w:r>
    </w:p>
    <w:p w14:paraId="7E4ED1D1" w14:textId="77777777" w:rsidR="00CF27CA" w:rsidRDefault="00CF27CA" w:rsidP="00CF27CA">
      <w:pPr>
        <w:ind w:left="142"/>
        <w:rPr>
          <w:rFonts w:cs="Arial"/>
          <w:szCs w:val="22"/>
        </w:rPr>
      </w:pPr>
    </w:p>
    <w:p w14:paraId="56536BAB" w14:textId="68807D60" w:rsidR="00CF27CA" w:rsidRDefault="003E1A8C" w:rsidP="003E1A8C">
      <w:pPr>
        <w:numPr>
          <w:ilvl w:val="0"/>
          <w:numId w:val="10"/>
        </w:numPr>
        <w:overflowPunct w:val="0"/>
        <w:autoSpaceDE w:val="0"/>
        <w:autoSpaceDN w:val="0"/>
        <w:adjustRightInd w:val="0"/>
        <w:ind w:left="426"/>
        <w:jc w:val="both"/>
        <w:textAlignment w:val="baseline"/>
        <w:rPr>
          <w:rFonts w:cs="Arial"/>
          <w:szCs w:val="22"/>
        </w:rPr>
      </w:pPr>
      <w:r>
        <w:rPr>
          <w:rFonts w:cs="Arial"/>
          <w:szCs w:val="22"/>
        </w:rPr>
        <w:t>Como evidencia del</w:t>
      </w:r>
      <w:r w:rsidR="00CF27CA" w:rsidRPr="002A390F">
        <w:rPr>
          <w:rFonts w:cs="Arial"/>
          <w:szCs w:val="22"/>
        </w:rPr>
        <w:t xml:space="preserve"> control</w:t>
      </w:r>
      <w:r>
        <w:rPr>
          <w:rFonts w:cs="Arial"/>
          <w:szCs w:val="22"/>
        </w:rPr>
        <w:t xml:space="preserve"> “</w:t>
      </w:r>
      <w:r w:rsidRPr="003E1A8C">
        <w:rPr>
          <w:rFonts w:cs="Arial"/>
          <w:i/>
          <w:szCs w:val="22"/>
        </w:rPr>
        <w:t>Realizar seguimientos a los tramites que ingresan al instituto y generar alerta sobre la demora en los procedimiento</w:t>
      </w:r>
      <w:r>
        <w:rPr>
          <w:rFonts w:cs="Arial"/>
          <w:szCs w:val="22"/>
        </w:rPr>
        <w:t>”</w:t>
      </w:r>
      <w:r w:rsidR="00CF27CA" w:rsidRPr="002A390F">
        <w:rPr>
          <w:rFonts w:cs="Arial"/>
          <w:szCs w:val="22"/>
        </w:rPr>
        <w:t xml:space="preserve">, se remiten los seguimientos </w:t>
      </w:r>
      <w:r w:rsidR="00FB6689">
        <w:rPr>
          <w:rFonts w:cs="Arial"/>
          <w:szCs w:val="22"/>
        </w:rPr>
        <w:t xml:space="preserve">semanales </w:t>
      </w:r>
      <w:r w:rsidR="00CF27CA" w:rsidRPr="002A390F">
        <w:rPr>
          <w:rFonts w:cs="Arial"/>
          <w:szCs w:val="22"/>
        </w:rPr>
        <w:t xml:space="preserve">a las </w:t>
      </w:r>
      <w:r w:rsidR="00FB6689">
        <w:rPr>
          <w:rFonts w:cs="Arial"/>
          <w:szCs w:val="22"/>
        </w:rPr>
        <w:t>PQRS</w:t>
      </w:r>
      <w:r w:rsidR="00CF27CA" w:rsidRPr="002A390F">
        <w:rPr>
          <w:rFonts w:cs="Arial"/>
          <w:szCs w:val="22"/>
        </w:rPr>
        <w:t>. No obstante, se re</w:t>
      </w:r>
      <w:r>
        <w:rPr>
          <w:rFonts w:cs="Arial"/>
          <w:szCs w:val="22"/>
        </w:rPr>
        <w:t>itera</w:t>
      </w:r>
      <w:r w:rsidR="00CF27CA" w:rsidRPr="002A390F">
        <w:rPr>
          <w:rFonts w:cs="Arial"/>
          <w:szCs w:val="22"/>
        </w:rPr>
        <w:t xml:space="preserve"> que estos seguimientos </w:t>
      </w:r>
      <w:r w:rsidR="00CF27CA" w:rsidRPr="002A390F">
        <w:rPr>
          <w:rFonts w:cs="Arial"/>
          <w:szCs w:val="22"/>
        </w:rPr>
        <w:lastRenderedPageBreak/>
        <w:t>únicamente están ligados a las PQRS que recibe la entidad y no a los trámites, razón por la cual no son válidos los soportes.</w:t>
      </w:r>
    </w:p>
    <w:p w14:paraId="4ADEF829" w14:textId="77777777" w:rsidR="003E1A8C" w:rsidRDefault="003E1A8C" w:rsidP="003E1A8C">
      <w:pPr>
        <w:numPr>
          <w:ilvl w:val="0"/>
          <w:numId w:val="10"/>
        </w:numPr>
        <w:overflowPunct w:val="0"/>
        <w:autoSpaceDE w:val="0"/>
        <w:autoSpaceDN w:val="0"/>
        <w:adjustRightInd w:val="0"/>
        <w:ind w:left="426"/>
        <w:jc w:val="both"/>
        <w:textAlignment w:val="baseline"/>
        <w:rPr>
          <w:rFonts w:cs="Arial"/>
          <w:szCs w:val="22"/>
        </w:rPr>
      </w:pPr>
      <w:r>
        <w:rPr>
          <w:rFonts w:cs="Arial"/>
          <w:szCs w:val="22"/>
        </w:rPr>
        <w:t>El</w:t>
      </w:r>
      <w:r w:rsidR="00CF27CA" w:rsidRPr="002A390F">
        <w:rPr>
          <w:rFonts w:cs="Arial"/>
          <w:szCs w:val="22"/>
        </w:rPr>
        <w:t xml:space="preserve"> segundo control "</w:t>
      </w:r>
      <w:r w:rsidR="00CF27CA" w:rsidRPr="003E1A8C">
        <w:rPr>
          <w:rFonts w:cs="Arial"/>
          <w:i/>
          <w:szCs w:val="22"/>
        </w:rPr>
        <w:t>Código de integridad, Política de conflicto de intereses</w:t>
      </w:r>
      <w:r w:rsidR="00CF27CA" w:rsidRPr="002A390F">
        <w:rPr>
          <w:rFonts w:cs="Arial"/>
          <w:szCs w:val="22"/>
        </w:rPr>
        <w:t xml:space="preserve">", </w:t>
      </w:r>
      <w:r>
        <w:rPr>
          <w:rFonts w:cs="Arial"/>
          <w:szCs w:val="22"/>
        </w:rPr>
        <w:t>se reitera que</w:t>
      </w:r>
      <w:r w:rsidR="00CF27CA" w:rsidRPr="002A390F">
        <w:rPr>
          <w:rFonts w:cs="Arial"/>
          <w:szCs w:val="22"/>
        </w:rPr>
        <w:t xml:space="preserve"> no es muy claro, ya que no menciona cómo puede ser un control, adicionalmente, en el monitoreo no</w:t>
      </w:r>
      <w:r>
        <w:rPr>
          <w:rFonts w:cs="Arial"/>
          <w:szCs w:val="22"/>
        </w:rPr>
        <w:t xml:space="preserve"> se reportó nada de este</w:t>
      </w:r>
      <w:r w:rsidR="00CF27CA" w:rsidRPr="002A390F">
        <w:rPr>
          <w:rFonts w:cs="Arial"/>
          <w:szCs w:val="22"/>
        </w:rPr>
        <w:t>.</w:t>
      </w:r>
    </w:p>
    <w:p w14:paraId="152AFBE2" w14:textId="28DBE6F5" w:rsidR="00CF27CA" w:rsidRPr="003E1A8C" w:rsidRDefault="003E1A8C" w:rsidP="003E1A8C">
      <w:pPr>
        <w:numPr>
          <w:ilvl w:val="0"/>
          <w:numId w:val="10"/>
        </w:numPr>
        <w:overflowPunct w:val="0"/>
        <w:autoSpaceDE w:val="0"/>
        <w:autoSpaceDN w:val="0"/>
        <w:adjustRightInd w:val="0"/>
        <w:ind w:left="426"/>
        <w:jc w:val="both"/>
        <w:textAlignment w:val="baseline"/>
        <w:rPr>
          <w:rFonts w:cs="Arial"/>
          <w:szCs w:val="22"/>
        </w:rPr>
      </w:pPr>
      <w:r w:rsidRPr="003E1A8C">
        <w:rPr>
          <w:rFonts w:cs="Arial"/>
          <w:szCs w:val="22"/>
        </w:rPr>
        <w:t>Para la segunda acción de mitigación,</w:t>
      </w:r>
      <w:r>
        <w:rPr>
          <w:rFonts w:cs="Arial"/>
          <w:szCs w:val="22"/>
        </w:rPr>
        <w:t xml:space="preserve"> </w:t>
      </w:r>
      <w:r w:rsidRPr="003E1A8C">
        <w:rPr>
          <w:rFonts w:cs="Arial"/>
          <w:szCs w:val="22"/>
        </w:rPr>
        <w:t>"S</w:t>
      </w:r>
      <w:r w:rsidRPr="003E1A8C">
        <w:rPr>
          <w:rFonts w:cs="Arial"/>
          <w:i/>
          <w:szCs w:val="22"/>
        </w:rPr>
        <w:t>ocializar  el código de integridad y el conflicto de interés</w:t>
      </w:r>
      <w:r w:rsidRPr="003E1A8C">
        <w:rPr>
          <w:rFonts w:cs="Arial"/>
          <w:szCs w:val="22"/>
        </w:rPr>
        <w:t>" no se menciona nada en el monitoreo. De igual manera, en cuanto a la medición del indicador no se evidencian so</w:t>
      </w:r>
      <w:r>
        <w:rPr>
          <w:rFonts w:cs="Arial"/>
          <w:szCs w:val="22"/>
        </w:rPr>
        <w:t>portes durante la vigencia 2021, pese a que la actividad no fue cumplida en el 2020.</w:t>
      </w:r>
    </w:p>
    <w:p w14:paraId="2D0DD4F6" w14:textId="77777777" w:rsidR="00CF27CA" w:rsidRDefault="00CF27CA" w:rsidP="00CF27CA">
      <w:pPr>
        <w:ind w:left="142"/>
        <w:rPr>
          <w:rFonts w:cs="Arial"/>
          <w:szCs w:val="22"/>
          <w:u w:val="single"/>
        </w:rPr>
      </w:pPr>
    </w:p>
    <w:p w14:paraId="00750360" w14:textId="77777777" w:rsidR="00642A0C" w:rsidRDefault="00642A0C" w:rsidP="00CF27CA">
      <w:pPr>
        <w:ind w:left="142"/>
        <w:rPr>
          <w:rFonts w:cs="Arial"/>
          <w:szCs w:val="22"/>
          <w:u w:val="single"/>
        </w:rPr>
      </w:pPr>
    </w:p>
    <w:p w14:paraId="06AF9C44" w14:textId="77777777" w:rsidR="00CF27CA" w:rsidRDefault="00CF27CA" w:rsidP="00E73C0A">
      <w:pPr>
        <w:pStyle w:val="Prrafodelista"/>
        <w:numPr>
          <w:ilvl w:val="2"/>
          <w:numId w:val="16"/>
        </w:numPr>
        <w:ind w:left="567"/>
        <w:rPr>
          <w:rFonts w:cs="Arial"/>
          <w:szCs w:val="22"/>
          <w:u w:val="single"/>
        </w:rPr>
      </w:pPr>
      <w:r>
        <w:rPr>
          <w:rFonts w:cs="Arial"/>
          <w:szCs w:val="22"/>
          <w:u w:val="single"/>
        </w:rPr>
        <w:t>Gestión Territorial</w:t>
      </w:r>
    </w:p>
    <w:p w14:paraId="0D71B444" w14:textId="77777777" w:rsidR="0035684E" w:rsidRDefault="0035684E" w:rsidP="0035684E">
      <w:pPr>
        <w:rPr>
          <w:rFonts w:cs="Arial"/>
          <w:szCs w:val="22"/>
        </w:rPr>
      </w:pPr>
    </w:p>
    <w:p w14:paraId="20F6D5A5"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352232">
        <w:rPr>
          <w:rFonts w:cs="Arial"/>
          <w:b/>
          <w:szCs w:val="22"/>
        </w:rPr>
        <w:t>Plagio, manipulación y cohecho en el accionar de la Subdirección de Gestión Territorial del Patrimonio</w:t>
      </w:r>
      <w:r>
        <w:rPr>
          <w:rFonts w:cs="Arial"/>
          <w:b/>
          <w:szCs w:val="22"/>
        </w:rPr>
        <w:t>”</w:t>
      </w:r>
    </w:p>
    <w:p w14:paraId="386EE7E5" w14:textId="77777777" w:rsidR="00CF27CA" w:rsidRPr="00F43B4B" w:rsidRDefault="00CF27CA" w:rsidP="00CF27CA">
      <w:pPr>
        <w:ind w:left="142"/>
        <w:rPr>
          <w:rFonts w:ascii="Tahoma" w:hAnsi="Tahoma" w:cs="Tahoma"/>
          <w:b/>
          <w:bCs/>
          <w:sz w:val="18"/>
          <w:szCs w:val="18"/>
          <w:lang w:val="es-ES"/>
        </w:rPr>
      </w:pPr>
    </w:p>
    <w:p w14:paraId="24BF7022" w14:textId="77777777" w:rsidR="0030531B" w:rsidRPr="004E17D7" w:rsidRDefault="0030531B" w:rsidP="0030531B">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0ACA975C" w14:textId="77777777" w:rsidR="00853E75" w:rsidRDefault="00853E75" w:rsidP="00CF27CA">
      <w:pPr>
        <w:ind w:left="426"/>
        <w:jc w:val="both"/>
        <w:rPr>
          <w:rFonts w:cs="Arial"/>
          <w:b/>
          <w:szCs w:val="22"/>
        </w:rPr>
      </w:pPr>
    </w:p>
    <w:p w14:paraId="092660A2"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352232">
        <w:rPr>
          <w:rFonts w:cs="Arial"/>
          <w:b/>
          <w:szCs w:val="22"/>
        </w:rPr>
        <w:t>Tráfico de influencias para la emisión de comunicaciones oficiales, en beneficio de terceros</w:t>
      </w:r>
      <w:r>
        <w:rPr>
          <w:rFonts w:cs="Arial"/>
          <w:b/>
          <w:szCs w:val="22"/>
        </w:rPr>
        <w:t>”</w:t>
      </w:r>
    </w:p>
    <w:p w14:paraId="2055EA84" w14:textId="77777777" w:rsidR="00CF27CA" w:rsidRDefault="00CF27CA" w:rsidP="00CF27CA">
      <w:pPr>
        <w:ind w:left="142"/>
        <w:rPr>
          <w:rFonts w:cs="Arial"/>
          <w:szCs w:val="22"/>
        </w:rPr>
      </w:pPr>
    </w:p>
    <w:p w14:paraId="5F3D85B7" w14:textId="77777777" w:rsidR="0030531B" w:rsidRPr="004E17D7" w:rsidRDefault="0030531B" w:rsidP="0030531B">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313B915C" w14:textId="77777777" w:rsidR="00CF27CA" w:rsidRDefault="00CF27CA" w:rsidP="00CF27CA">
      <w:pPr>
        <w:jc w:val="both"/>
        <w:rPr>
          <w:rFonts w:cs="Arial"/>
          <w:szCs w:val="22"/>
        </w:rPr>
      </w:pPr>
    </w:p>
    <w:p w14:paraId="361249E3" w14:textId="77777777" w:rsidR="00CF27CA" w:rsidRDefault="00CF27CA" w:rsidP="00CF27CA">
      <w:pPr>
        <w:jc w:val="both"/>
        <w:rPr>
          <w:rFonts w:cs="Arial"/>
          <w:szCs w:val="22"/>
        </w:rPr>
      </w:pPr>
    </w:p>
    <w:p w14:paraId="76A95657" w14:textId="77777777" w:rsidR="00CF27CA" w:rsidRPr="00E73C0A" w:rsidRDefault="00CF27CA" w:rsidP="00E73C0A">
      <w:pPr>
        <w:pStyle w:val="Prrafodelista"/>
        <w:numPr>
          <w:ilvl w:val="2"/>
          <w:numId w:val="16"/>
        </w:numPr>
        <w:ind w:left="567"/>
        <w:rPr>
          <w:rFonts w:cs="Arial"/>
          <w:szCs w:val="22"/>
          <w:u w:val="single"/>
        </w:rPr>
      </w:pPr>
      <w:r>
        <w:rPr>
          <w:rFonts w:cs="Arial"/>
          <w:szCs w:val="22"/>
          <w:u w:val="single"/>
        </w:rPr>
        <w:t>Protección e Intervención del Patrimonio</w:t>
      </w:r>
    </w:p>
    <w:p w14:paraId="42F35EB9" w14:textId="77777777" w:rsidR="0035684E" w:rsidRDefault="0035684E" w:rsidP="0035684E">
      <w:pPr>
        <w:jc w:val="both"/>
        <w:rPr>
          <w:rFonts w:cs="Arial"/>
          <w:szCs w:val="22"/>
          <w:u w:val="single"/>
        </w:rPr>
      </w:pPr>
    </w:p>
    <w:p w14:paraId="26C08C1C"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“C</w:t>
      </w:r>
      <w:r w:rsidRPr="004E17D7">
        <w:rPr>
          <w:rFonts w:cs="Arial"/>
          <w:b/>
          <w:szCs w:val="22"/>
        </w:rPr>
        <w:t>ohecho en el accionar de la Subdirección de Protección e intervención en favor de un tercero</w:t>
      </w:r>
      <w:r>
        <w:rPr>
          <w:rFonts w:cs="Arial"/>
          <w:b/>
          <w:szCs w:val="22"/>
        </w:rPr>
        <w:t>”</w:t>
      </w:r>
    </w:p>
    <w:p w14:paraId="43CBC8EA" w14:textId="77777777" w:rsidR="00CF27CA" w:rsidRDefault="00CF27CA" w:rsidP="00CF27CA">
      <w:pPr>
        <w:jc w:val="both"/>
        <w:rPr>
          <w:rFonts w:cs="Arial"/>
          <w:szCs w:val="22"/>
        </w:rPr>
      </w:pPr>
    </w:p>
    <w:p w14:paraId="7BE7A26E" w14:textId="61E164CE" w:rsidR="00CF27CA" w:rsidRPr="004E17D7" w:rsidRDefault="00723931" w:rsidP="00CF27CA">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004F459C" w14:textId="77777777" w:rsidR="00CF27CA" w:rsidRDefault="00CF27CA" w:rsidP="00CF27CA">
      <w:pPr>
        <w:jc w:val="both"/>
        <w:rPr>
          <w:rFonts w:cs="Arial"/>
          <w:b/>
          <w:szCs w:val="22"/>
        </w:rPr>
      </w:pPr>
    </w:p>
    <w:p w14:paraId="0D85B275" w14:textId="77777777" w:rsidR="0035684E" w:rsidRDefault="0035684E" w:rsidP="00CF27CA">
      <w:pPr>
        <w:jc w:val="both"/>
        <w:rPr>
          <w:rFonts w:cs="Arial"/>
          <w:b/>
          <w:szCs w:val="22"/>
        </w:rPr>
      </w:pPr>
    </w:p>
    <w:p w14:paraId="7C2E17A8"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4E17D7">
        <w:rPr>
          <w:rFonts w:cs="Arial"/>
          <w:b/>
          <w:szCs w:val="22"/>
        </w:rPr>
        <w:t>Tráfico de influencias para la emisión de comunicaciones oficiales, en beneficio de terceros</w:t>
      </w:r>
      <w:r>
        <w:rPr>
          <w:rFonts w:cs="Arial"/>
          <w:b/>
          <w:szCs w:val="22"/>
        </w:rPr>
        <w:t>”</w:t>
      </w:r>
    </w:p>
    <w:p w14:paraId="0F4E8BC3" w14:textId="77777777" w:rsidR="00CF27CA" w:rsidRDefault="00CF27CA" w:rsidP="00CF27CA">
      <w:pPr>
        <w:jc w:val="both"/>
        <w:rPr>
          <w:rFonts w:cs="Arial"/>
          <w:szCs w:val="22"/>
        </w:rPr>
      </w:pPr>
    </w:p>
    <w:p w14:paraId="57406DB3" w14:textId="77777777" w:rsidR="00723931" w:rsidRPr="004E17D7" w:rsidRDefault="00723931" w:rsidP="00723931">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666AE94F" w14:textId="77777777" w:rsidR="00CF27CA" w:rsidRDefault="00CF27CA" w:rsidP="00CF27CA">
      <w:pPr>
        <w:jc w:val="both"/>
        <w:rPr>
          <w:rFonts w:cs="Arial"/>
          <w:szCs w:val="22"/>
        </w:rPr>
      </w:pPr>
    </w:p>
    <w:p w14:paraId="2E855CF5" w14:textId="77777777" w:rsidR="00CF27CA" w:rsidRPr="003E0F2F" w:rsidRDefault="00CF27CA" w:rsidP="00CF27CA">
      <w:pPr>
        <w:jc w:val="both"/>
        <w:rPr>
          <w:rFonts w:cs="Arial"/>
          <w:szCs w:val="22"/>
        </w:rPr>
      </w:pPr>
    </w:p>
    <w:p w14:paraId="4D4BF400" w14:textId="77777777" w:rsidR="00CF27CA" w:rsidRDefault="00CF27CA" w:rsidP="00E73C0A">
      <w:pPr>
        <w:pStyle w:val="Prrafodelista"/>
        <w:numPr>
          <w:ilvl w:val="2"/>
          <w:numId w:val="16"/>
        </w:numPr>
        <w:ind w:left="567"/>
        <w:rPr>
          <w:rFonts w:cs="Arial"/>
          <w:szCs w:val="22"/>
          <w:u w:val="single"/>
        </w:rPr>
      </w:pPr>
      <w:r>
        <w:rPr>
          <w:rFonts w:cs="Arial"/>
          <w:szCs w:val="22"/>
          <w:u w:val="single"/>
        </w:rPr>
        <w:t>Gestión de Talento Humano</w:t>
      </w:r>
    </w:p>
    <w:p w14:paraId="75DC8B66" w14:textId="77777777" w:rsidR="00CF27CA" w:rsidRDefault="00CF27CA" w:rsidP="00CF27CA">
      <w:pPr>
        <w:ind w:left="142"/>
        <w:rPr>
          <w:rFonts w:cs="Arial"/>
          <w:szCs w:val="22"/>
          <w:u w:val="single"/>
        </w:rPr>
      </w:pPr>
    </w:p>
    <w:p w14:paraId="28DCBB5F"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966F4C">
        <w:rPr>
          <w:rFonts w:cs="Arial"/>
          <w:b/>
          <w:szCs w:val="22"/>
        </w:rPr>
        <w:t>Por abuso de poder se realice el nombramiento de un aspirante que no cumple con los requisitos mínimos establecidos en el manual de funciones</w:t>
      </w:r>
      <w:r>
        <w:rPr>
          <w:rFonts w:cs="Arial"/>
          <w:b/>
          <w:szCs w:val="22"/>
        </w:rPr>
        <w:t>”</w:t>
      </w:r>
    </w:p>
    <w:p w14:paraId="370CF3F8" w14:textId="77777777" w:rsidR="00CF27CA" w:rsidRPr="0025570C" w:rsidRDefault="00CF27CA" w:rsidP="00CF27CA">
      <w:pPr>
        <w:ind w:left="142"/>
        <w:jc w:val="both"/>
        <w:rPr>
          <w:rFonts w:cs="Arial"/>
          <w:szCs w:val="22"/>
        </w:rPr>
      </w:pPr>
    </w:p>
    <w:p w14:paraId="41286794" w14:textId="77777777" w:rsidR="00723931" w:rsidRPr="004E17D7" w:rsidRDefault="00723931" w:rsidP="00723931">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7373ADA0" w14:textId="77777777" w:rsidR="00CF27CA" w:rsidRDefault="00CF27CA" w:rsidP="00CF27CA">
      <w:pPr>
        <w:ind w:left="142"/>
        <w:jc w:val="both"/>
        <w:rPr>
          <w:rFonts w:cs="Arial"/>
          <w:szCs w:val="22"/>
        </w:rPr>
      </w:pPr>
    </w:p>
    <w:p w14:paraId="37D8D0EE" w14:textId="77777777" w:rsidR="00CF27CA" w:rsidRDefault="00CF27CA" w:rsidP="00CF27CA">
      <w:pPr>
        <w:ind w:left="142"/>
        <w:jc w:val="both"/>
        <w:rPr>
          <w:rFonts w:cs="Arial"/>
          <w:szCs w:val="22"/>
        </w:rPr>
      </w:pPr>
    </w:p>
    <w:p w14:paraId="3AD4B488" w14:textId="77777777" w:rsidR="003000DC" w:rsidRDefault="003000DC" w:rsidP="00CF27CA">
      <w:pPr>
        <w:ind w:left="142"/>
        <w:jc w:val="both"/>
        <w:rPr>
          <w:rFonts w:cs="Arial"/>
          <w:szCs w:val="22"/>
        </w:rPr>
      </w:pPr>
    </w:p>
    <w:p w14:paraId="0D1EA0B6" w14:textId="77777777" w:rsidR="003000DC" w:rsidRDefault="003000DC" w:rsidP="00CF27CA">
      <w:pPr>
        <w:ind w:left="142"/>
        <w:jc w:val="both"/>
        <w:rPr>
          <w:rFonts w:cs="Arial"/>
          <w:szCs w:val="22"/>
        </w:rPr>
      </w:pPr>
    </w:p>
    <w:p w14:paraId="6B081312" w14:textId="77777777" w:rsidR="003000DC" w:rsidRPr="003E0F2F" w:rsidRDefault="003000DC" w:rsidP="00CF27CA">
      <w:pPr>
        <w:ind w:left="142"/>
        <w:jc w:val="both"/>
        <w:rPr>
          <w:rFonts w:cs="Arial"/>
          <w:szCs w:val="22"/>
        </w:rPr>
      </w:pPr>
    </w:p>
    <w:p w14:paraId="13D41367" w14:textId="77777777" w:rsidR="00CF27CA" w:rsidRDefault="00CF27CA" w:rsidP="00E73C0A">
      <w:pPr>
        <w:pStyle w:val="Prrafodelista"/>
        <w:numPr>
          <w:ilvl w:val="2"/>
          <w:numId w:val="16"/>
        </w:numPr>
        <w:ind w:left="567"/>
        <w:rPr>
          <w:rFonts w:cs="Arial"/>
          <w:szCs w:val="22"/>
          <w:u w:val="single"/>
        </w:rPr>
      </w:pPr>
      <w:r>
        <w:rPr>
          <w:rFonts w:cs="Arial"/>
          <w:szCs w:val="22"/>
          <w:u w:val="single"/>
        </w:rPr>
        <w:lastRenderedPageBreak/>
        <w:t>Gestión Contractual</w:t>
      </w:r>
    </w:p>
    <w:p w14:paraId="49F92132" w14:textId="77777777" w:rsidR="00CF27CA" w:rsidRDefault="00CF27CA" w:rsidP="00CF27CA">
      <w:pPr>
        <w:ind w:left="142"/>
        <w:rPr>
          <w:rFonts w:cs="Arial"/>
          <w:szCs w:val="22"/>
          <w:u w:val="single"/>
        </w:rPr>
      </w:pPr>
    </w:p>
    <w:p w14:paraId="757B5FA4"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076373">
        <w:rPr>
          <w:rFonts w:cs="Arial"/>
          <w:b/>
          <w:szCs w:val="22"/>
        </w:rPr>
        <w:t>Interés indebido en la celebración de contratos para beneficio propio o de un tercero</w:t>
      </w:r>
      <w:r>
        <w:rPr>
          <w:rFonts w:cs="Arial"/>
          <w:b/>
          <w:szCs w:val="22"/>
        </w:rPr>
        <w:t>”</w:t>
      </w:r>
    </w:p>
    <w:p w14:paraId="191106AC" w14:textId="77777777" w:rsidR="00CF27CA" w:rsidRPr="0025570C" w:rsidRDefault="00CF27CA" w:rsidP="00CF27CA">
      <w:pPr>
        <w:ind w:left="142"/>
        <w:jc w:val="both"/>
        <w:rPr>
          <w:rFonts w:cs="Arial"/>
          <w:szCs w:val="22"/>
        </w:rPr>
      </w:pPr>
    </w:p>
    <w:p w14:paraId="77472978" w14:textId="77777777" w:rsidR="00723931" w:rsidRDefault="00723931" w:rsidP="00723931">
      <w:pPr>
        <w:numPr>
          <w:ilvl w:val="0"/>
          <w:numId w:val="10"/>
        </w:numPr>
        <w:overflowPunct w:val="0"/>
        <w:autoSpaceDE w:val="0"/>
        <w:autoSpaceDN w:val="0"/>
        <w:adjustRightInd w:val="0"/>
        <w:ind w:left="426"/>
        <w:jc w:val="both"/>
        <w:textAlignment w:val="baseline"/>
        <w:rPr>
          <w:rFonts w:cs="Arial"/>
          <w:szCs w:val="22"/>
        </w:rPr>
      </w:pPr>
      <w:r>
        <w:rPr>
          <w:rFonts w:cs="Arial"/>
          <w:szCs w:val="22"/>
        </w:rPr>
        <w:t>S</w:t>
      </w:r>
      <w:r w:rsidRPr="00723931">
        <w:rPr>
          <w:rFonts w:cs="Arial"/>
          <w:szCs w:val="22"/>
        </w:rPr>
        <w:t>e presentan cambios en la matriz que no han sido aprobados.</w:t>
      </w:r>
    </w:p>
    <w:p w14:paraId="2A6AFCC9" w14:textId="77777777" w:rsidR="00723931" w:rsidRDefault="00723931" w:rsidP="00723931">
      <w:pPr>
        <w:numPr>
          <w:ilvl w:val="0"/>
          <w:numId w:val="10"/>
        </w:numPr>
        <w:overflowPunct w:val="0"/>
        <w:autoSpaceDE w:val="0"/>
        <w:autoSpaceDN w:val="0"/>
        <w:adjustRightInd w:val="0"/>
        <w:ind w:left="426"/>
        <w:jc w:val="both"/>
        <w:textAlignment w:val="baseline"/>
        <w:rPr>
          <w:rFonts w:cs="Arial"/>
          <w:szCs w:val="22"/>
        </w:rPr>
      </w:pPr>
      <w:r w:rsidRPr="00723931">
        <w:rPr>
          <w:rFonts w:cs="Arial"/>
          <w:szCs w:val="22"/>
        </w:rPr>
        <w:t>En cuanto a la ejecución de los controles 1 y 2, se remite matriz de reparto de solicitudes contractuales en la cual se identifica el abogado que realiza la revisión. Sin embargo en esta no se puede evidenciar la revisión en los requerimientos técnicos que permitan la amplia participación.</w:t>
      </w:r>
    </w:p>
    <w:p w14:paraId="53771F04" w14:textId="65706BD5" w:rsidR="00723931" w:rsidRPr="00723931" w:rsidRDefault="00723931" w:rsidP="00723931">
      <w:pPr>
        <w:numPr>
          <w:ilvl w:val="0"/>
          <w:numId w:val="10"/>
        </w:numPr>
        <w:overflowPunct w:val="0"/>
        <w:autoSpaceDE w:val="0"/>
        <w:autoSpaceDN w:val="0"/>
        <w:adjustRightInd w:val="0"/>
        <w:ind w:left="426"/>
        <w:jc w:val="both"/>
        <w:textAlignment w:val="baseline"/>
        <w:rPr>
          <w:rFonts w:cs="Arial"/>
          <w:szCs w:val="22"/>
        </w:rPr>
      </w:pPr>
      <w:r w:rsidRPr="00723931">
        <w:rPr>
          <w:rFonts w:cs="Arial"/>
          <w:szCs w:val="22"/>
        </w:rPr>
        <w:t>No se remite monitoreo, ni soportes para la acción de mitigación, pese a que en la vigencia 2020 no fueron reportados.</w:t>
      </w:r>
    </w:p>
    <w:p w14:paraId="5D1BDE69" w14:textId="77777777" w:rsidR="0035684E" w:rsidRDefault="0035684E" w:rsidP="00CF27CA">
      <w:pPr>
        <w:ind w:firstLine="142"/>
        <w:jc w:val="both"/>
        <w:rPr>
          <w:rFonts w:cs="Arial"/>
          <w:b/>
          <w:szCs w:val="22"/>
        </w:rPr>
      </w:pPr>
    </w:p>
    <w:p w14:paraId="635D7FB8"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1B5424">
        <w:rPr>
          <w:rFonts w:cs="Arial"/>
          <w:b/>
          <w:szCs w:val="22"/>
        </w:rPr>
        <w:t>Recepción de dádivas por parte de la supervisión e interventoría con el fin de favorecer a un tercero en la ejecución del contrato</w:t>
      </w:r>
      <w:r>
        <w:rPr>
          <w:rFonts w:cs="Arial"/>
          <w:b/>
          <w:szCs w:val="22"/>
        </w:rPr>
        <w:t>”</w:t>
      </w:r>
    </w:p>
    <w:p w14:paraId="14F99B26" w14:textId="77777777" w:rsidR="00CF27CA" w:rsidRDefault="00CF27CA" w:rsidP="00CF27CA">
      <w:pPr>
        <w:ind w:firstLine="142"/>
        <w:jc w:val="both"/>
        <w:rPr>
          <w:rFonts w:cs="Arial"/>
          <w:szCs w:val="22"/>
        </w:rPr>
      </w:pPr>
    </w:p>
    <w:p w14:paraId="259CA57B" w14:textId="77777777" w:rsidR="00AC1343" w:rsidRPr="00AC1343" w:rsidRDefault="00AC1343" w:rsidP="00AC1343">
      <w:pPr>
        <w:numPr>
          <w:ilvl w:val="0"/>
          <w:numId w:val="10"/>
        </w:numPr>
        <w:overflowPunct w:val="0"/>
        <w:autoSpaceDE w:val="0"/>
        <w:autoSpaceDN w:val="0"/>
        <w:adjustRightInd w:val="0"/>
        <w:ind w:left="426"/>
        <w:jc w:val="both"/>
        <w:textAlignment w:val="baseline"/>
        <w:rPr>
          <w:rFonts w:cs="Arial"/>
          <w:szCs w:val="22"/>
        </w:rPr>
      </w:pPr>
      <w:r w:rsidRPr="00F9037A">
        <w:rPr>
          <w:rFonts w:cs="Arial"/>
          <w:szCs w:val="22"/>
        </w:rPr>
        <w:t>No se remite monitoreo, ni soportes que evidencien el cumplimiento de controles y acciones de mitigación del riesgo.</w:t>
      </w:r>
    </w:p>
    <w:p w14:paraId="5D879A34" w14:textId="77777777" w:rsidR="00AC1343" w:rsidRDefault="00AC1343" w:rsidP="00CF27CA">
      <w:pPr>
        <w:jc w:val="both"/>
        <w:rPr>
          <w:rFonts w:cs="Arial"/>
          <w:szCs w:val="22"/>
        </w:rPr>
      </w:pPr>
    </w:p>
    <w:p w14:paraId="5462BD06" w14:textId="77777777" w:rsidR="00CF27CA" w:rsidRDefault="00CF27CA" w:rsidP="00CF27CA">
      <w:pPr>
        <w:jc w:val="both"/>
        <w:rPr>
          <w:rFonts w:cs="Arial"/>
          <w:szCs w:val="22"/>
        </w:rPr>
      </w:pPr>
    </w:p>
    <w:p w14:paraId="6AFA7AB3" w14:textId="77777777" w:rsidR="00CF27CA" w:rsidRDefault="00CF27CA" w:rsidP="00E73C0A">
      <w:pPr>
        <w:pStyle w:val="Prrafodelista"/>
        <w:numPr>
          <w:ilvl w:val="2"/>
          <w:numId w:val="16"/>
        </w:numPr>
        <w:ind w:left="567"/>
        <w:rPr>
          <w:rFonts w:cs="Arial"/>
          <w:szCs w:val="22"/>
          <w:u w:val="single"/>
        </w:rPr>
      </w:pPr>
      <w:r>
        <w:rPr>
          <w:rFonts w:cs="Arial"/>
          <w:szCs w:val="22"/>
          <w:u w:val="single"/>
        </w:rPr>
        <w:t>Gestión Documental</w:t>
      </w:r>
    </w:p>
    <w:p w14:paraId="264217F8" w14:textId="77777777" w:rsidR="00CF27CA" w:rsidRDefault="00CF27CA" w:rsidP="00CF27CA">
      <w:pPr>
        <w:ind w:left="142"/>
        <w:rPr>
          <w:rFonts w:cs="Arial"/>
          <w:szCs w:val="22"/>
          <w:u w:val="single"/>
        </w:rPr>
      </w:pPr>
    </w:p>
    <w:p w14:paraId="509E5125"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A9208A">
        <w:rPr>
          <w:rFonts w:cs="Arial"/>
          <w:b/>
          <w:szCs w:val="22"/>
        </w:rPr>
        <w:t>Utilización indebida de información oficial privilegiada para favorecer a un tercero</w:t>
      </w:r>
      <w:r>
        <w:rPr>
          <w:rFonts w:cs="Arial"/>
          <w:b/>
          <w:szCs w:val="22"/>
        </w:rPr>
        <w:t>”</w:t>
      </w:r>
    </w:p>
    <w:p w14:paraId="649BE04A" w14:textId="77777777" w:rsidR="00CF27CA" w:rsidRPr="0025570C" w:rsidRDefault="00CF27CA" w:rsidP="00CF27CA">
      <w:pPr>
        <w:ind w:left="142"/>
        <w:jc w:val="both"/>
        <w:rPr>
          <w:rFonts w:cs="Arial"/>
          <w:szCs w:val="22"/>
        </w:rPr>
      </w:pPr>
    </w:p>
    <w:p w14:paraId="23972CED" w14:textId="47887D05" w:rsidR="00CF27CA" w:rsidRPr="00863774" w:rsidRDefault="00CF27CA" w:rsidP="00723931">
      <w:pPr>
        <w:numPr>
          <w:ilvl w:val="0"/>
          <w:numId w:val="10"/>
        </w:numPr>
        <w:overflowPunct w:val="0"/>
        <w:autoSpaceDE w:val="0"/>
        <w:autoSpaceDN w:val="0"/>
        <w:adjustRightInd w:val="0"/>
        <w:ind w:left="426"/>
        <w:jc w:val="both"/>
        <w:textAlignment w:val="baseline"/>
        <w:rPr>
          <w:rFonts w:cs="Arial"/>
          <w:szCs w:val="22"/>
        </w:rPr>
      </w:pPr>
      <w:r w:rsidRPr="00863774">
        <w:rPr>
          <w:rFonts w:cs="Arial"/>
          <w:szCs w:val="22"/>
        </w:rPr>
        <w:t xml:space="preserve">Para la segunda acción se </w:t>
      </w:r>
      <w:r w:rsidR="00723931" w:rsidRPr="00723931">
        <w:rPr>
          <w:rFonts w:cs="Arial"/>
          <w:szCs w:val="22"/>
        </w:rPr>
        <w:t>hace entrega de acta de seguimiento a las planillas de préstamo, realizado el 30 de marzo de 2021, sin embargo, en esta se presentan datos incluyendo el mes de abril, por lo cual se infiere que la fecha del acta está mal.</w:t>
      </w:r>
    </w:p>
    <w:p w14:paraId="79A3457A" w14:textId="77777777" w:rsidR="00CF27CA" w:rsidRDefault="00CF27CA" w:rsidP="00CF27CA">
      <w:pPr>
        <w:pStyle w:val="Prrafodelista"/>
        <w:rPr>
          <w:rFonts w:cs="Arial"/>
          <w:szCs w:val="22"/>
        </w:rPr>
      </w:pPr>
    </w:p>
    <w:p w14:paraId="07AD612B" w14:textId="77777777" w:rsidR="00CF27CA" w:rsidRDefault="00CF27CA" w:rsidP="00CF27CA">
      <w:pPr>
        <w:jc w:val="both"/>
        <w:rPr>
          <w:rFonts w:cs="Arial"/>
          <w:szCs w:val="22"/>
        </w:rPr>
      </w:pPr>
    </w:p>
    <w:p w14:paraId="21756E3D" w14:textId="77777777" w:rsidR="00CF27CA" w:rsidRDefault="00CF27CA" w:rsidP="00E73C0A">
      <w:pPr>
        <w:pStyle w:val="Prrafodelista"/>
        <w:numPr>
          <w:ilvl w:val="2"/>
          <w:numId w:val="16"/>
        </w:numPr>
        <w:ind w:left="567"/>
        <w:rPr>
          <w:rFonts w:cs="Arial"/>
          <w:szCs w:val="22"/>
          <w:u w:val="single"/>
        </w:rPr>
      </w:pPr>
      <w:r>
        <w:rPr>
          <w:rFonts w:cs="Arial"/>
          <w:szCs w:val="22"/>
          <w:u w:val="single"/>
        </w:rPr>
        <w:t>Administración de Bienes e Infraestructura</w:t>
      </w:r>
    </w:p>
    <w:p w14:paraId="3112D5CE" w14:textId="77777777" w:rsidR="00CF27CA" w:rsidRDefault="00CF27CA" w:rsidP="00CF27CA">
      <w:pPr>
        <w:ind w:left="142"/>
        <w:rPr>
          <w:rFonts w:cs="Arial"/>
          <w:szCs w:val="22"/>
          <w:u w:val="single"/>
        </w:rPr>
      </w:pPr>
    </w:p>
    <w:p w14:paraId="3AA109CA"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F00698">
        <w:rPr>
          <w:rFonts w:cs="Arial"/>
          <w:b/>
          <w:szCs w:val="22"/>
        </w:rPr>
        <w:t>Disfrute particular del bien por parte funcionarios o contratistas</w:t>
      </w:r>
      <w:r>
        <w:rPr>
          <w:rFonts w:cs="Arial"/>
          <w:b/>
          <w:szCs w:val="22"/>
        </w:rPr>
        <w:t>”</w:t>
      </w:r>
    </w:p>
    <w:p w14:paraId="4F016EF0" w14:textId="77777777" w:rsidR="00CF27CA" w:rsidRPr="0025570C" w:rsidRDefault="00CF27CA" w:rsidP="00CF27CA">
      <w:pPr>
        <w:ind w:left="142"/>
        <w:jc w:val="both"/>
        <w:rPr>
          <w:rFonts w:cs="Arial"/>
          <w:szCs w:val="22"/>
        </w:rPr>
      </w:pPr>
    </w:p>
    <w:p w14:paraId="5F425DFF" w14:textId="43B49074" w:rsidR="00CF27CA" w:rsidRDefault="00723931" w:rsidP="00723931">
      <w:pPr>
        <w:numPr>
          <w:ilvl w:val="0"/>
          <w:numId w:val="10"/>
        </w:numPr>
        <w:overflowPunct w:val="0"/>
        <w:autoSpaceDE w:val="0"/>
        <w:autoSpaceDN w:val="0"/>
        <w:adjustRightInd w:val="0"/>
        <w:ind w:left="426"/>
        <w:jc w:val="both"/>
        <w:textAlignment w:val="baseline"/>
        <w:rPr>
          <w:rFonts w:cs="Arial"/>
          <w:szCs w:val="22"/>
        </w:rPr>
      </w:pPr>
      <w:r w:rsidRPr="00723931">
        <w:rPr>
          <w:rFonts w:cs="Arial"/>
          <w:szCs w:val="22"/>
        </w:rPr>
        <w:t>En relación con el primer control, se evidencian en los riesgos de gestión los movimientos de inventarios realizados durante el período evaluado. Sin embargo, es importante mencionar que los soportes deben estar en cada riesgo.</w:t>
      </w:r>
    </w:p>
    <w:p w14:paraId="547D94D7" w14:textId="77777777" w:rsidR="00723931" w:rsidRDefault="00723931" w:rsidP="00723931">
      <w:pPr>
        <w:overflowPunct w:val="0"/>
        <w:autoSpaceDE w:val="0"/>
        <w:autoSpaceDN w:val="0"/>
        <w:adjustRightInd w:val="0"/>
        <w:ind w:left="426"/>
        <w:jc w:val="both"/>
        <w:textAlignment w:val="baseline"/>
        <w:rPr>
          <w:rFonts w:cs="Arial"/>
          <w:szCs w:val="22"/>
        </w:rPr>
      </w:pPr>
    </w:p>
    <w:p w14:paraId="101CF966" w14:textId="77777777" w:rsidR="00CF27CA" w:rsidRDefault="00CF27CA" w:rsidP="00CF27CA">
      <w:pPr>
        <w:pStyle w:val="Prrafodelista"/>
        <w:rPr>
          <w:rFonts w:cs="Arial"/>
          <w:szCs w:val="22"/>
        </w:rPr>
      </w:pPr>
    </w:p>
    <w:p w14:paraId="429877E6" w14:textId="77777777" w:rsidR="00CF27CA" w:rsidRPr="00092325" w:rsidRDefault="00CF27CA" w:rsidP="00E73C0A">
      <w:pPr>
        <w:pStyle w:val="Prrafodelista"/>
        <w:numPr>
          <w:ilvl w:val="2"/>
          <w:numId w:val="16"/>
        </w:numPr>
        <w:ind w:left="567"/>
        <w:rPr>
          <w:rFonts w:cs="Arial"/>
          <w:szCs w:val="22"/>
          <w:u w:val="single"/>
        </w:rPr>
      </w:pPr>
      <w:r>
        <w:rPr>
          <w:rFonts w:cs="Arial"/>
          <w:szCs w:val="22"/>
          <w:u w:val="single"/>
        </w:rPr>
        <w:t>Gestión Financiera</w:t>
      </w:r>
    </w:p>
    <w:p w14:paraId="6E3C9515" w14:textId="77777777" w:rsidR="00CF27CA" w:rsidRDefault="00CF27CA" w:rsidP="00CF27CA">
      <w:pPr>
        <w:ind w:left="142"/>
        <w:rPr>
          <w:rFonts w:cs="Arial"/>
          <w:szCs w:val="22"/>
        </w:rPr>
      </w:pPr>
    </w:p>
    <w:p w14:paraId="2530415D"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F16B28">
        <w:rPr>
          <w:rFonts w:cs="Arial"/>
          <w:b/>
          <w:szCs w:val="22"/>
        </w:rPr>
        <w:t>Por abuso de poder se realicen pagos sin soportes a un tercero o por al profesional de tesorería</w:t>
      </w:r>
      <w:r>
        <w:rPr>
          <w:rFonts w:cs="Arial"/>
          <w:b/>
          <w:szCs w:val="22"/>
        </w:rPr>
        <w:t>”</w:t>
      </w:r>
    </w:p>
    <w:p w14:paraId="474854A4" w14:textId="77777777" w:rsidR="00CF27CA" w:rsidRDefault="00CF27CA" w:rsidP="00CF27CA">
      <w:pPr>
        <w:ind w:left="142"/>
        <w:jc w:val="both"/>
        <w:rPr>
          <w:rFonts w:cs="Arial"/>
          <w:szCs w:val="22"/>
        </w:rPr>
      </w:pPr>
    </w:p>
    <w:p w14:paraId="2422931B" w14:textId="77777777" w:rsidR="00723931" w:rsidRDefault="00723931" w:rsidP="00723931">
      <w:pPr>
        <w:numPr>
          <w:ilvl w:val="0"/>
          <w:numId w:val="10"/>
        </w:numPr>
        <w:overflowPunct w:val="0"/>
        <w:autoSpaceDE w:val="0"/>
        <w:autoSpaceDN w:val="0"/>
        <w:adjustRightInd w:val="0"/>
        <w:ind w:left="426"/>
        <w:jc w:val="both"/>
        <w:textAlignment w:val="baseline"/>
        <w:rPr>
          <w:rFonts w:cs="Arial"/>
          <w:szCs w:val="22"/>
        </w:rPr>
      </w:pPr>
      <w:r w:rsidRPr="00723931">
        <w:rPr>
          <w:rFonts w:cs="Arial"/>
          <w:szCs w:val="22"/>
        </w:rPr>
        <w:t>De acuerdo con</w:t>
      </w:r>
      <w:r>
        <w:rPr>
          <w:rFonts w:cs="Arial"/>
          <w:szCs w:val="22"/>
        </w:rPr>
        <w:t xml:space="preserve"> lo reportado en el monitoreo "</w:t>
      </w:r>
      <w:r w:rsidRPr="00723931">
        <w:rPr>
          <w:rFonts w:cs="Arial"/>
          <w:i/>
          <w:szCs w:val="22"/>
        </w:rPr>
        <w:t>Se realizó la verificación que los pagos a realizar contaran con el soporte remitido por el supervisor del contrato, se debe tener encuenta</w:t>
      </w:r>
      <w:r>
        <w:rPr>
          <w:rFonts w:cs="Arial"/>
          <w:i/>
          <w:szCs w:val="22"/>
        </w:rPr>
        <w:t xml:space="preserve"> (sic)</w:t>
      </w:r>
      <w:r w:rsidRPr="00723931">
        <w:rPr>
          <w:rFonts w:cs="Arial"/>
          <w:i/>
          <w:szCs w:val="22"/>
        </w:rPr>
        <w:t xml:space="preserve"> que la revisión de los soportes se hace contra orfeo, minimo</w:t>
      </w:r>
      <w:r>
        <w:rPr>
          <w:rFonts w:cs="Arial"/>
          <w:i/>
          <w:szCs w:val="22"/>
        </w:rPr>
        <w:t xml:space="preserve"> (sic)</w:t>
      </w:r>
      <w:r w:rsidRPr="00723931">
        <w:rPr>
          <w:rFonts w:cs="Arial"/>
          <w:i/>
          <w:szCs w:val="22"/>
        </w:rPr>
        <w:t xml:space="preserve"> debe contener causación y formato certifciación</w:t>
      </w:r>
      <w:r>
        <w:rPr>
          <w:rFonts w:cs="Arial"/>
          <w:i/>
          <w:szCs w:val="22"/>
        </w:rPr>
        <w:t xml:space="preserve"> (sic)</w:t>
      </w:r>
      <w:r w:rsidRPr="00723931">
        <w:rPr>
          <w:rFonts w:cs="Arial"/>
          <w:i/>
          <w:szCs w:val="22"/>
        </w:rPr>
        <w:t xml:space="preserve"> de cumplimiento, se elaboran un total de 1165 ordenes</w:t>
      </w:r>
      <w:r>
        <w:rPr>
          <w:rFonts w:cs="Arial"/>
          <w:i/>
          <w:szCs w:val="22"/>
        </w:rPr>
        <w:t xml:space="preserve"> (sic)</w:t>
      </w:r>
      <w:r w:rsidRPr="00723931">
        <w:rPr>
          <w:rFonts w:cs="Arial"/>
          <w:i/>
          <w:szCs w:val="22"/>
        </w:rPr>
        <w:t xml:space="preserve"> de pago con corte 30/04/2021</w:t>
      </w:r>
      <w:r w:rsidRPr="00723931">
        <w:rPr>
          <w:rFonts w:cs="Arial"/>
          <w:szCs w:val="22"/>
        </w:rPr>
        <w:t xml:space="preserve">", los soportes que se remiten son los listados de las órdenes de pago, no se observa la evidencia relacionada en el </w:t>
      </w:r>
      <w:r w:rsidRPr="00723931">
        <w:rPr>
          <w:rFonts w:cs="Arial"/>
          <w:szCs w:val="22"/>
        </w:rPr>
        <w:lastRenderedPageBreak/>
        <w:t>segundo control</w:t>
      </w:r>
      <w:r>
        <w:rPr>
          <w:rFonts w:cs="Arial"/>
          <w:szCs w:val="22"/>
        </w:rPr>
        <w:t xml:space="preserve"> (Pdf con ó</w:t>
      </w:r>
      <w:r w:rsidRPr="00723931">
        <w:rPr>
          <w:rFonts w:cs="Arial"/>
          <w:szCs w:val="22"/>
        </w:rPr>
        <w:t>rdenes de pago, solicitud de pago y  causación</w:t>
      </w:r>
      <w:r>
        <w:rPr>
          <w:rFonts w:cs="Arial"/>
          <w:szCs w:val="22"/>
        </w:rPr>
        <w:t>)</w:t>
      </w:r>
      <w:r w:rsidRPr="00723931">
        <w:rPr>
          <w:rFonts w:cs="Arial"/>
          <w:szCs w:val="22"/>
        </w:rPr>
        <w:t>, por lo cual es necesario ajustarla.</w:t>
      </w:r>
    </w:p>
    <w:p w14:paraId="6662D2E5" w14:textId="77777777" w:rsidR="00905914" w:rsidRDefault="00905914" w:rsidP="0041697E">
      <w:pPr>
        <w:rPr>
          <w:rFonts w:cs="Arial"/>
          <w:szCs w:val="22"/>
          <w:u w:val="single"/>
        </w:rPr>
      </w:pPr>
    </w:p>
    <w:p w14:paraId="7E129B8F" w14:textId="77777777" w:rsidR="00723931" w:rsidRDefault="00723931" w:rsidP="00CF27CA">
      <w:pPr>
        <w:ind w:left="142"/>
        <w:rPr>
          <w:rFonts w:cs="Arial"/>
          <w:szCs w:val="22"/>
          <w:u w:val="single"/>
        </w:rPr>
      </w:pPr>
    </w:p>
    <w:p w14:paraId="07A1BD96" w14:textId="77777777" w:rsidR="00CF27CA" w:rsidRPr="00092325" w:rsidRDefault="00CF27CA" w:rsidP="00E73C0A">
      <w:pPr>
        <w:pStyle w:val="Prrafodelista"/>
        <w:numPr>
          <w:ilvl w:val="2"/>
          <w:numId w:val="16"/>
        </w:numPr>
        <w:ind w:left="567"/>
        <w:rPr>
          <w:rFonts w:cs="Arial"/>
          <w:szCs w:val="22"/>
          <w:u w:val="single"/>
        </w:rPr>
      </w:pPr>
      <w:r>
        <w:rPr>
          <w:rFonts w:cs="Arial"/>
          <w:szCs w:val="22"/>
          <w:u w:val="single"/>
        </w:rPr>
        <w:t>Control Interno Disciplinario</w:t>
      </w:r>
    </w:p>
    <w:p w14:paraId="62F2E8CD" w14:textId="77777777" w:rsidR="00CF27CA" w:rsidRDefault="00CF27CA" w:rsidP="00CF27CA">
      <w:pPr>
        <w:ind w:left="142"/>
        <w:rPr>
          <w:rFonts w:cs="Arial"/>
          <w:szCs w:val="22"/>
        </w:rPr>
      </w:pPr>
    </w:p>
    <w:p w14:paraId="1BD9DAFD"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A20837">
        <w:rPr>
          <w:rFonts w:cs="Arial"/>
          <w:b/>
          <w:szCs w:val="22"/>
        </w:rPr>
        <w:t>Cohecho en el trámite de proceso</w:t>
      </w:r>
      <w:r>
        <w:rPr>
          <w:rFonts w:cs="Arial"/>
          <w:b/>
          <w:szCs w:val="22"/>
        </w:rPr>
        <w:t>s</w:t>
      </w:r>
      <w:r w:rsidRPr="00A20837">
        <w:rPr>
          <w:rFonts w:cs="Arial"/>
          <w:b/>
          <w:szCs w:val="22"/>
        </w:rPr>
        <w:t xml:space="preserve"> disciplinarios</w:t>
      </w:r>
      <w:r>
        <w:rPr>
          <w:rFonts w:cs="Arial"/>
          <w:b/>
          <w:szCs w:val="22"/>
        </w:rPr>
        <w:t>”</w:t>
      </w:r>
    </w:p>
    <w:p w14:paraId="0FB2DF93" w14:textId="77777777" w:rsidR="00CF27CA" w:rsidRDefault="00CF27CA" w:rsidP="00CF27CA">
      <w:pPr>
        <w:ind w:left="142"/>
        <w:jc w:val="both"/>
        <w:rPr>
          <w:rFonts w:cs="Arial"/>
          <w:szCs w:val="22"/>
        </w:rPr>
      </w:pPr>
    </w:p>
    <w:p w14:paraId="11304CEC" w14:textId="15557C7A" w:rsidR="0035684E" w:rsidRPr="00204218" w:rsidRDefault="00204218" w:rsidP="00204218">
      <w:pPr>
        <w:numPr>
          <w:ilvl w:val="0"/>
          <w:numId w:val="10"/>
        </w:numPr>
        <w:overflowPunct w:val="0"/>
        <w:autoSpaceDE w:val="0"/>
        <w:autoSpaceDN w:val="0"/>
        <w:adjustRightInd w:val="0"/>
        <w:ind w:left="426"/>
        <w:jc w:val="both"/>
        <w:textAlignment w:val="baseline"/>
        <w:rPr>
          <w:rFonts w:cs="Arial"/>
          <w:szCs w:val="22"/>
        </w:rPr>
      </w:pPr>
      <w:r w:rsidRPr="00204218">
        <w:rPr>
          <w:rFonts w:cs="Arial"/>
          <w:szCs w:val="22"/>
        </w:rPr>
        <w:t>Para el segundo control, se menciona que "</w:t>
      </w:r>
      <w:r w:rsidRPr="00204218">
        <w:rPr>
          <w:rFonts w:cs="Arial"/>
          <w:i/>
          <w:szCs w:val="22"/>
        </w:rPr>
        <w:t>Se asegura la reserva legal de los expedientes</w:t>
      </w:r>
      <w:r w:rsidRPr="00204218">
        <w:rPr>
          <w:rFonts w:cs="Arial"/>
          <w:szCs w:val="22"/>
        </w:rPr>
        <w:t>". Sin embargo, en este seguimiento se entregó información confidencial.</w:t>
      </w:r>
    </w:p>
    <w:p w14:paraId="579CED4B" w14:textId="77777777" w:rsidR="00FF7216" w:rsidRDefault="00FF7216" w:rsidP="00CF27CA">
      <w:pPr>
        <w:ind w:left="66"/>
        <w:jc w:val="both"/>
        <w:rPr>
          <w:rFonts w:cs="Arial"/>
          <w:szCs w:val="22"/>
        </w:rPr>
      </w:pPr>
    </w:p>
    <w:p w14:paraId="60562B39"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A20837">
        <w:rPr>
          <w:rFonts w:cs="Arial"/>
          <w:b/>
          <w:szCs w:val="22"/>
        </w:rPr>
        <w:t>Cohecho en el trámite de proceso</w:t>
      </w:r>
      <w:r>
        <w:rPr>
          <w:rFonts w:cs="Arial"/>
          <w:b/>
          <w:szCs w:val="22"/>
        </w:rPr>
        <w:t>s</w:t>
      </w:r>
      <w:r w:rsidRPr="00A20837">
        <w:rPr>
          <w:rFonts w:cs="Arial"/>
          <w:b/>
          <w:szCs w:val="22"/>
        </w:rPr>
        <w:t xml:space="preserve"> disciplinarios</w:t>
      </w:r>
      <w:r>
        <w:rPr>
          <w:rFonts w:cs="Arial"/>
          <w:b/>
          <w:szCs w:val="22"/>
        </w:rPr>
        <w:t>”</w:t>
      </w:r>
    </w:p>
    <w:p w14:paraId="64C51B72" w14:textId="77777777" w:rsidR="00CF27CA" w:rsidRDefault="00CF27CA" w:rsidP="00CF27CA">
      <w:pPr>
        <w:ind w:left="142"/>
        <w:jc w:val="both"/>
        <w:rPr>
          <w:rFonts w:cs="Arial"/>
          <w:b/>
          <w:szCs w:val="22"/>
        </w:rPr>
      </w:pPr>
    </w:p>
    <w:p w14:paraId="6F618E64" w14:textId="77777777" w:rsidR="00204218" w:rsidRPr="00204218" w:rsidRDefault="00204218" w:rsidP="00204218">
      <w:pPr>
        <w:numPr>
          <w:ilvl w:val="0"/>
          <w:numId w:val="10"/>
        </w:numPr>
        <w:overflowPunct w:val="0"/>
        <w:autoSpaceDE w:val="0"/>
        <w:autoSpaceDN w:val="0"/>
        <w:adjustRightInd w:val="0"/>
        <w:ind w:left="426"/>
        <w:jc w:val="both"/>
        <w:textAlignment w:val="baseline"/>
        <w:rPr>
          <w:rFonts w:cs="Arial"/>
          <w:szCs w:val="22"/>
        </w:rPr>
      </w:pPr>
      <w:r w:rsidRPr="00204218">
        <w:rPr>
          <w:rFonts w:cs="Arial"/>
          <w:szCs w:val="22"/>
        </w:rPr>
        <w:t>Para el segundo control, se menciona que "</w:t>
      </w:r>
      <w:r w:rsidRPr="00204218">
        <w:rPr>
          <w:rFonts w:cs="Arial"/>
          <w:i/>
          <w:szCs w:val="22"/>
        </w:rPr>
        <w:t>Se asegura la reserva legal de los expedientes</w:t>
      </w:r>
      <w:r w:rsidRPr="00204218">
        <w:rPr>
          <w:rFonts w:cs="Arial"/>
          <w:szCs w:val="22"/>
        </w:rPr>
        <w:t>". Sin embargo, en este seguimiento se entregó información confidencial.</w:t>
      </w:r>
    </w:p>
    <w:p w14:paraId="51479E04" w14:textId="77777777" w:rsidR="00CF27CA" w:rsidRDefault="00CF27CA" w:rsidP="00CF27CA">
      <w:pPr>
        <w:jc w:val="both"/>
        <w:rPr>
          <w:rFonts w:cs="Arial"/>
          <w:szCs w:val="22"/>
        </w:rPr>
      </w:pPr>
    </w:p>
    <w:p w14:paraId="6AEB5A76" w14:textId="77777777" w:rsidR="00FF7216" w:rsidRDefault="00FF7216" w:rsidP="00CF27CA">
      <w:pPr>
        <w:jc w:val="both"/>
        <w:rPr>
          <w:rFonts w:cs="Arial"/>
          <w:szCs w:val="22"/>
        </w:rPr>
      </w:pPr>
    </w:p>
    <w:p w14:paraId="4385E6B4" w14:textId="77777777" w:rsidR="00CF27CA" w:rsidRDefault="00CF27CA" w:rsidP="00E73C0A">
      <w:pPr>
        <w:pStyle w:val="Prrafodelista"/>
        <w:numPr>
          <w:ilvl w:val="2"/>
          <w:numId w:val="16"/>
        </w:numPr>
        <w:ind w:left="567"/>
        <w:rPr>
          <w:rFonts w:cs="Arial"/>
          <w:szCs w:val="22"/>
          <w:u w:val="single"/>
        </w:rPr>
      </w:pPr>
      <w:r>
        <w:rPr>
          <w:rFonts w:cs="Arial"/>
          <w:szCs w:val="22"/>
          <w:u w:val="single"/>
        </w:rPr>
        <w:t xml:space="preserve">Evaluación y Seguimiento </w:t>
      </w:r>
    </w:p>
    <w:p w14:paraId="02F06CC6" w14:textId="77777777" w:rsidR="00CF27CA" w:rsidRDefault="00CF27CA" w:rsidP="00CF27CA">
      <w:pPr>
        <w:ind w:left="142"/>
        <w:jc w:val="both"/>
        <w:rPr>
          <w:rFonts w:cs="Arial"/>
          <w:szCs w:val="22"/>
        </w:rPr>
      </w:pPr>
    </w:p>
    <w:p w14:paraId="5C899230"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E46210">
        <w:rPr>
          <w:rFonts w:cs="Arial"/>
          <w:b/>
          <w:szCs w:val="22"/>
        </w:rPr>
        <w:t>Ocultar o modificar información del desempeño de los procesos o de la Entidad en favorecimiento propio o de un servidor en particular</w:t>
      </w:r>
      <w:r>
        <w:rPr>
          <w:rFonts w:cs="Arial"/>
          <w:b/>
          <w:szCs w:val="22"/>
        </w:rPr>
        <w:t>”</w:t>
      </w:r>
    </w:p>
    <w:p w14:paraId="24BA265D" w14:textId="77777777" w:rsidR="00CF27CA" w:rsidRDefault="00CF27CA" w:rsidP="00CF27CA">
      <w:pPr>
        <w:ind w:left="142"/>
        <w:jc w:val="both"/>
        <w:rPr>
          <w:rFonts w:cs="Arial"/>
          <w:b/>
          <w:szCs w:val="22"/>
        </w:rPr>
      </w:pPr>
    </w:p>
    <w:p w14:paraId="5C500B61" w14:textId="6505D019" w:rsidR="00707D21" w:rsidRPr="00CA0C72" w:rsidRDefault="00204218" w:rsidP="00204218">
      <w:pPr>
        <w:numPr>
          <w:ilvl w:val="0"/>
          <w:numId w:val="10"/>
        </w:numPr>
        <w:overflowPunct w:val="0"/>
        <w:autoSpaceDE w:val="0"/>
        <w:autoSpaceDN w:val="0"/>
        <w:adjustRightInd w:val="0"/>
        <w:ind w:left="426"/>
        <w:jc w:val="both"/>
        <w:textAlignment w:val="baseline"/>
        <w:rPr>
          <w:rFonts w:cs="Arial"/>
          <w:szCs w:val="22"/>
        </w:rPr>
      </w:pPr>
      <w:r w:rsidRPr="00204218">
        <w:rPr>
          <w:rFonts w:cs="Arial"/>
          <w:szCs w:val="22"/>
        </w:rPr>
        <w:t xml:space="preserve">Se recomienda no duplicar los archivos en los casos en los que se cuenta con el archivo en Excel y PDF, de la misma forma no incluir los borradores de los memos de Orfeo en los casos en los que se cuente con el archivo del memo radicado. </w:t>
      </w:r>
      <w:r w:rsidR="00707D21">
        <w:rPr>
          <w:rFonts w:cs="Arial"/>
          <w:szCs w:val="22"/>
        </w:rPr>
        <w:t>(observaciones efectuadas por la OAP)</w:t>
      </w:r>
    </w:p>
    <w:p w14:paraId="30EB6C6F" w14:textId="77777777" w:rsidR="00604D7B" w:rsidRDefault="00604D7B" w:rsidP="00CF27CA">
      <w:pPr>
        <w:jc w:val="both"/>
        <w:rPr>
          <w:rFonts w:cs="Arial"/>
          <w:szCs w:val="22"/>
        </w:rPr>
      </w:pPr>
    </w:p>
    <w:p w14:paraId="52ABB743" w14:textId="77777777" w:rsidR="00604D7B" w:rsidRDefault="00604D7B" w:rsidP="00CF27CA">
      <w:pPr>
        <w:jc w:val="both"/>
        <w:rPr>
          <w:rFonts w:cs="Arial"/>
          <w:szCs w:val="22"/>
        </w:rPr>
      </w:pPr>
    </w:p>
    <w:p w14:paraId="58E21330" w14:textId="01CB1AA0" w:rsidR="00CF27CA" w:rsidRPr="00E73C0A" w:rsidRDefault="00CF27CA" w:rsidP="00E73C0A">
      <w:pPr>
        <w:pStyle w:val="Prrafodelista"/>
        <w:numPr>
          <w:ilvl w:val="1"/>
          <w:numId w:val="16"/>
        </w:numPr>
        <w:jc w:val="both"/>
        <w:rPr>
          <w:rFonts w:cs="Arial"/>
          <w:b/>
          <w:szCs w:val="22"/>
        </w:rPr>
      </w:pPr>
      <w:r w:rsidRPr="00E73C0A">
        <w:rPr>
          <w:rFonts w:cs="Arial"/>
          <w:b/>
          <w:szCs w:val="22"/>
        </w:rPr>
        <w:t>SEGUIMIENTO AL MONITOREO DE RIESGOS DE GESTIÓN (</w:t>
      </w:r>
      <w:r w:rsidRPr="00E73C0A">
        <w:rPr>
          <w:rFonts w:cs="Arial"/>
          <w:szCs w:val="22"/>
        </w:rPr>
        <w:t>Ver Anexo 2</w:t>
      </w:r>
      <w:r w:rsidRPr="00E73C0A">
        <w:rPr>
          <w:rFonts w:cs="Arial"/>
          <w:b/>
          <w:szCs w:val="22"/>
        </w:rPr>
        <w:t>)</w:t>
      </w:r>
    </w:p>
    <w:p w14:paraId="74070B86" w14:textId="77777777" w:rsidR="00CF27CA" w:rsidRDefault="00CF27CA" w:rsidP="00CF27CA">
      <w:pPr>
        <w:jc w:val="both"/>
        <w:rPr>
          <w:rFonts w:cs="Arial"/>
          <w:szCs w:val="22"/>
        </w:rPr>
      </w:pPr>
    </w:p>
    <w:p w14:paraId="4D5213E2" w14:textId="77777777" w:rsidR="00CF27CA" w:rsidRDefault="00CF27CA" w:rsidP="00CF27CA">
      <w:pPr>
        <w:jc w:val="both"/>
        <w:rPr>
          <w:rFonts w:cs="Arial"/>
          <w:szCs w:val="22"/>
        </w:rPr>
      </w:pPr>
    </w:p>
    <w:p w14:paraId="60D196D9" w14:textId="77777777" w:rsidR="00CF27CA" w:rsidRPr="00092325" w:rsidRDefault="00CF27CA" w:rsidP="00E73C0A">
      <w:pPr>
        <w:pStyle w:val="Prrafodelista"/>
        <w:numPr>
          <w:ilvl w:val="2"/>
          <w:numId w:val="16"/>
        </w:numPr>
        <w:ind w:left="567"/>
        <w:rPr>
          <w:rFonts w:cs="Arial"/>
          <w:szCs w:val="22"/>
          <w:u w:val="single"/>
        </w:rPr>
      </w:pPr>
      <w:r>
        <w:rPr>
          <w:rFonts w:cs="Arial"/>
          <w:szCs w:val="22"/>
          <w:u w:val="single"/>
        </w:rPr>
        <w:t>Direccionamiento Estratégico</w:t>
      </w:r>
    </w:p>
    <w:p w14:paraId="6394E330" w14:textId="77777777" w:rsidR="00CF27CA" w:rsidRDefault="00CF27CA" w:rsidP="00CF27CA">
      <w:pPr>
        <w:ind w:left="142"/>
        <w:rPr>
          <w:rFonts w:cs="Arial"/>
          <w:szCs w:val="22"/>
          <w:u w:val="single"/>
        </w:rPr>
      </w:pPr>
    </w:p>
    <w:p w14:paraId="61DC98E7"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783A33">
        <w:rPr>
          <w:rFonts w:cs="Arial"/>
          <w:b/>
          <w:szCs w:val="22"/>
        </w:rPr>
        <w:t>Incumplimiento de metas Plan de Desarrollo</w:t>
      </w:r>
      <w:r>
        <w:rPr>
          <w:rFonts w:cs="Arial"/>
          <w:b/>
          <w:szCs w:val="22"/>
        </w:rPr>
        <w:t>”</w:t>
      </w:r>
    </w:p>
    <w:p w14:paraId="66E2C868" w14:textId="77777777" w:rsidR="00CF27CA" w:rsidRDefault="00CF27CA" w:rsidP="00CF27CA">
      <w:pPr>
        <w:ind w:left="142"/>
        <w:jc w:val="both"/>
        <w:rPr>
          <w:rFonts w:cs="Arial"/>
          <w:szCs w:val="22"/>
        </w:rPr>
      </w:pPr>
    </w:p>
    <w:p w14:paraId="1DCEDC3A" w14:textId="411CB4CC" w:rsidR="00CF27CA" w:rsidRPr="002474E0" w:rsidRDefault="002474E0" w:rsidP="002474E0">
      <w:pPr>
        <w:numPr>
          <w:ilvl w:val="0"/>
          <w:numId w:val="10"/>
        </w:numPr>
        <w:overflowPunct w:val="0"/>
        <w:autoSpaceDE w:val="0"/>
        <w:autoSpaceDN w:val="0"/>
        <w:adjustRightInd w:val="0"/>
        <w:ind w:left="426"/>
        <w:jc w:val="both"/>
        <w:textAlignment w:val="baseline"/>
        <w:rPr>
          <w:rFonts w:cs="Arial"/>
          <w:szCs w:val="22"/>
        </w:rPr>
      </w:pPr>
      <w:r w:rsidRPr="002474E0">
        <w:rPr>
          <w:rFonts w:cs="Arial"/>
          <w:szCs w:val="22"/>
        </w:rPr>
        <w:t>No se remite monitoreo, ni soportes que evidencien el cumplimiento de controles del riesgo.</w:t>
      </w:r>
    </w:p>
    <w:p w14:paraId="0503A6FF" w14:textId="77777777" w:rsidR="0035684E" w:rsidRDefault="0035684E" w:rsidP="00CF27CA">
      <w:pPr>
        <w:ind w:left="142"/>
        <w:jc w:val="both"/>
        <w:rPr>
          <w:rFonts w:cs="Arial"/>
          <w:b/>
          <w:szCs w:val="22"/>
        </w:rPr>
      </w:pPr>
    </w:p>
    <w:p w14:paraId="23E34D1A"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7238A2">
        <w:rPr>
          <w:rFonts w:cs="Arial"/>
          <w:b/>
          <w:szCs w:val="22"/>
        </w:rPr>
        <w:t>Reportes con errores e información no veraz</w:t>
      </w:r>
      <w:r>
        <w:rPr>
          <w:rFonts w:cs="Arial"/>
          <w:b/>
          <w:szCs w:val="22"/>
        </w:rPr>
        <w:t>”</w:t>
      </w:r>
    </w:p>
    <w:p w14:paraId="6211A27A" w14:textId="77777777" w:rsidR="00CF27CA" w:rsidRDefault="00CF27CA" w:rsidP="00CF27CA">
      <w:pPr>
        <w:ind w:left="142"/>
        <w:jc w:val="both"/>
        <w:rPr>
          <w:rFonts w:cs="Arial"/>
          <w:szCs w:val="22"/>
        </w:rPr>
      </w:pPr>
    </w:p>
    <w:p w14:paraId="11F63AB5" w14:textId="77777777" w:rsidR="009C49F3" w:rsidRDefault="00CF27CA" w:rsidP="002474E0">
      <w:pPr>
        <w:numPr>
          <w:ilvl w:val="0"/>
          <w:numId w:val="10"/>
        </w:numPr>
        <w:overflowPunct w:val="0"/>
        <w:autoSpaceDE w:val="0"/>
        <w:autoSpaceDN w:val="0"/>
        <w:adjustRightInd w:val="0"/>
        <w:ind w:left="426"/>
        <w:jc w:val="both"/>
        <w:textAlignment w:val="baseline"/>
        <w:rPr>
          <w:rFonts w:cs="Arial"/>
          <w:szCs w:val="22"/>
        </w:rPr>
      </w:pPr>
      <w:r>
        <w:rPr>
          <w:rFonts w:cs="Arial"/>
          <w:szCs w:val="22"/>
        </w:rPr>
        <w:t>Los soportes entregados para evidenciar el cumplimiento del control, no corresponden a lo relacionado en la matriz de riesgo “</w:t>
      </w:r>
      <w:r w:rsidRPr="007238A2">
        <w:rPr>
          <w:rFonts w:cs="Arial"/>
          <w:i/>
          <w:szCs w:val="22"/>
        </w:rPr>
        <w:t>actas de reunión y correos electrónicos</w:t>
      </w:r>
      <w:r w:rsidR="009C49F3">
        <w:rPr>
          <w:rFonts w:cs="Arial"/>
          <w:szCs w:val="22"/>
        </w:rPr>
        <w:t>".</w:t>
      </w:r>
    </w:p>
    <w:p w14:paraId="4EBC50FE" w14:textId="2E36EA40" w:rsidR="00CF27CA" w:rsidRDefault="009C49F3" w:rsidP="002474E0">
      <w:pPr>
        <w:numPr>
          <w:ilvl w:val="0"/>
          <w:numId w:val="10"/>
        </w:numPr>
        <w:overflowPunct w:val="0"/>
        <w:autoSpaceDE w:val="0"/>
        <w:autoSpaceDN w:val="0"/>
        <w:adjustRightInd w:val="0"/>
        <w:ind w:left="426"/>
        <w:jc w:val="both"/>
        <w:textAlignment w:val="baseline"/>
        <w:rPr>
          <w:rFonts w:cs="Arial"/>
          <w:szCs w:val="22"/>
        </w:rPr>
      </w:pPr>
      <w:r w:rsidRPr="009C49F3">
        <w:rPr>
          <w:rFonts w:cs="Arial"/>
          <w:szCs w:val="22"/>
        </w:rPr>
        <w:t>No se presenta monitoreo, ni evidencias de la acción de mitigación, pese a que en la vigencia 2020 fue evaluada como incumplida.</w:t>
      </w:r>
    </w:p>
    <w:p w14:paraId="0BC57172" w14:textId="77777777" w:rsidR="009C49F3" w:rsidRPr="009C49F3" w:rsidRDefault="009C49F3" w:rsidP="009C49F3">
      <w:pPr>
        <w:overflowPunct w:val="0"/>
        <w:autoSpaceDE w:val="0"/>
        <w:autoSpaceDN w:val="0"/>
        <w:adjustRightInd w:val="0"/>
        <w:ind w:left="426"/>
        <w:jc w:val="both"/>
        <w:textAlignment w:val="baseline"/>
        <w:rPr>
          <w:rFonts w:cs="Arial"/>
          <w:szCs w:val="22"/>
        </w:rPr>
      </w:pPr>
    </w:p>
    <w:p w14:paraId="2FA777BE" w14:textId="387347F4" w:rsidR="004D7495" w:rsidRDefault="004D7495" w:rsidP="004D7495">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4D7495">
        <w:rPr>
          <w:rFonts w:cs="Arial"/>
          <w:b/>
          <w:szCs w:val="22"/>
        </w:rPr>
        <w:t>Incumplimiento en los plazos de entrega de la información requerida por entes de control o entidades del distrito</w:t>
      </w:r>
      <w:r>
        <w:rPr>
          <w:rFonts w:cs="Arial"/>
          <w:b/>
          <w:szCs w:val="22"/>
        </w:rPr>
        <w:t>”</w:t>
      </w:r>
    </w:p>
    <w:p w14:paraId="46A97F07" w14:textId="77777777" w:rsidR="004D7495" w:rsidRDefault="004D7495" w:rsidP="004D7495">
      <w:pPr>
        <w:ind w:left="142"/>
        <w:jc w:val="both"/>
        <w:rPr>
          <w:rFonts w:cs="Arial"/>
          <w:szCs w:val="22"/>
        </w:rPr>
      </w:pPr>
    </w:p>
    <w:p w14:paraId="7A588E96" w14:textId="77777777" w:rsidR="009C49F3" w:rsidRDefault="009C49F3" w:rsidP="009C49F3">
      <w:pPr>
        <w:numPr>
          <w:ilvl w:val="0"/>
          <w:numId w:val="10"/>
        </w:numPr>
        <w:overflowPunct w:val="0"/>
        <w:autoSpaceDE w:val="0"/>
        <w:autoSpaceDN w:val="0"/>
        <w:adjustRightInd w:val="0"/>
        <w:ind w:left="426"/>
        <w:jc w:val="both"/>
        <w:textAlignment w:val="baseline"/>
        <w:rPr>
          <w:rFonts w:cs="Arial"/>
          <w:szCs w:val="22"/>
        </w:rPr>
      </w:pPr>
      <w:r w:rsidRPr="009C49F3">
        <w:rPr>
          <w:rFonts w:cs="Arial"/>
          <w:szCs w:val="22"/>
        </w:rPr>
        <w:lastRenderedPageBreak/>
        <w:t>No se presenta monitoreo, ni evidencias de la acción de mitigación, pese a que en la vigencia 2020 fue evaluada como incumplida.</w:t>
      </w:r>
    </w:p>
    <w:p w14:paraId="25BBC5FE" w14:textId="77777777" w:rsidR="004D7495" w:rsidRDefault="004D7495" w:rsidP="00CF27CA">
      <w:pPr>
        <w:ind w:left="142"/>
        <w:rPr>
          <w:rFonts w:cs="Arial"/>
          <w:szCs w:val="22"/>
          <w:u w:val="single"/>
        </w:rPr>
      </w:pPr>
    </w:p>
    <w:p w14:paraId="65A758B9" w14:textId="77777777" w:rsidR="004156D2" w:rsidRDefault="004156D2" w:rsidP="00CF27CA">
      <w:pPr>
        <w:ind w:left="142"/>
        <w:rPr>
          <w:rFonts w:cs="Arial"/>
          <w:szCs w:val="22"/>
          <w:u w:val="single"/>
        </w:rPr>
      </w:pPr>
    </w:p>
    <w:p w14:paraId="297BFEAF" w14:textId="77777777" w:rsidR="00CF27CA" w:rsidRPr="00092325" w:rsidRDefault="00CF27CA" w:rsidP="00E73C0A">
      <w:pPr>
        <w:pStyle w:val="Prrafodelista"/>
        <w:numPr>
          <w:ilvl w:val="2"/>
          <w:numId w:val="16"/>
        </w:numPr>
        <w:ind w:left="567"/>
        <w:rPr>
          <w:rFonts w:cs="Arial"/>
          <w:szCs w:val="22"/>
          <w:u w:val="single"/>
        </w:rPr>
      </w:pPr>
      <w:r>
        <w:rPr>
          <w:rFonts w:cs="Arial"/>
          <w:szCs w:val="22"/>
          <w:u w:val="single"/>
        </w:rPr>
        <w:t>Fortalecimiento SIG</w:t>
      </w:r>
    </w:p>
    <w:p w14:paraId="14E65452" w14:textId="77777777" w:rsidR="00CF27CA" w:rsidRDefault="00CF27CA" w:rsidP="00CF27CA">
      <w:pPr>
        <w:ind w:left="142"/>
        <w:rPr>
          <w:rFonts w:cs="Arial"/>
          <w:szCs w:val="22"/>
        </w:rPr>
      </w:pPr>
    </w:p>
    <w:p w14:paraId="633D91F9"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236DFE">
        <w:rPr>
          <w:rFonts w:cs="Arial"/>
          <w:b/>
          <w:szCs w:val="22"/>
        </w:rPr>
        <w:t>Incumplimiento de los procedimientos y lineamientos definidos por el proceso de Fortalecimiento del  SIG</w:t>
      </w:r>
      <w:r>
        <w:rPr>
          <w:rFonts w:cs="Arial"/>
          <w:b/>
          <w:szCs w:val="22"/>
        </w:rPr>
        <w:t>”</w:t>
      </w:r>
    </w:p>
    <w:p w14:paraId="4C15E289" w14:textId="77777777" w:rsidR="00CF27CA" w:rsidRDefault="00CF27CA" w:rsidP="00CF27CA">
      <w:pPr>
        <w:ind w:left="142"/>
        <w:jc w:val="both"/>
        <w:rPr>
          <w:rFonts w:cs="Arial"/>
          <w:szCs w:val="22"/>
        </w:rPr>
      </w:pPr>
    </w:p>
    <w:p w14:paraId="5528CE93" w14:textId="7DD773F6" w:rsidR="00CF27CA" w:rsidRPr="003501A9" w:rsidRDefault="009C49F3" w:rsidP="003501A9">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5ECAD872" w14:textId="77777777" w:rsidR="003501A9" w:rsidRDefault="003501A9" w:rsidP="009C49F3">
      <w:pPr>
        <w:jc w:val="both"/>
        <w:rPr>
          <w:rFonts w:cs="Arial"/>
          <w:b/>
          <w:szCs w:val="22"/>
        </w:rPr>
      </w:pPr>
    </w:p>
    <w:p w14:paraId="1989B90B"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236DFE">
        <w:rPr>
          <w:rFonts w:cs="Arial"/>
          <w:b/>
          <w:szCs w:val="22"/>
        </w:rPr>
        <w:t>Incumplimiento de la meta de implementación del MIPG en el Instituto</w:t>
      </w:r>
      <w:r>
        <w:rPr>
          <w:rFonts w:cs="Arial"/>
          <w:b/>
          <w:szCs w:val="22"/>
        </w:rPr>
        <w:t>”</w:t>
      </w:r>
    </w:p>
    <w:p w14:paraId="538C9417" w14:textId="77777777" w:rsidR="00CF27CA" w:rsidRDefault="00CF27CA" w:rsidP="00CF27CA">
      <w:pPr>
        <w:ind w:left="142"/>
        <w:jc w:val="both"/>
        <w:rPr>
          <w:rFonts w:cs="Arial"/>
          <w:szCs w:val="22"/>
        </w:rPr>
      </w:pPr>
    </w:p>
    <w:p w14:paraId="0FF2D1C9" w14:textId="77777777" w:rsidR="009C49F3" w:rsidRPr="003501A9" w:rsidRDefault="009C49F3" w:rsidP="009C49F3">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08408DA6" w14:textId="77777777" w:rsidR="00CF27CA" w:rsidRDefault="00CF27CA" w:rsidP="00CF27CA">
      <w:pPr>
        <w:jc w:val="both"/>
        <w:rPr>
          <w:rFonts w:cs="Arial"/>
          <w:szCs w:val="22"/>
        </w:rPr>
      </w:pPr>
    </w:p>
    <w:p w14:paraId="3672E1FD" w14:textId="77777777" w:rsidR="00604D7B" w:rsidRPr="00092325" w:rsidRDefault="00604D7B" w:rsidP="00CF27CA">
      <w:pPr>
        <w:jc w:val="both"/>
        <w:rPr>
          <w:rFonts w:cs="Arial"/>
          <w:szCs w:val="22"/>
        </w:rPr>
      </w:pPr>
    </w:p>
    <w:p w14:paraId="2F86DD91" w14:textId="77777777" w:rsidR="00CF27CA" w:rsidRPr="00092325" w:rsidRDefault="00CF27CA" w:rsidP="00E73C0A">
      <w:pPr>
        <w:pStyle w:val="Prrafodelista"/>
        <w:numPr>
          <w:ilvl w:val="2"/>
          <w:numId w:val="16"/>
        </w:numPr>
        <w:ind w:left="567"/>
        <w:rPr>
          <w:rFonts w:cs="Arial"/>
          <w:szCs w:val="22"/>
          <w:u w:val="single"/>
        </w:rPr>
      </w:pPr>
      <w:r>
        <w:rPr>
          <w:rFonts w:cs="Arial"/>
          <w:szCs w:val="22"/>
          <w:u w:val="single"/>
        </w:rPr>
        <w:t>Comunicación Estratégica</w:t>
      </w:r>
    </w:p>
    <w:p w14:paraId="63EEC95B" w14:textId="77777777" w:rsidR="00CF27CA" w:rsidRDefault="00CF27CA" w:rsidP="00CF27CA">
      <w:pPr>
        <w:ind w:left="142"/>
        <w:rPr>
          <w:rFonts w:cs="Arial"/>
          <w:szCs w:val="22"/>
        </w:rPr>
      </w:pPr>
    </w:p>
    <w:p w14:paraId="5AAFA56A"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8A5313">
        <w:rPr>
          <w:rFonts w:cs="Arial"/>
          <w:b/>
          <w:szCs w:val="22"/>
        </w:rPr>
        <w:t>Divulgación inadecuada del patrimonio de la ciudad o la gestión Institucional</w:t>
      </w:r>
      <w:r>
        <w:rPr>
          <w:rFonts w:cs="Arial"/>
          <w:b/>
          <w:szCs w:val="22"/>
        </w:rPr>
        <w:t>”</w:t>
      </w:r>
    </w:p>
    <w:p w14:paraId="1F69A8EE" w14:textId="77777777" w:rsidR="00CF27CA" w:rsidRDefault="00CF27CA" w:rsidP="00CF27CA">
      <w:pPr>
        <w:ind w:left="142"/>
        <w:jc w:val="both"/>
        <w:rPr>
          <w:rFonts w:cs="Arial"/>
          <w:szCs w:val="22"/>
        </w:rPr>
      </w:pPr>
    </w:p>
    <w:p w14:paraId="2CF4F535" w14:textId="417CC998" w:rsidR="00CF27CA" w:rsidRDefault="005F3A04" w:rsidP="005F3A04">
      <w:pPr>
        <w:numPr>
          <w:ilvl w:val="0"/>
          <w:numId w:val="10"/>
        </w:numPr>
        <w:overflowPunct w:val="0"/>
        <w:autoSpaceDE w:val="0"/>
        <w:autoSpaceDN w:val="0"/>
        <w:adjustRightInd w:val="0"/>
        <w:ind w:left="426"/>
        <w:jc w:val="both"/>
        <w:textAlignment w:val="baseline"/>
        <w:rPr>
          <w:rFonts w:cs="Arial"/>
          <w:szCs w:val="22"/>
        </w:rPr>
      </w:pPr>
      <w:r w:rsidRPr="005F3A04">
        <w:rPr>
          <w:rFonts w:cs="Arial"/>
          <w:szCs w:val="22"/>
        </w:rPr>
        <w:t>Teniendo en cuenta el monitoreo reportado, se evidencia que los controles y las acciones de mitigación no se realizan como se encontraban definidas, ahora se maneja un formato en google donde se realiza el requerimiento y a partir de este se realizan las verificaciones y aprobaciones correspondientes. Sin embargo, es importante realizar las modificaciones necesarias en la matriz de riesgos para que esta se ajuste a la realidad del proceso.</w:t>
      </w:r>
    </w:p>
    <w:p w14:paraId="4C6FAA60" w14:textId="77777777" w:rsidR="00CF27CA" w:rsidRDefault="00CF27CA" w:rsidP="00CF27CA">
      <w:pPr>
        <w:jc w:val="both"/>
        <w:rPr>
          <w:rFonts w:cs="Arial"/>
          <w:szCs w:val="22"/>
        </w:rPr>
      </w:pPr>
    </w:p>
    <w:p w14:paraId="5E1EF8D8" w14:textId="77777777" w:rsidR="005F3A04" w:rsidRDefault="005F3A04" w:rsidP="00CF27CA">
      <w:pPr>
        <w:jc w:val="both"/>
        <w:rPr>
          <w:rFonts w:cs="Arial"/>
          <w:szCs w:val="22"/>
        </w:rPr>
      </w:pPr>
    </w:p>
    <w:p w14:paraId="72E80096" w14:textId="77777777" w:rsidR="00CF27CA" w:rsidRPr="003E0F2F" w:rsidRDefault="00CF27CA" w:rsidP="00E73C0A">
      <w:pPr>
        <w:pStyle w:val="Prrafodelista"/>
        <w:numPr>
          <w:ilvl w:val="2"/>
          <w:numId w:val="16"/>
        </w:numPr>
        <w:ind w:left="567"/>
        <w:rPr>
          <w:rFonts w:cs="Arial"/>
          <w:szCs w:val="22"/>
          <w:u w:val="single"/>
        </w:rPr>
      </w:pPr>
      <w:r w:rsidRPr="007651D1">
        <w:rPr>
          <w:rFonts w:cs="Arial"/>
          <w:szCs w:val="22"/>
          <w:u w:val="single"/>
        </w:rPr>
        <w:t>A</w:t>
      </w:r>
      <w:r>
        <w:rPr>
          <w:rFonts w:cs="Arial"/>
          <w:szCs w:val="22"/>
          <w:u w:val="single"/>
        </w:rPr>
        <w:t>tención a la C</w:t>
      </w:r>
      <w:r w:rsidRPr="007651D1">
        <w:rPr>
          <w:rFonts w:cs="Arial"/>
          <w:szCs w:val="22"/>
          <w:u w:val="single"/>
        </w:rPr>
        <w:t>iudadanía</w:t>
      </w:r>
      <w:r w:rsidRPr="003E0F2F">
        <w:rPr>
          <w:rFonts w:cs="Arial"/>
          <w:szCs w:val="22"/>
          <w:u w:val="single"/>
        </w:rPr>
        <w:t>:</w:t>
      </w:r>
    </w:p>
    <w:p w14:paraId="496B60EB" w14:textId="77777777" w:rsidR="00CF27CA" w:rsidRDefault="00CF27CA" w:rsidP="00CF27CA">
      <w:pPr>
        <w:rPr>
          <w:rFonts w:cs="Arial"/>
          <w:szCs w:val="22"/>
        </w:rPr>
      </w:pPr>
    </w:p>
    <w:p w14:paraId="3771FCE6"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4439FC">
        <w:rPr>
          <w:rFonts w:cs="Arial"/>
          <w:b/>
          <w:szCs w:val="22"/>
        </w:rPr>
        <w:t>Información desactualizada publicada en el enlace de transparencia de la página web</w:t>
      </w:r>
      <w:r>
        <w:rPr>
          <w:rFonts w:cs="Arial"/>
          <w:b/>
          <w:szCs w:val="22"/>
        </w:rPr>
        <w:t>”</w:t>
      </w:r>
    </w:p>
    <w:p w14:paraId="2AFFE21E" w14:textId="77777777" w:rsidR="00CF27CA" w:rsidRDefault="00CF27CA" w:rsidP="00CF27CA">
      <w:pPr>
        <w:ind w:left="142"/>
        <w:rPr>
          <w:rFonts w:cs="Arial"/>
          <w:szCs w:val="22"/>
        </w:rPr>
      </w:pPr>
    </w:p>
    <w:p w14:paraId="182A335A" w14:textId="6DF6F838" w:rsidR="00CF27CA" w:rsidRDefault="005F3A04" w:rsidP="00CF27CA">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050E155A" w14:textId="77777777" w:rsidR="0035684E" w:rsidRDefault="0035684E" w:rsidP="005F3A04">
      <w:pPr>
        <w:rPr>
          <w:rFonts w:cs="Arial"/>
          <w:b/>
          <w:szCs w:val="22"/>
        </w:rPr>
      </w:pPr>
    </w:p>
    <w:p w14:paraId="0E4600D8"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337404">
        <w:rPr>
          <w:rFonts w:cs="Arial"/>
          <w:b/>
          <w:szCs w:val="22"/>
        </w:rPr>
        <w:t>Insatisfacción del ciudadano frente a la atención recibida”</w:t>
      </w:r>
    </w:p>
    <w:p w14:paraId="2E9B0FD9" w14:textId="77777777" w:rsidR="00CF27CA" w:rsidRDefault="00CF27CA" w:rsidP="00CF27CA">
      <w:pPr>
        <w:ind w:left="142"/>
        <w:rPr>
          <w:rFonts w:cs="Arial"/>
          <w:b/>
          <w:szCs w:val="22"/>
        </w:rPr>
      </w:pPr>
    </w:p>
    <w:p w14:paraId="3ECEC4F0" w14:textId="61BC574B" w:rsidR="00CF27CA" w:rsidRDefault="005F3A04" w:rsidP="005F3A04">
      <w:pPr>
        <w:numPr>
          <w:ilvl w:val="0"/>
          <w:numId w:val="10"/>
        </w:numPr>
        <w:overflowPunct w:val="0"/>
        <w:autoSpaceDE w:val="0"/>
        <w:autoSpaceDN w:val="0"/>
        <w:adjustRightInd w:val="0"/>
        <w:ind w:left="426"/>
        <w:jc w:val="both"/>
        <w:textAlignment w:val="baseline"/>
        <w:rPr>
          <w:rFonts w:cs="Arial"/>
          <w:szCs w:val="22"/>
        </w:rPr>
      </w:pPr>
      <w:r w:rsidRPr="005F3A04">
        <w:rPr>
          <w:rFonts w:cs="Arial"/>
          <w:szCs w:val="22"/>
        </w:rPr>
        <w:t>En cuanto al primer control, se evidencian 386 acompañamientos virtuales los días martes de cada semana, en los meses de marzo y abril, no se evidencian los correspondientes a los meses de enero y febrero, aun cuando estos se encuentran programados de manera semanal.</w:t>
      </w:r>
    </w:p>
    <w:p w14:paraId="1D65F8AA" w14:textId="77777777" w:rsidR="00CF27CA" w:rsidRDefault="00CF27CA" w:rsidP="00CF27CA">
      <w:pPr>
        <w:ind w:left="142"/>
        <w:jc w:val="both"/>
        <w:rPr>
          <w:rFonts w:cs="Arial"/>
          <w:szCs w:val="22"/>
        </w:rPr>
      </w:pPr>
    </w:p>
    <w:p w14:paraId="6728379B" w14:textId="77777777" w:rsidR="005F3A04" w:rsidRPr="00EB171E" w:rsidRDefault="005F3A04" w:rsidP="00CF27CA">
      <w:pPr>
        <w:ind w:left="142"/>
        <w:jc w:val="both"/>
        <w:rPr>
          <w:rFonts w:cs="Arial"/>
          <w:szCs w:val="22"/>
        </w:rPr>
      </w:pPr>
    </w:p>
    <w:p w14:paraId="6C01648D" w14:textId="77777777" w:rsidR="00CF27CA" w:rsidRPr="003E0F2F" w:rsidRDefault="00CF27CA" w:rsidP="00E73C0A">
      <w:pPr>
        <w:pStyle w:val="Prrafodelista"/>
        <w:numPr>
          <w:ilvl w:val="2"/>
          <w:numId w:val="16"/>
        </w:numPr>
        <w:ind w:left="567"/>
        <w:rPr>
          <w:rFonts w:cs="Arial"/>
          <w:szCs w:val="22"/>
          <w:u w:val="single"/>
        </w:rPr>
      </w:pPr>
      <w:r>
        <w:rPr>
          <w:rFonts w:cs="Arial"/>
          <w:szCs w:val="22"/>
          <w:u w:val="single"/>
        </w:rPr>
        <w:t>Gestión Territorial del Patrimonio</w:t>
      </w:r>
      <w:r w:rsidRPr="003E0F2F">
        <w:rPr>
          <w:rFonts w:cs="Arial"/>
          <w:szCs w:val="22"/>
          <w:u w:val="single"/>
        </w:rPr>
        <w:t>:</w:t>
      </w:r>
    </w:p>
    <w:p w14:paraId="0C7B6A6A" w14:textId="77777777" w:rsidR="00CF27CA" w:rsidRDefault="00CF27CA" w:rsidP="00CF27CA">
      <w:pPr>
        <w:rPr>
          <w:rFonts w:cs="Arial"/>
          <w:szCs w:val="22"/>
        </w:rPr>
      </w:pPr>
    </w:p>
    <w:p w14:paraId="75AE1B47"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3B7A7A">
        <w:rPr>
          <w:rFonts w:cs="Arial"/>
          <w:b/>
          <w:szCs w:val="22"/>
        </w:rPr>
        <w:t>Incumplimiento e inoportunidad en la respuesta al requerimiento o solicitud relacionada con instr</w:t>
      </w:r>
      <w:r>
        <w:rPr>
          <w:rFonts w:cs="Arial"/>
          <w:b/>
          <w:szCs w:val="22"/>
        </w:rPr>
        <w:t>umentos de planeación o gestión”</w:t>
      </w:r>
    </w:p>
    <w:p w14:paraId="33596A88" w14:textId="77777777" w:rsidR="00CF27CA" w:rsidRDefault="00CF27CA" w:rsidP="00CF27CA">
      <w:pPr>
        <w:ind w:left="142"/>
        <w:rPr>
          <w:rFonts w:cs="Arial"/>
          <w:b/>
          <w:szCs w:val="22"/>
        </w:rPr>
      </w:pPr>
    </w:p>
    <w:p w14:paraId="56976FA9" w14:textId="1BA508FD" w:rsidR="005A6903" w:rsidRDefault="00BF5149" w:rsidP="005A6903">
      <w:pPr>
        <w:numPr>
          <w:ilvl w:val="0"/>
          <w:numId w:val="10"/>
        </w:numPr>
        <w:overflowPunct w:val="0"/>
        <w:autoSpaceDE w:val="0"/>
        <w:autoSpaceDN w:val="0"/>
        <w:adjustRightInd w:val="0"/>
        <w:ind w:left="426"/>
        <w:jc w:val="both"/>
        <w:textAlignment w:val="baseline"/>
        <w:rPr>
          <w:rFonts w:cs="Arial"/>
          <w:szCs w:val="22"/>
        </w:rPr>
      </w:pPr>
      <w:r>
        <w:rPr>
          <w:rFonts w:cs="Arial"/>
          <w:szCs w:val="22"/>
        </w:rPr>
        <w:lastRenderedPageBreak/>
        <w:t>Sin observaciones.</w:t>
      </w:r>
    </w:p>
    <w:p w14:paraId="4B281C2F" w14:textId="77777777" w:rsidR="00CF27CA" w:rsidRDefault="00CF27CA" w:rsidP="00CF27CA">
      <w:pPr>
        <w:ind w:left="426"/>
        <w:jc w:val="both"/>
        <w:rPr>
          <w:rFonts w:cs="Arial"/>
          <w:szCs w:val="22"/>
        </w:rPr>
      </w:pPr>
    </w:p>
    <w:p w14:paraId="0855CCFB" w14:textId="77777777" w:rsidR="0035684E" w:rsidRPr="0028105A" w:rsidRDefault="0035684E" w:rsidP="00CF27CA">
      <w:pPr>
        <w:ind w:left="426"/>
        <w:jc w:val="both"/>
        <w:rPr>
          <w:rFonts w:cs="Arial"/>
          <w:szCs w:val="22"/>
        </w:rPr>
      </w:pPr>
    </w:p>
    <w:p w14:paraId="5CCE1F73"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3B7A7A">
        <w:rPr>
          <w:rFonts w:cs="Arial"/>
          <w:b/>
          <w:szCs w:val="22"/>
        </w:rPr>
        <w:t>Cambios en la normatividad y regu</w:t>
      </w:r>
      <w:r>
        <w:rPr>
          <w:rFonts w:cs="Arial"/>
          <w:b/>
          <w:szCs w:val="22"/>
        </w:rPr>
        <w:t>laciones en patrimonio cultural”</w:t>
      </w:r>
    </w:p>
    <w:p w14:paraId="6A995997" w14:textId="77777777" w:rsidR="00CF27CA" w:rsidRDefault="00CF27CA" w:rsidP="00CF27CA">
      <w:pPr>
        <w:ind w:left="142"/>
        <w:rPr>
          <w:rFonts w:cs="Arial"/>
          <w:b/>
          <w:szCs w:val="22"/>
        </w:rPr>
      </w:pPr>
    </w:p>
    <w:p w14:paraId="6318297C" w14:textId="6CA5AF32" w:rsidR="00CF27CA" w:rsidRPr="00BF5149" w:rsidRDefault="00BF5149" w:rsidP="00BF5149">
      <w:pPr>
        <w:numPr>
          <w:ilvl w:val="0"/>
          <w:numId w:val="10"/>
        </w:numPr>
        <w:overflowPunct w:val="0"/>
        <w:autoSpaceDE w:val="0"/>
        <w:autoSpaceDN w:val="0"/>
        <w:adjustRightInd w:val="0"/>
        <w:ind w:left="426"/>
        <w:jc w:val="both"/>
        <w:textAlignment w:val="baseline"/>
        <w:rPr>
          <w:rFonts w:cs="Arial"/>
          <w:szCs w:val="22"/>
        </w:rPr>
      </w:pPr>
      <w:r w:rsidRPr="00BF5149">
        <w:rPr>
          <w:rFonts w:cs="Arial"/>
          <w:szCs w:val="22"/>
        </w:rPr>
        <w:t>Para la primera acción</w:t>
      </w:r>
      <w:r>
        <w:rPr>
          <w:rFonts w:cs="Arial"/>
          <w:szCs w:val="22"/>
        </w:rPr>
        <w:t xml:space="preserve"> de mitigación</w:t>
      </w:r>
      <w:r w:rsidRPr="00BF5149">
        <w:rPr>
          <w:rFonts w:cs="Arial"/>
          <w:szCs w:val="22"/>
        </w:rPr>
        <w:t>, se evidencia normograma del proceso, se reitera la recomendación de incluirlo en el formato SIG.</w:t>
      </w:r>
    </w:p>
    <w:p w14:paraId="5EA55DE6" w14:textId="77777777" w:rsidR="0035684E" w:rsidRDefault="0035684E" w:rsidP="00CF27CA">
      <w:pPr>
        <w:ind w:left="142"/>
        <w:rPr>
          <w:rFonts w:cs="Arial"/>
          <w:b/>
          <w:szCs w:val="22"/>
        </w:rPr>
      </w:pPr>
    </w:p>
    <w:p w14:paraId="30FC6D10"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2F04D7">
        <w:rPr>
          <w:rFonts w:cs="Arial"/>
          <w:b/>
          <w:szCs w:val="22"/>
        </w:rPr>
        <w:t>Interrumpir el desarrollo de la herramienta que garantice la consulta de información centralizada y geográfica de</w:t>
      </w:r>
      <w:r>
        <w:rPr>
          <w:rFonts w:cs="Arial"/>
          <w:b/>
          <w:szCs w:val="22"/>
        </w:rPr>
        <w:t xml:space="preserve"> los BIC's del Distrito Capital”</w:t>
      </w:r>
    </w:p>
    <w:p w14:paraId="5EF0D1AE" w14:textId="77777777" w:rsidR="00CF27CA" w:rsidRPr="00C93FEE" w:rsidRDefault="00CF27CA" w:rsidP="00CF27CA">
      <w:pPr>
        <w:ind w:left="142"/>
        <w:rPr>
          <w:rFonts w:cs="Arial"/>
          <w:b/>
          <w:szCs w:val="22"/>
        </w:rPr>
      </w:pPr>
    </w:p>
    <w:p w14:paraId="3C9EDF45" w14:textId="77777777" w:rsidR="00D35B8B" w:rsidRDefault="00D35B8B" w:rsidP="00D35B8B">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09101A8C" w14:textId="77777777" w:rsidR="0035684E" w:rsidRDefault="0035684E" w:rsidP="00CF27CA">
      <w:pPr>
        <w:rPr>
          <w:rFonts w:cs="Arial"/>
          <w:szCs w:val="22"/>
          <w:u w:val="single"/>
        </w:rPr>
      </w:pPr>
    </w:p>
    <w:p w14:paraId="4A5CD21D" w14:textId="77777777" w:rsidR="005120D7" w:rsidRDefault="005120D7" w:rsidP="00CF27CA">
      <w:pPr>
        <w:rPr>
          <w:rFonts w:cs="Arial"/>
          <w:szCs w:val="22"/>
          <w:u w:val="single"/>
        </w:rPr>
      </w:pPr>
    </w:p>
    <w:p w14:paraId="0D991231"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08531B">
        <w:rPr>
          <w:rFonts w:cs="Arial"/>
          <w:b/>
          <w:szCs w:val="22"/>
        </w:rPr>
        <w:t xml:space="preserve">Incumplimiento de los compromisos y la entrega de información geográfica actualizada en BIC's </w:t>
      </w:r>
      <w:r>
        <w:rPr>
          <w:rFonts w:cs="Arial"/>
          <w:b/>
          <w:szCs w:val="22"/>
        </w:rPr>
        <w:t>a entes externos (IDECA)”</w:t>
      </w:r>
    </w:p>
    <w:p w14:paraId="445BAA42" w14:textId="77777777" w:rsidR="00CF27CA" w:rsidRPr="00C93FEE" w:rsidRDefault="00CF27CA" w:rsidP="00CF27CA">
      <w:pPr>
        <w:ind w:left="142"/>
        <w:rPr>
          <w:rFonts w:cs="Arial"/>
          <w:b/>
          <w:szCs w:val="22"/>
        </w:rPr>
      </w:pPr>
    </w:p>
    <w:p w14:paraId="35E83242" w14:textId="77777777" w:rsidR="00D35B8B" w:rsidRDefault="00D35B8B" w:rsidP="00D35B8B">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319356C3" w14:textId="77777777" w:rsidR="00CF27CA" w:rsidRDefault="00CF27CA" w:rsidP="00CF27CA">
      <w:pPr>
        <w:rPr>
          <w:rFonts w:cs="Arial"/>
          <w:szCs w:val="22"/>
          <w:u w:val="single"/>
        </w:rPr>
      </w:pPr>
    </w:p>
    <w:p w14:paraId="22DA1363" w14:textId="77777777" w:rsidR="007C126D" w:rsidRDefault="007C126D" w:rsidP="00CF27CA">
      <w:pPr>
        <w:rPr>
          <w:rFonts w:cs="Arial"/>
          <w:szCs w:val="22"/>
          <w:u w:val="single"/>
        </w:rPr>
      </w:pPr>
    </w:p>
    <w:p w14:paraId="7C744DFA" w14:textId="77777777" w:rsidR="00CF27CA" w:rsidRPr="00C93FEE" w:rsidRDefault="00CF27CA" w:rsidP="00E73C0A">
      <w:pPr>
        <w:pStyle w:val="Prrafodelista"/>
        <w:numPr>
          <w:ilvl w:val="2"/>
          <w:numId w:val="16"/>
        </w:numPr>
        <w:ind w:left="567"/>
        <w:rPr>
          <w:rFonts w:cs="Arial"/>
          <w:szCs w:val="22"/>
          <w:u w:val="single"/>
        </w:rPr>
      </w:pPr>
      <w:r w:rsidRPr="00C93FEE">
        <w:rPr>
          <w:rFonts w:cs="Arial"/>
          <w:szCs w:val="22"/>
          <w:u w:val="single"/>
        </w:rPr>
        <w:t>Protección e Intervención del Patrimonio:</w:t>
      </w:r>
    </w:p>
    <w:p w14:paraId="14E0798B" w14:textId="77777777" w:rsidR="00CF27CA" w:rsidRDefault="00CF27CA" w:rsidP="00CF27CA">
      <w:pPr>
        <w:rPr>
          <w:rFonts w:cs="Arial"/>
          <w:szCs w:val="22"/>
        </w:rPr>
      </w:pPr>
    </w:p>
    <w:p w14:paraId="02A37795"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E1096F">
        <w:rPr>
          <w:rFonts w:cs="Arial"/>
          <w:b/>
          <w:szCs w:val="22"/>
        </w:rPr>
        <w:t>Atención tardía, equivocada o incompleta  en detrimen</w:t>
      </w:r>
      <w:r>
        <w:rPr>
          <w:rFonts w:cs="Arial"/>
          <w:b/>
          <w:szCs w:val="22"/>
        </w:rPr>
        <w:t>to del patrimonio de la ciudad”</w:t>
      </w:r>
    </w:p>
    <w:p w14:paraId="542F3770" w14:textId="77777777" w:rsidR="00CF27CA" w:rsidRDefault="00CF27CA" w:rsidP="00CF27CA">
      <w:pPr>
        <w:ind w:left="142"/>
        <w:rPr>
          <w:rFonts w:cs="Arial"/>
          <w:b/>
          <w:szCs w:val="22"/>
        </w:rPr>
      </w:pPr>
    </w:p>
    <w:p w14:paraId="5C3EFB7A" w14:textId="632E1202" w:rsidR="00BF5149" w:rsidRPr="00BF5149" w:rsidRDefault="00C83D5F" w:rsidP="00BF5149">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49D7261B" w14:textId="77777777" w:rsidR="0035684E" w:rsidRDefault="0035684E" w:rsidP="00CF27CA">
      <w:pPr>
        <w:ind w:left="142"/>
        <w:rPr>
          <w:rFonts w:cs="Arial"/>
          <w:b/>
          <w:szCs w:val="22"/>
        </w:rPr>
      </w:pPr>
    </w:p>
    <w:p w14:paraId="38E3E8A7"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862E83">
        <w:rPr>
          <w:rFonts w:cs="Arial"/>
          <w:b/>
          <w:szCs w:val="22"/>
        </w:rPr>
        <w:t>Incumplimiento en la oportunidad de las respuestas a las solicitudes ciudadanas de los trámites y servicios ofrecidos por el IDPC</w:t>
      </w:r>
      <w:r>
        <w:rPr>
          <w:rFonts w:cs="Arial"/>
          <w:b/>
          <w:szCs w:val="22"/>
        </w:rPr>
        <w:t>”</w:t>
      </w:r>
    </w:p>
    <w:p w14:paraId="1A610FEF" w14:textId="77777777" w:rsidR="00CF27CA" w:rsidRDefault="00CF27CA" w:rsidP="00CF27CA">
      <w:pPr>
        <w:ind w:left="142"/>
        <w:jc w:val="both"/>
        <w:rPr>
          <w:rFonts w:cs="Arial"/>
          <w:szCs w:val="22"/>
        </w:rPr>
      </w:pPr>
    </w:p>
    <w:p w14:paraId="34736BCC" w14:textId="77777777" w:rsidR="00C83D5F" w:rsidRPr="00BF5149" w:rsidRDefault="00C83D5F" w:rsidP="00C83D5F">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668CADB0" w14:textId="77777777" w:rsidR="00BC673B" w:rsidRDefault="00BC673B" w:rsidP="00CF27CA">
      <w:pPr>
        <w:ind w:left="720"/>
        <w:jc w:val="both"/>
        <w:rPr>
          <w:rFonts w:cs="Arial"/>
          <w:b/>
          <w:szCs w:val="22"/>
        </w:rPr>
      </w:pPr>
    </w:p>
    <w:p w14:paraId="0317D3A3"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w:t>
      </w:r>
      <w:r w:rsidRPr="00862E83">
        <w:rPr>
          <w:rFonts w:cs="Arial"/>
          <w:b/>
          <w:szCs w:val="22"/>
        </w:rPr>
        <w:t>Deficiencias en la estructuración de proyectos</w:t>
      </w:r>
      <w:r>
        <w:rPr>
          <w:rFonts w:cs="Arial"/>
          <w:b/>
          <w:szCs w:val="22"/>
        </w:rPr>
        <w:t>”</w:t>
      </w:r>
    </w:p>
    <w:p w14:paraId="441EBDCD" w14:textId="77777777" w:rsidR="00CF27CA" w:rsidRPr="00B7601B" w:rsidRDefault="00CF27CA" w:rsidP="00CF27CA">
      <w:pPr>
        <w:ind w:left="142"/>
        <w:jc w:val="both"/>
        <w:rPr>
          <w:rFonts w:cs="Arial"/>
          <w:szCs w:val="22"/>
        </w:rPr>
      </w:pPr>
    </w:p>
    <w:p w14:paraId="6A64340B" w14:textId="287E1F10" w:rsidR="00CF27CA" w:rsidRDefault="00BF5149" w:rsidP="00525FC9">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212D8149" w14:textId="77777777" w:rsidR="00CF27CA" w:rsidRDefault="00CF27CA" w:rsidP="00CF27CA">
      <w:pPr>
        <w:ind w:left="142"/>
        <w:jc w:val="both"/>
        <w:rPr>
          <w:rFonts w:cs="Arial"/>
          <w:szCs w:val="22"/>
        </w:rPr>
      </w:pPr>
    </w:p>
    <w:p w14:paraId="1C388A6D" w14:textId="77777777" w:rsidR="00CF27CA" w:rsidRDefault="00CF27CA" w:rsidP="00E73C0A">
      <w:pPr>
        <w:jc w:val="both"/>
        <w:rPr>
          <w:rFonts w:cs="Arial"/>
          <w:szCs w:val="22"/>
        </w:rPr>
      </w:pPr>
    </w:p>
    <w:p w14:paraId="4023405A" w14:textId="77777777" w:rsidR="00CF27CA" w:rsidRDefault="00CF27CA" w:rsidP="00E73C0A">
      <w:pPr>
        <w:pStyle w:val="Prrafodelista"/>
        <w:numPr>
          <w:ilvl w:val="2"/>
          <w:numId w:val="16"/>
        </w:numPr>
        <w:ind w:left="567"/>
        <w:rPr>
          <w:rFonts w:cs="Arial"/>
          <w:szCs w:val="22"/>
          <w:u w:val="single"/>
        </w:rPr>
      </w:pPr>
      <w:r w:rsidRPr="00C93FEE">
        <w:rPr>
          <w:rFonts w:cs="Arial"/>
          <w:szCs w:val="22"/>
          <w:u w:val="single"/>
        </w:rPr>
        <w:t>Divulgación y Apropiación del Patrimonio</w:t>
      </w:r>
    </w:p>
    <w:p w14:paraId="2368A4D9" w14:textId="77777777" w:rsidR="00CF27CA" w:rsidRDefault="00CF27CA" w:rsidP="00CF27CA">
      <w:pPr>
        <w:ind w:left="142"/>
        <w:jc w:val="both"/>
        <w:rPr>
          <w:rFonts w:cs="Arial"/>
          <w:szCs w:val="22"/>
          <w:u w:val="single"/>
        </w:rPr>
      </w:pPr>
    </w:p>
    <w:p w14:paraId="0088DEBF"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D22670">
        <w:rPr>
          <w:rFonts w:cs="Arial"/>
          <w:b/>
          <w:szCs w:val="22"/>
        </w:rPr>
        <w:t>Retraso en la apertura de exposiciones</w:t>
      </w:r>
      <w:r>
        <w:rPr>
          <w:rFonts w:cs="Arial"/>
          <w:b/>
          <w:szCs w:val="22"/>
        </w:rPr>
        <w:t>”</w:t>
      </w:r>
    </w:p>
    <w:p w14:paraId="1DD5E48F" w14:textId="77777777" w:rsidR="00CF27CA" w:rsidRDefault="00CF27CA" w:rsidP="00CF27CA">
      <w:pPr>
        <w:ind w:left="142"/>
        <w:jc w:val="both"/>
        <w:rPr>
          <w:rFonts w:cs="Arial"/>
          <w:b/>
          <w:szCs w:val="22"/>
        </w:rPr>
      </w:pPr>
    </w:p>
    <w:p w14:paraId="1BF447FB" w14:textId="3EF0A9D4" w:rsidR="0035684E" w:rsidRPr="001515F7" w:rsidRDefault="001515F7" w:rsidP="001515F7">
      <w:pPr>
        <w:numPr>
          <w:ilvl w:val="0"/>
          <w:numId w:val="10"/>
        </w:numPr>
        <w:overflowPunct w:val="0"/>
        <w:autoSpaceDE w:val="0"/>
        <w:autoSpaceDN w:val="0"/>
        <w:adjustRightInd w:val="0"/>
        <w:ind w:left="426"/>
        <w:jc w:val="both"/>
        <w:textAlignment w:val="baseline"/>
        <w:rPr>
          <w:rFonts w:cs="Arial"/>
          <w:szCs w:val="22"/>
        </w:rPr>
      </w:pPr>
      <w:r w:rsidRPr="001515F7">
        <w:rPr>
          <w:rFonts w:cs="Arial"/>
          <w:szCs w:val="22"/>
        </w:rPr>
        <w:t>De acuerdo con lo informado por el proceso no se han realizado exposiciones temporales debido a la pandemia.</w:t>
      </w:r>
    </w:p>
    <w:p w14:paraId="6264FA65" w14:textId="77777777" w:rsidR="00CA7F8E" w:rsidRDefault="00CA7F8E" w:rsidP="00CF27CA">
      <w:pPr>
        <w:ind w:left="142"/>
        <w:jc w:val="both"/>
        <w:rPr>
          <w:rFonts w:cs="Arial"/>
          <w:b/>
          <w:szCs w:val="22"/>
        </w:rPr>
      </w:pPr>
    </w:p>
    <w:p w14:paraId="7039E774"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A963C0">
        <w:rPr>
          <w:rFonts w:cs="Arial"/>
          <w:b/>
          <w:szCs w:val="22"/>
        </w:rPr>
        <w:t>Incumplimiento en el plan de publicaciones de la vigencia</w:t>
      </w:r>
      <w:r>
        <w:rPr>
          <w:rFonts w:cs="Arial"/>
          <w:b/>
          <w:szCs w:val="22"/>
        </w:rPr>
        <w:t>”</w:t>
      </w:r>
    </w:p>
    <w:p w14:paraId="787138E2" w14:textId="77777777" w:rsidR="00CF27CA" w:rsidRDefault="00CF27CA" w:rsidP="00CF27CA">
      <w:pPr>
        <w:ind w:left="142"/>
        <w:jc w:val="both"/>
        <w:rPr>
          <w:rFonts w:cs="Arial"/>
          <w:b/>
          <w:szCs w:val="22"/>
        </w:rPr>
      </w:pPr>
    </w:p>
    <w:p w14:paraId="54B8D4B2" w14:textId="4FB0ACB0" w:rsidR="001515F7" w:rsidRPr="001515F7" w:rsidRDefault="00BF4F7B" w:rsidP="001515F7">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057A2CE6" w14:textId="51C49E35" w:rsidR="0035684E" w:rsidRDefault="001515F7" w:rsidP="001515F7">
      <w:pPr>
        <w:overflowPunct w:val="0"/>
        <w:autoSpaceDE w:val="0"/>
        <w:autoSpaceDN w:val="0"/>
        <w:adjustRightInd w:val="0"/>
        <w:jc w:val="both"/>
        <w:textAlignment w:val="baseline"/>
        <w:rPr>
          <w:rFonts w:cs="Arial"/>
          <w:b/>
          <w:szCs w:val="22"/>
        </w:rPr>
      </w:pPr>
      <w:r>
        <w:rPr>
          <w:rFonts w:cs="Arial"/>
          <w:b/>
          <w:szCs w:val="22"/>
        </w:rPr>
        <w:t xml:space="preserve"> </w:t>
      </w:r>
    </w:p>
    <w:p w14:paraId="6C86AA9D"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A963C0">
        <w:rPr>
          <w:rFonts w:cs="Arial"/>
          <w:b/>
          <w:szCs w:val="22"/>
        </w:rPr>
        <w:t>Inconsistencia en la información relacionada con los asistentes de las actividades</w:t>
      </w:r>
      <w:r>
        <w:rPr>
          <w:rFonts w:cs="Arial"/>
          <w:b/>
          <w:szCs w:val="22"/>
        </w:rPr>
        <w:t>”</w:t>
      </w:r>
    </w:p>
    <w:p w14:paraId="054C3A1B" w14:textId="77777777" w:rsidR="00CF27CA" w:rsidRDefault="00CF27CA" w:rsidP="00CF27CA">
      <w:pPr>
        <w:ind w:left="142"/>
        <w:jc w:val="both"/>
        <w:rPr>
          <w:rFonts w:cs="Arial"/>
          <w:b/>
          <w:szCs w:val="22"/>
        </w:rPr>
      </w:pPr>
    </w:p>
    <w:p w14:paraId="235C1962" w14:textId="77777777" w:rsidR="00BF4F7B" w:rsidRPr="001515F7" w:rsidRDefault="00BF4F7B" w:rsidP="00BF4F7B">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5A206043" w14:textId="77777777" w:rsidR="009527AB" w:rsidRDefault="009527AB" w:rsidP="001515F7">
      <w:pPr>
        <w:jc w:val="both"/>
        <w:rPr>
          <w:rFonts w:cs="Arial"/>
          <w:b/>
          <w:szCs w:val="22"/>
        </w:rPr>
      </w:pPr>
    </w:p>
    <w:p w14:paraId="173872BA"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A963C0">
        <w:rPr>
          <w:rFonts w:cs="Arial"/>
          <w:b/>
          <w:szCs w:val="22"/>
        </w:rPr>
        <w:t>Perdida de material</w:t>
      </w:r>
      <w:r>
        <w:rPr>
          <w:rFonts w:cs="Arial"/>
          <w:b/>
          <w:szCs w:val="22"/>
        </w:rPr>
        <w:t>”</w:t>
      </w:r>
    </w:p>
    <w:p w14:paraId="6B960429" w14:textId="77777777" w:rsidR="00CF27CA" w:rsidRDefault="00CF27CA" w:rsidP="00CF27CA">
      <w:pPr>
        <w:ind w:left="142"/>
        <w:jc w:val="both"/>
        <w:rPr>
          <w:rFonts w:cs="Arial"/>
          <w:b/>
          <w:szCs w:val="22"/>
        </w:rPr>
      </w:pPr>
    </w:p>
    <w:p w14:paraId="71FFD4D1" w14:textId="77777777" w:rsidR="00BF4F7B" w:rsidRPr="001515F7" w:rsidRDefault="00BF4F7B" w:rsidP="00BF4F7B">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150B9AA6" w14:textId="77777777" w:rsidR="003B27A5" w:rsidRDefault="003B27A5" w:rsidP="001515F7">
      <w:pPr>
        <w:jc w:val="both"/>
        <w:rPr>
          <w:rFonts w:cs="Arial"/>
          <w:b/>
          <w:szCs w:val="22"/>
        </w:rPr>
      </w:pPr>
    </w:p>
    <w:p w14:paraId="7805300A"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A963C0">
        <w:rPr>
          <w:rFonts w:cs="Arial"/>
          <w:b/>
          <w:szCs w:val="22"/>
        </w:rPr>
        <w:t>Daño o alteración de las características físicas de las piezas de la colección del Museo</w:t>
      </w:r>
      <w:r>
        <w:rPr>
          <w:rFonts w:cs="Arial"/>
          <w:b/>
          <w:szCs w:val="22"/>
        </w:rPr>
        <w:t>”</w:t>
      </w:r>
    </w:p>
    <w:p w14:paraId="7A10EF62" w14:textId="77777777" w:rsidR="00CF27CA" w:rsidRDefault="00CF27CA" w:rsidP="00CF27CA">
      <w:pPr>
        <w:ind w:left="142"/>
        <w:jc w:val="both"/>
        <w:rPr>
          <w:rFonts w:cs="Arial"/>
          <w:b/>
          <w:szCs w:val="22"/>
        </w:rPr>
      </w:pPr>
    </w:p>
    <w:p w14:paraId="7E944A83" w14:textId="77777777" w:rsidR="00BF4F7B" w:rsidRPr="001515F7" w:rsidRDefault="00BF4F7B" w:rsidP="00BF4F7B">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37383E80" w14:textId="77777777" w:rsidR="00CF27CA" w:rsidRDefault="00CF27CA" w:rsidP="00CF27CA">
      <w:pPr>
        <w:rPr>
          <w:rFonts w:cs="Arial"/>
          <w:szCs w:val="22"/>
          <w:u w:val="single"/>
        </w:rPr>
      </w:pPr>
    </w:p>
    <w:p w14:paraId="44D73706" w14:textId="77777777" w:rsidR="00CF27CA" w:rsidRDefault="00CF27CA" w:rsidP="00CF27CA">
      <w:pPr>
        <w:rPr>
          <w:rFonts w:cs="Arial"/>
          <w:szCs w:val="22"/>
          <w:u w:val="single"/>
        </w:rPr>
      </w:pPr>
    </w:p>
    <w:p w14:paraId="0F66BBD9" w14:textId="77777777" w:rsidR="00CF27CA" w:rsidRDefault="00CF27CA" w:rsidP="00E73C0A">
      <w:pPr>
        <w:pStyle w:val="Prrafodelista"/>
        <w:numPr>
          <w:ilvl w:val="2"/>
          <w:numId w:val="16"/>
        </w:numPr>
        <w:ind w:left="567"/>
        <w:rPr>
          <w:rFonts w:cs="Arial"/>
          <w:szCs w:val="22"/>
          <w:u w:val="single"/>
        </w:rPr>
      </w:pPr>
      <w:r>
        <w:rPr>
          <w:rFonts w:cs="Arial"/>
          <w:szCs w:val="22"/>
          <w:u w:val="single"/>
        </w:rPr>
        <w:t>Gestión de Talento Humano</w:t>
      </w:r>
    </w:p>
    <w:p w14:paraId="73411F10" w14:textId="77777777" w:rsidR="00CF27CA" w:rsidRDefault="00CF27CA" w:rsidP="00CF27CA">
      <w:pPr>
        <w:ind w:left="142"/>
        <w:jc w:val="both"/>
        <w:rPr>
          <w:rFonts w:cs="Arial"/>
          <w:szCs w:val="22"/>
          <w:u w:val="single"/>
        </w:rPr>
      </w:pPr>
    </w:p>
    <w:p w14:paraId="2451A199"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E73150">
        <w:rPr>
          <w:rFonts w:cs="Arial"/>
          <w:b/>
          <w:szCs w:val="22"/>
        </w:rPr>
        <w:t>Inconsistencias  e inoportunida</w:t>
      </w:r>
      <w:r>
        <w:rPr>
          <w:rFonts w:cs="Arial"/>
          <w:b/>
          <w:szCs w:val="22"/>
        </w:rPr>
        <w:t>d en el pago de la nómina”</w:t>
      </w:r>
    </w:p>
    <w:p w14:paraId="6AB13CED" w14:textId="77777777" w:rsidR="00CF27CA" w:rsidRPr="00377F31" w:rsidRDefault="00CF27CA" w:rsidP="00CF27CA">
      <w:pPr>
        <w:ind w:left="142"/>
        <w:jc w:val="both"/>
        <w:rPr>
          <w:rFonts w:cs="Arial"/>
          <w:b/>
          <w:szCs w:val="22"/>
        </w:rPr>
      </w:pPr>
    </w:p>
    <w:p w14:paraId="207D68A0" w14:textId="0A8E2E95" w:rsidR="00202A30" w:rsidRPr="00202A30" w:rsidRDefault="00D15838" w:rsidP="00202A30">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0606DC8B" w14:textId="77777777" w:rsidR="0035684E" w:rsidRDefault="0035684E" w:rsidP="00D15838">
      <w:pPr>
        <w:jc w:val="both"/>
        <w:rPr>
          <w:rFonts w:cs="Arial"/>
          <w:b/>
          <w:szCs w:val="22"/>
        </w:rPr>
      </w:pPr>
    </w:p>
    <w:p w14:paraId="5A407DF8" w14:textId="77777777" w:rsidR="00CF27CA" w:rsidRDefault="00CF27CA" w:rsidP="00E73C0A">
      <w:pPr>
        <w:pStyle w:val="Prrafodelista"/>
        <w:numPr>
          <w:ilvl w:val="3"/>
          <w:numId w:val="16"/>
        </w:numPr>
        <w:ind w:left="851" w:hanging="790"/>
        <w:jc w:val="both"/>
        <w:rPr>
          <w:rFonts w:cs="Arial"/>
          <w:b/>
          <w:szCs w:val="22"/>
        </w:rPr>
      </w:pPr>
      <w:r w:rsidRPr="00377F31">
        <w:rPr>
          <w:rFonts w:cs="Arial"/>
          <w:b/>
          <w:szCs w:val="22"/>
        </w:rPr>
        <w:t xml:space="preserve">Riesgo </w:t>
      </w:r>
      <w:r>
        <w:rPr>
          <w:rFonts w:cs="Arial"/>
          <w:b/>
          <w:szCs w:val="22"/>
        </w:rPr>
        <w:t>“</w:t>
      </w:r>
      <w:r w:rsidRPr="00E73150">
        <w:rPr>
          <w:rFonts w:cs="Arial"/>
          <w:b/>
          <w:szCs w:val="22"/>
        </w:rPr>
        <w:t>Materialización de  Riesgos Laborales  y Enfermedades Laborales en los trabajadores</w:t>
      </w:r>
      <w:r>
        <w:rPr>
          <w:rFonts w:cs="Arial"/>
          <w:b/>
          <w:szCs w:val="22"/>
        </w:rPr>
        <w:t>”</w:t>
      </w:r>
    </w:p>
    <w:p w14:paraId="772D7A58" w14:textId="77777777" w:rsidR="00CF27CA" w:rsidRDefault="00CF27CA" w:rsidP="00CF27CA">
      <w:pPr>
        <w:ind w:left="142"/>
        <w:jc w:val="both"/>
        <w:rPr>
          <w:rFonts w:cs="Arial"/>
          <w:b/>
          <w:szCs w:val="22"/>
        </w:rPr>
      </w:pPr>
    </w:p>
    <w:p w14:paraId="40B5D365" w14:textId="77777777" w:rsidR="00D15838" w:rsidRDefault="00D15838" w:rsidP="00D15838">
      <w:pPr>
        <w:numPr>
          <w:ilvl w:val="0"/>
          <w:numId w:val="10"/>
        </w:numPr>
        <w:overflowPunct w:val="0"/>
        <w:autoSpaceDE w:val="0"/>
        <w:autoSpaceDN w:val="0"/>
        <w:adjustRightInd w:val="0"/>
        <w:ind w:left="426"/>
        <w:jc w:val="both"/>
        <w:textAlignment w:val="baseline"/>
        <w:rPr>
          <w:rFonts w:cs="Arial"/>
          <w:szCs w:val="22"/>
        </w:rPr>
      </w:pPr>
      <w:r w:rsidRPr="00D15838">
        <w:rPr>
          <w:rFonts w:cs="Arial"/>
          <w:szCs w:val="22"/>
        </w:rPr>
        <w:t>En cuanto al segundo control, se evidencia acta de visita de inspección a: 1. Casa Cadel (04/03/2021) y 2. Centro de Documentación (04/03/2021), así mismo, se entrega acta de visita a todas las sedes del IDPC con 2 fechas 28/01/2021 y 26/02/20218, así como un listado de asistencia con la fecha sobrescrita al parecer del 26/02/2021.  No obstante, se reitera que de acuerdo con la periodicidad del control, estas deben ser mensuales.</w:t>
      </w:r>
    </w:p>
    <w:p w14:paraId="04C6951F" w14:textId="72541DAD" w:rsidR="00D15838" w:rsidRPr="00D15838" w:rsidRDefault="00D15838" w:rsidP="00D15838">
      <w:pPr>
        <w:numPr>
          <w:ilvl w:val="0"/>
          <w:numId w:val="10"/>
        </w:numPr>
        <w:overflowPunct w:val="0"/>
        <w:autoSpaceDE w:val="0"/>
        <w:autoSpaceDN w:val="0"/>
        <w:adjustRightInd w:val="0"/>
        <w:ind w:left="426"/>
        <w:jc w:val="both"/>
        <w:textAlignment w:val="baseline"/>
        <w:rPr>
          <w:rFonts w:cs="Arial"/>
          <w:szCs w:val="22"/>
        </w:rPr>
      </w:pPr>
      <w:r>
        <w:rPr>
          <w:rFonts w:cs="Arial"/>
          <w:szCs w:val="22"/>
        </w:rPr>
        <w:t>Para</w:t>
      </w:r>
      <w:r w:rsidRPr="00D15838">
        <w:rPr>
          <w:rFonts w:cs="Arial"/>
          <w:szCs w:val="22"/>
        </w:rPr>
        <w:t xml:space="preserve"> </w:t>
      </w:r>
      <w:r>
        <w:rPr>
          <w:rFonts w:cs="Arial"/>
          <w:szCs w:val="22"/>
        </w:rPr>
        <w:t>la primera acción de mitigación</w:t>
      </w:r>
      <w:r w:rsidRPr="00D15838">
        <w:rPr>
          <w:rFonts w:cs="Arial"/>
          <w:szCs w:val="22"/>
        </w:rPr>
        <w:t xml:space="preserve"> se remiten como evidencias actividades de autocuidado, promoción y prevención: clima laboral, riesgo locativo, prevención y atención de emergencias, liderazgo, orden y aseo, pausas activas (virtual), </w:t>
      </w:r>
      <w:r w:rsidR="00BF4F7B">
        <w:rPr>
          <w:rFonts w:cs="Arial"/>
          <w:szCs w:val="22"/>
        </w:rPr>
        <w:t>Higiene postural y</w:t>
      </w:r>
      <w:r w:rsidRPr="00D15838">
        <w:rPr>
          <w:rFonts w:cs="Arial"/>
          <w:szCs w:val="22"/>
        </w:rPr>
        <w:t xml:space="preserve"> trabajo en equipo,</w:t>
      </w:r>
      <w:r w:rsidR="00BF4F7B">
        <w:rPr>
          <w:rFonts w:cs="Arial"/>
          <w:szCs w:val="22"/>
        </w:rPr>
        <w:t xml:space="preserve"> </w:t>
      </w:r>
      <w:r w:rsidR="00BF4F7B" w:rsidRPr="00D15838">
        <w:rPr>
          <w:rFonts w:cs="Arial"/>
          <w:szCs w:val="22"/>
        </w:rPr>
        <w:t>en el monitoreo se mencionan además</w:t>
      </w:r>
      <w:r w:rsidRPr="00D15838">
        <w:rPr>
          <w:rFonts w:cs="Arial"/>
          <w:szCs w:val="22"/>
        </w:rPr>
        <w:t xml:space="preserve"> riesgo psicosocial y acoso laboral, de las cuales no se adjunta evidencia.</w:t>
      </w:r>
    </w:p>
    <w:p w14:paraId="3C504B96" w14:textId="77777777" w:rsidR="006C2F68" w:rsidRDefault="006C2F68" w:rsidP="00CF27CA">
      <w:pPr>
        <w:ind w:left="142"/>
        <w:jc w:val="both"/>
        <w:rPr>
          <w:rFonts w:cs="Arial"/>
          <w:b/>
          <w:szCs w:val="22"/>
        </w:rPr>
      </w:pPr>
    </w:p>
    <w:p w14:paraId="5A15EE79"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96055A">
        <w:rPr>
          <w:rFonts w:cs="Arial"/>
          <w:b/>
          <w:szCs w:val="22"/>
        </w:rPr>
        <w:t>Incumplimiento en la ejecución del pla</w:t>
      </w:r>
      <w:r>
        <w:rPr>
          <w:rFonts w:cs="Arial"/>
          <w:b/>
          <w:szCs w:val="22"/>
        </w:rPr>
        <w:t>n estratégico de Talento Humano”</w:t>
      </w:r>
    </w:p>
    <w:p w14:paraId="166A740C" w14:textId="77777777" w:rsidR="00CF27CA" w:rsidRPr="00377F31" w:rsidRDefault="00CF27CA" w:rsidP="00CF27CA">
      <w:pPr>
        <w:ind w:left="142"/>
        <w:jc w:val="both"/>
        <w:rPr>
          <w:rFonts w:cs="Arial"/>
          <w:b/>
          <w:szCs w:val="22"/>
        </w:rPr>
      </w:pPr>
    </w:p>
    <w:p w14:paraId="0CF2ACE8" w14:textId="349BA66B" w:rsidR="00CF27CA" w:rsidRDefault="00D15838" w:rsidP="00CF27CA">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54DFEAC4" w14:textId="77777777" w:rsidR="00CF27CA" w:rsidRDefault="00CF27CA" w:rsidP="00CF27CA">
      <w:pPr>
        <w:ind w:left="142"/>
        <w:jc w:val="both"/>
        <w:rPr>
          <w:rFonts w:cs="Arial"/>
          <w:szCs w:val="22"/>
        </w:rPr>
      </w:pPr>
    </w:p>
    <w:p w14:paraId="2D3E3AAB" w14:textId="77777777" w:rsidR="00CF27CA" w:rsidRDefault="00CF27CA" w:rsidP="00CF27CA">
      <w:pPr>
        <w:ind w:left="142"/>
        <w:jc w:val="both"/>
        <w:rPr>
          <w:rFonts w:cs="Arial"/>
          <w:szCs w:val="22"/>
        </w:rPr>
      </w:pPr>
    </w:p>
    <w:p w14:paraId="475D8750" w14:textId="77777777" w:rsidR="00CF27CA" w:rsidRPr="001150B1" w:rsidRDefault="00CF27CA" w:rsidP="00E73C0A">
      <w:pPr>
        <w:pStyle w:val="Prrafodelista"/>
        <w:numPr>
          <w:ilvl w:val="2"/>
          <w:numId w:val="16"/>
        </w:numPr>
        <w:ind w:left="567"/>
        <w:rPr>
          <w:rFonts w:cs="Arial"/>
          <w:szCs w:val="22"/>
          <w:u w:val="single"/>
        </w:rPr>
      </w:pPr>
      <w:r w:rsidRPr="001150B1">
        <w:rPr>
          <w:rFonts w:cs="Arial"/>
          <w:szCs w:val="22"/>
          <w:u w:val="single"/>
        </w:rPr>
        <w:t>Gestión Jurídica</w:t>
      </w:r>
    </w:p>
    <w:p w14:paraId="6A1CF60E" w14:textId="77777777" w:rsidR="00CF27CA" w:rsidRDefault="00CF27CA" w:rsidP="00CF27CA">
      <w:pPr>
        <w:jc w:val="both"/>
        <w:rPr>
          <w:rFonts w:cs="Arial"/>
          <w:szCs w:val="22"/>
        </w:rPr>
      </w:pPr>
    </w:p>
    <w:p w14:paraId="741869CC"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825C5E">
        <w:rPr>
          <w:rFonts w:cs="Arial"/>
          <w:b/>
          <w:szCs w:val="22"/>
        </w:rPr>
        <w:t>Incumplimiento en los términos de las etapas o actividades para los procesos administrativos y/o judicia</w:t>
      </w:r>
      <w:r>
        <w:rPr>
          <w:rFonts w:cs="Arial"/>
          <w:b/>
          <w:szCs w:val="22"/>
        </w:rPr>
        <w:t>les que se adelantan en el IDPC”</w:t>
      </w:r>
    </w:p>
    <w:p w14:paraId="679FBAD5" w14:textId="77777777" w:rsidR="00CF27CA" w:rsidRPr="001150B1" w:rsidRDefault="00CF27CA" w:rsidP="00CF27CA">
      <w:pPr>
        <w:ind w:left="142"/>
        <w:jc w:val="both"/>
        <w:rPr>
          <w:rFonts w:cs="Arial"/>
          <w:b/>
          <w:szCs w:val="22"/>
        </w:rPr>
      </w:pPr>
    </w:p>
    <w:p w14:paraId="4CA01180" w14:textId="1DC27409" w:rsidR="00CF27CA" w:rsidRPr="00F9037A" w:rsidRDefault="001C7249" w:rsidP="00CF27CA">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33CC3557" w14:textId="77777777" w:rsidR="00CF27CA" w:rsidRDefault="00CF27CA" w:rsidP="00CF27CA">
      <w:pPr>
        <w:jc w:val="both"/>
        <w:rPr>
          <w:rFonts w:cs="Arial"/>
          <w:szCs w:val="22"/>
        </w:rPr>
      </w:pPr>
    </w:p>
    <w:p w14:paraId="7605223A" w14:textId="77777777" w:rsidR="00F9037A" w:rsidRDefault="00F9037A" w:rsidP="00CF27CA">
      <w:pPr>
        <w:jc w:val="both"/>
        <w:rPr>
          <w:rFonts w:cs="Arial"/>
          <w:szCs w:val="22"/>
        </w:rPr>
      </w:pPr>
    </w:p>
    <w:p w14:paraId="4F049DF4" w14:textId="77777777" w:rsidR="00155D05" w:rsidRDefault="00155D05" w:rsidP="00CF27CA">
      <w:pPr>
        <w:jc w:val="both"/>
        <w:rPr>
          <w:rFonts w:cs="Arial"/>
          <w:szCs w:val="22"/>
        </w:rPr>
      </w:pPr>
    </w:p>
    <w:p w14:paraId="7F2C8B9A" w14:textId="77777777" w:rsidR="00155D05" w:rsidRDefault="00155D05" w:rsidP="00CF27CA">
      <w:pPr>
        <w:jc w:val="both"/>
        <w:rPr>
          <w:rFonts w:cs="Arial"/>
          <w:szCs w:val="22"/>
        </w:rPr>
      </w:pPr>
    </w:p>
    <w:p w14:paraId="3C271C47" w14:textId="77777777" w:rsidR="00CF27CA" w:rsidRPr="001150B1" w:rsidRDefault="00CF27CA" w:rsidP="00E73C0A">
      <w:pPr>
        <w:pStyle w:val="Prrafodelista"/>
        <w:numPr>
          <w:ilvl w:val="2"/>
          <w:numId w:val="16"/>
        </w:numPr>
        <w:ind w:left="567"/>
        <w:rPr>
          <w:rFonts w:cs="Arial"/>
          <w:szCs w:val="22"/>
          <w:u w:val="single"/>
        </w:rPr>
      </w:pPr>
      <w:r w:rsidRPr="001150B1">
        <w:rPr>
          <w:rFonts w:cs="Arial"/>
          <w:szCs w:val="22"/>
          <w:u w:val="single"/>
        </w:rPr>
        <w:lastRenderedPageBreak/>
        <w:t xml:space="preserve">Gestión </w:t>
      </w:r>
      <w:r>
        <w:rPr>
          <w:rFonts w:cs="Arial"/>
          <w:szCs w:val="22"/>
          <w:u w:val="single"/>
        </w:rPr>
        <w:t>Contractual</w:t>
      </w:r>
    </w:p>
    <w:p w14:paraId="4374A92F" w14:textId="77777777" w:rsidR="00CF27CA" w:rsidRDefault="00CF27CA" w:rsidP="00CF27CA">
      <w:pPr>
        <w:jc w:val="both"/>
        <w:rPr>
          <w:rFonts w:cs="Arial"/>
          <w:szCs w:val="22"/>
        </w:rPr>
      </w:pPr>
    </w:p>
    <w:p w14:paraId="6D8B3E4C"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F75FBD">
        <w:rPr>
          <w:rFonts w:cs="Arial"/>
          <w:b/>
          <w:szCs w:val="22"/>
        </w:rPr>
        <w:t>Errores o inconsistencias en la estructuración de los estudios previos y documentos anexos, que infieren en la elaboración de los pliegos de condiciones</w:t>
      </w:r>
      <w:r>
        <w:rPr>
          <w:rFonts w:cs="Arial"/>
          <w:b/>
          <w:szCs w:val="22"/>
        </w:rPr>
        <w:t>”</w:t>
      </w:r>
    </w:p>
    <w:p w14:paraId="11E1DBBA" w14:textId="77777777" w:rsidR="00CF27CA" w:rsidRPr="001150B1" w:rsidRDefault="00CF27CA" w:rsidP="00CF27CA">
      <w:pPr>
        <w:ind w:left="142"/>
        <w:jc w:val="both"/>
        <w:rPr>
          <w:rFonts w:cs="Arial"/>
          <w:b/>
          <w:szCs w:val="22"/>
        </w:rPr>
      </w:pPr>
    </w:p>
    <w:p w14:paraId="29B31C29" w14:textId="77777777" w:rsidR="00D15838" w:rsidRDefault="00D15838" w:rsidP="00D15838">
      <w:pPr>
        <w:numPr>
          <w:ilvl w:val="0"/>
          <w:numId w:val="10"/>
        </w:numPr>
        <w:overflowPunct w:val="0"/>
        <w:autoSpaceDE w:val="0"/>
        <w:autoSpaceDN w:val="0"/>
        <w:adjustRightInd w:val="0"/>
        <w:ind w:left="426"/>
        <w:jc w:val="both"/>
        <w:textAlignment w:val="baseline"/>
        <w:rPr>
          <w:rFonts w:cs="Arial"/>
          <w:szCs w:val="22"/>
        </w:rPr>
      </w:pPr>
      <w:r w:rsidRPr="00D15838">
        <w:rPr>
          <w:rFonts w:cs="Arial"/>
          <w:szCs w:val="22"/>
        </w:rPr>
        <w:t>Para el cuarto control  se remite matriz de reparto de solicitudes contractuales, sin embargo, la evidencia del control que se encuentra en la matriz de riesgos publicada y aprobada para 2021 son correos electrónicos, los cuales no se evidencian.</w:t>
      </w:r>
    </w:p>
    <w:p w14:paraId="07C64771" w14:textId="574C1B4C" w:rsidR="00D15838" w:rsidRPr="00D15838" w:rsidRDefault="00D15838" w:rsidP="00D15838">
      <w:pPr>
        <w:numPr>
          <w:ilvl w:val="0"/>
          <w:numId w:val="10"/>
        </w:numPr>
        <w:overflowPunct w:val="0"/>
        <w:autoSpaceDE w:val="0"/>
        <w:autoSpaceDN w:val="0"/>
        <w:adjustRightInd w:val="0"/>
        <w:ind w:left="426"/>
        <w:jc w:val="both"/>
        <w:textAlignment w:val="baseline"/>
        <w:rPr>
          <w:rFonts w:cs="Arial"/>
          <w:szCs w:val="22"/>
        </w:rPr>
      </w:pPr>
      <w:r w:rsidRPr="00D15838">
        <w:rPr>
          <w:rFonts w:cs="Arial"/>
          <w:szCs w:val="22"/>
        </w:rPr>
        <w:t>No se remite monitoreo, ni soportes para la acción de mitigación, pese a que en la vigencia 2020 no fueron reportados.</w:t>
      </w:r>
    </w:p>
    <w:p w14:paraId="5D75C8F1" w14:textId="77777777" w:rsidR="0035684E" w:rsidRDefault="0035684E" w:rsidP="00CF27CA">
      <w:pPr>
        <w:ind w:left="142"/>
        <w:jc w:val="both"/>
        <w:rPr>
          <w:rFonts w:cs="Arial"/>
          <w:b/>
          <w:szCs w:val="22"/>
        </w:rPr>
      </w:pPr>
    </w:p>
    <w:p w14:paraId="26ECD06F"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F75FBD">
        <w:rPr>
          <w:rFonts w:cs="Arial"/>
          <w:b/>
          <w:szCs w:val="22"/>
        </w:rPr>
        <w:t>Inoportunidad o incumplimiento de  publicación de documentos contractuales en las plataformas del sistema de compras públicas</w:t>
      </w:r>
      <w:r>
        <w:rPr>
          <w:rFonts w:cs="Arial"/>
          <w:b/>
          <w:szCs w:val="22"/>
        </w:rPr>
        <w:t>”</w:t>
      </w:r>
    </w:p>
    <w:p w14:paraId="66050857" w14:textId="77777777" w:rsidR="00CF27CA" w:rsidRPr="0068721D" w:rsidRDefault="00CF27CA" w:rsidP="00CF27CA">
      <w:pPr>
        <w:ind w:left="142"/>
        <w:jc w:val="both"/>
        <w:rPr>
          <w:rFonts w:cs="Arial"/>
          <w:b/>
          <w:szCs w:val="22"/>
        </w:rPr>
      </w:pPr>
    </w:p>
    <w:p w14:paraId="7593120A" w14:textId="77777777" w:rsidR="00D15838" w:rsidRDefault="00D15838" w:rsidP="00D15838">
      <w:pPr>
        <w:numPr>
          <w:ilvl w:val="0"/>
          <w:numId w:val="10"/>
        </w:numPr>
        <w:overflowPunct w:val="0"/>
        <w:autoSpaceDE w:val="0"/>
        <w:autoSpaceDN w:val="0"/>
        <w:adjustRightInd w:val="0"/>
        <w:ind w:left="426"/>
        <w:jc w:val="both"/>
        <w:textAlignment w:val="baseline"/>
        <w:rPr>
          <w:rFonts w:cs="Arial"/>
          <w:szCs w:val="22"/>
        </w:rPr>
      </w:pPr>
      <w:r>
        <w:rPr>
          <w:rFonts w:cs="Arial"/>
          <w:szCs w:val="22"/>
        </w:rPr>
        <w:t>S</w:t>
      </w:r>
      <w:r w:rsidRPr="00D15838">
        <w:rPr>
          <w:rFonts w:cs="Arial"/>
          <w:szCs w:val="22"/>
        </w:rPr>
        <w:t>e presentan cambios en la matriz que no han sido aprobados.</w:t>
      </w:r>
    </w:p>
    <w:p w14:paraId="60D2BBA9" w14:textId="26280EC8" w:rsidR="00D15838" w:rsidRPr="00D15838" w:rsidRDefault="00D15838" w:rsidP="00D15838">
      <w:pPr>
        <w:numPr>
          <w:ilvl w:val="0"/>
          <w:numId w:val="10"/>
        </w:numPr>
        <w:overflowPunct w:val="0"/>
        <w:autoSpaceDE w:val="0"/>
        <w:autoSpaceDN w:val="0"/>
        <w:adjustRightInd w:val="0"/>
        <w:ind w:left="426"/>
        <w:jc w:val="both"/>
        <w:textAlignment w:val="baseline"/>
        <w:rPr>
          <w:rFonts w:cs="Arial"/>
          <w:szCs w:val="22"/>
        </w:rPr>
      </w:pPr>
      <w:r w:rsidRPr="00D15838">
        <w:rPr>
          <w:rFonts w:cs="Arial"/>
          <w:szCs w:val="22"/>
        </w:rPr>
        <w:t>Para este riesgo se evidenció materialización en la vigencia anterior, no obstante, no se tomaron acciones.</w:t>
      </w:r>
    </w:p>
    <w:p w14:paraId="159F68A9" w14:textId="77777777" w:rsidR="00D15838" w:rsidRDefault="00D15838" w:rsidP="00D15838">
      <w:pPr>
        <w:numPr>
          <w:ilvl w:val="0"/>
          <w:numId w:val="10"/>
        </w:numPr>
        <w:overflowPunct w:val="0"/>
        <w:autoSpaceDE w:val="0"/>
        <w:autoSpaceDN w:val="0"/>
        <w:adjustRightInd w:val="0"/>
        <w:ind w:left="426"/>
        <w:jc w:val="both"/>
        <w:textAlignment w:val="baseline"/>
        <w:rPr>
          <w:rFonts w:cs="Arial"/>
          <w:szCs w:val="22"/>
        </w:rPr>
      </w:pPr>
      <w:r w:rsidRPr="00D15838">
        <w:rPr>
          <w:rFonts w:cs="Arial"/>
          <w:szCs w:val="22"/>
        </w:rPr>
        <w:t>En cuanto a la ejecución de los controles 1 y 2, se menciona en el monitoreo que no se presentaron indisponibilidades de la plataforma. En el monitoreo se indica que se adjunta soporte, sin embargo, no se refiere la carpeta en la cual se encuentra, dificultando su ubicación, ya que no se encuentran los soportes distribuidos por riesgo.</w:t>
      </w:r>
    </w:p>
    <w:p w14:paraId="5F76C4D1" w14:textId="1F7EDC36" w:rsidR="00D15838" w:rsidRPr="00D15838" w:rsidRDefault="00D15838" w:rsidP="00D15838">
      <w:pPr>
        <w:numPr>
          <w:ilvl w:val="0"/>
          <w:numId w:val="10"/>
        </w:numPr>
        <w:overflowPunct w:val="0"/>
        <w:autoSpaceDE w:val="0"/>
        <w:autoSpaceDN w:val="0"/>
        <w:adjustRightInd w:val="0"/>
        <w:ind w:left="426"/>
        <w:jc w:val="both"/>
        <w:textAlignment w:val="baseline"/>
        <w:rPr>
          <w:rFonts w:cs="Arial"/>
          <w:szCs w:val="22"/>
        </w:rPr>
      </w:pPr>
      <w:r w:rsidRPr="00D15838">
        <w:rPr>
          <w:rFonts w:cs="Arial"/>
          <w:szCs w:val="22"/>
        </w:rPr>
        <w:t>No se remite monitoreo, ni soportes para la acción de mitigación, pese a que en la vigencia 2020 no fueron reportados.</w:t>
      </w:r>
    </w:p>
    <w:p w14:paraId="0AAAAF47" w14:textId="77777777" w:rsidR="0035684E" w:rsidRDefault="0035684E" w:rsidP="00CF27CA">
      <w:pPr>
        <w:ind w:firstLine="142"/>
        <w:jc w:val="both"/>
        <w:rPr>
          <w:rFonts w:cs="Arial"/>
          <w:b/>
          <w:szCs w:val="22"/>
        </w:rPr>
      </w:pPr>
    </w:p>
    <w:p w14:paraId="0723BBAA"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F75FBD">
        <w:rPr>
          <w:rFonts w:cs="Arial"/>
          <w:b/>
          <w:szCs w:val="22"/>
        </w:rPr>
        <w:t>Bases de datos de contrata</w:t>
      </w:r>
      <w:r>
        <w:rPr>
          <w:rFonts w:cs="Arial"/>
          <w:b/>
          <w:szCs w:val="22"/>
        </w:rPr>
        <w:t>ción con información incorrecta”</w:t>
      </w:r>
    </w:p>
    <w:p w14:paraId="00E31079" w14:textId="77777777" w:rsidR="00CF27CA" w:rsidRPr="0068721D" w:rsidRDefault="00CF27CA" w:rsidP="00CF27CA">
      <w:pPr>
        <w:ind w:firstLine="142"/>
        <w:jc w:val="both"/>
        <w:rPr>
          <w:rFonts w:cs="Arial"/>
          <w:b/>
          <w:szCs w:val="22"/>
        </w:rPr>
      </w:pPr>
    </w:p>
    <w:p w14:paraId="1DEE6F98" w14:textId="77777777" w:rsidR="00D15838" w:rsidRDefault="00D15838" w:rsidP="00D15838">
      <w:pPr>
        <w:numPr>
          <w:ilvl w:val="0"/>
          <w:numId w:val="10"/>
        </w:numPr>
        <w:overflowPunct w:val="0"/>
        <w:autoSpaceDE w:val="0"/>
        <w:autoSpaceDN w:val="0"/>
        <w:adjustRightInd w:val="0"/>
        <w:ind w:left="426"/>
        <w:jc w:val="both"/>
        <w:textAlignment w:val="baseline"/>
        <w:rPr>
          <w:rFonts w:cs="Arial"/>
          <w:szCs w:val="22"/>
        </w:rPr>
      </w:pPr>
      <w:r>
        <w:rPr>
          <w:rFonts w:cs="Arial"/>
          <w:szCs w:val="22"/>
        </w:rPr>
        <w:t>S</w:t>
      </w:r>
      <w:r w:rsidRPr="00D15838">
        <w:rPr>
          <w:rFonts w:cs="Arial"/>
          <w:szCs w:val="22"/>
        </w:rPr>
        <w:t>e presentan cambios en la matriz que no han sido aprobados.</w:t>
      </w:r>
    </w:p>
    <w:p w14:paraId="5F3BCF57" w14:textId="77777777" w:rsidR="00D15838" w:rsidRPr="00D15838" w:rsidRDefault="00D15838" w:rsidP="00D15838">
      <w:pPr>
        <w:numPr>
          <w:ilvl w:val="0"/>
          <w:numId w:val="10"/>
        </w:numPr>
        <w:overflowPunct w:val="0"/>
        <w:autoSpaceDE w:val="0"/>
        <w:autoSpaceDN w:val="0"/>
        <w:adjustRightInd w:val="0"/>
        <w:ind w:left="426"/>
        <w:jc w:val="both"/>
        <w:textAlignment w:val="baseline"/>
        <w:rPr>
          <w:rFonts w:cs="Arial"/>
          <w:szCs w:val="22"/>
        </w:rPr>
      </w:pPr>
      <w:r w:rsidRPr="00D15838">
        <w:rPr>
          <w:rFonts w:cs="Arial"/>
          <w:szCs w:val="22"/>
        </w:rPr>
        <w:t>Para este riesgo se evidenció materialización en la vigencia anterior, no obstante, no se tomaron acciones.</w:t>
      </w:r>
    </w:p>
    <w:p w14:paraId="4F931326" w14:textId="45BEDC15" w:rsidR="00CF27CA" w:rsidRPr="00D15838" w:rsidRDefault="00D15838" w:rsidP="00CF27CA">
      <w:pPr>
        <w:numPr>
          <w:ilvl w:val="0"/>
          <w:numId w:val="10"/>
        </w:numPr>
        <w:overflowPunct w:val="0"/>
        <w:autoSpaceDE w:val="0"/>
        <w:autoSpaceDN w:val="0"/>
        <w:adjustRightInd w:val="0"/>
        <w:ind w:left="426"/>
        <w:jc w:val="both"/>
        <w:textAlignment w:val="baseline"/>
        <w:rPr>
          <w:rFonts w:cs="Arial"/>
          <w:szCs w:val="22"/>
        </w:rPr>
      </w:pPr>
      <w:r w:rsidRPr="00D15838">
        <w:rPr>
          <w:rFonts w:cs="Arial"/>
          <w:szCs w:val="22"/>
        </w:rPr>
        <w:t>No se remite monitoreo, ni soportes para la acción de mitigación, pese a que en la vigencia 2020 no fueron reportados.</w:t>
      </w:r>
    </w:p>
    <w:p w14:paraId="5112F595" w14:textId="77777777" w:rsidR="0035684E" w:rsidRDefault="0035684E" w:rsidP="00CF27CA">
      <w:pPr>
        <w:jc w:val="both"/>
        <w:rPr>
          <w:rFonts w:cs="Arial"/>
          <w:szCs w:val="22"/>
        </w:rPr>
      </w:pPr>
    </w:p>
    <w:p w14:paraId="58528470"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746A8F">
        <w:rPr>
          <w:rFonts w:cs="Arial"/>
          <w:b/>
          <w:szCs w:val="22"/>
        </w:rPr>
        <w:t>Contratos sin liquidar dentro del térm</w:t>
      </w:r>
      <w:r>
        <w:rPr>
          <w:rFonts w:cs="Arial"/>
          <w:b/>
          <w:szCs w:val="22"/>
        </w:rPr>
        <w:t>ino establecido en el contrato”</w:t>
      </w:r>
    </w:p>
    <w:p w14:paraId="70AFA6EF" w14:textId="77777777" w:rsidR="00CF27CA" w:rsidRDefault="00CF27CA" w:rsidP="00CF27CA">
      <w:pPr>
        <w:jc w:val="both"/>
        <w:rPr>
          <w:rFonts w:cs="Arial"/>
          <w:szCs w:val="22"/>
        </w:rPr>
      </w:pPr>
    </w:p>
    <w:p w14:paraId="711310EB" w14:textId="77777777" w:rsidR="00D15838" w:rsidRDefault="00D15838" w:rsidP="00D15838">
      <w:pPr>
        <w:numPr>
          <w:ilvl w:val="0"/>
          <w:numId w:val="10"/>
        </w:numPr>
        <w:overflowPunct w:val="0"/>
        <w:autoSpaceDE w:val="0"/>
        <w:autoSpaceDN w:val="0"/>
        <w:adjustRightInd w:val="0"/>
        <w:ind w:left="426"/>
        <w:jc w:val="both"/>
        <w:textAlignment w:val="baseline"/>
        <w:rPr>
          <w:rFonts w:cs="Arial"/>
          <w:szCs w:val="22"/>
        </w:rPr>
      </w:pPr>
      <w:r>
        <w:rPr>
          <w:rFonts w:cs="Arial"/>
          <w:szCs w:val="22"/>
        </w:rPr>
        <w:t>S</w:t>
      </w:r>
      <w:r w:rsidRPr="00D15838">
        <w:rPr>
          <w:rFonts w:cs="Arial"/>
          <w:szCs w:val="22"/>
        </w:rPr>
        <w:t>e presentan cambios en la matriz que no han sido aprobados.</w:t>
      </w:r>
    </w:p>
    <w:p w14:paraId="1B7D2B9E" w14:textId="0FA82DE7" w:rsidR="00CF27CA" w:rsidRPr="00D15838" w:rsidRDefault="00D15838" w:rsidP="00CF27CA">
      <w:pPr>
        <w:numPr>
          <w:ilvl w:val="0"/>
          <w:numId w:val="10"/>
        </w:numPr>
        <w:overflowPunct w:val="0"/>
        <w:autoSpaceDE w:val="0"/>
        <w:autoSpaceDN w:val="0"/>
        <w:adjustRightInd w:val="0"/>
        <w:ind w:left="426"/>
        <w:jc w:val="both"/>
        <w:textAlignment w:val="baseline"/>
        <w:rPr>
          <w:rFonts w:cs="Arial"/>
          <w:szCs w:val="22"/>
        </w:rPr>
      </w:pPr>
      <w:r w:rsidRPr="00D15838">
        <w:rPr>
          <w:rFonts w:cs="Arial"/>
          <w:szCs w:val="22"/>
        </w:rPr>
        <w:t>No se remite monitoreo, ni soportes para la acción de mitigación, pese a que en la vigencia 2020 no fueron reportados.</w:t>
      </w:r>
    </w:p>
    <w:p w14:paraId="5F643735" w14:textId="77777777" w:rsidR="0035684E" w:rsidRDefault="0035684E" w:rsidP="00CF27CA">
      <w:pPr>
        <w:jc w:val="both"/>
        <w:rPr>
          <w:rFonts w:cs="Arial"/>
          <w:szCs w:val="22"/>
        </w:rPr>
      </w:pPr>
    </w:p>
    <w:p w14:paraId="2BFF00C6"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6508FA">
        <w:rPr>
          <w:rFonts w:cs="Arial"/>
          <w:b/>
          <w:szCs w:val="22"/>
        </w:rPr>
        <w:t>Incumplimiento de las condiciones del contrato</w:t>
      </w:r>
      <w:r>
        <w:rPr>
          <w:rFonts w:cs="Arial"/>
          <w:b/>
          <w:szCs w:val="22"/>
        </w:rPr>
        <w:t>”</w:t>
      </w:r>
    </w:p>
    <w:p w14:paraId="70CD847E" w14:textId="77777777" w:rsidR="00CF27CA" w:rsidRDefault="00CF27CA" w:rsidP="00CF27CA">
      <w:pPr>
        <w:jc w:val="both"/>
        <w:rPr>
          <w:rFonts w:cs="Arial"/>
          <w:szCs w:val="22"/>
        </w:rPr>
      </w:pPr>
    </w:p>
    <w:p w14:paraId="2CC7DF88" w14:textId="77777777" w:rsidR="00D15838" w:rsidRDefault="00D15838" w:rsidP="00D15838">
      <w:pPr>
        <w:numPr>
          <w:ilvl w:val="0"/>
          <w:numId w:val="10"/>
        </w:numPr>
        <w:overflowPunct w:val="0"/>
        <w:autoSpaceDE w:val="0"/>
        <w:autoSpaceDN w:val="0"/>
        <w:adjustRightInd w:val="0"/>
        <w:ind w:left="426"/>
        <w:jc w:val="both"/>
        <w:textAlignment w:val="baseline"/>
        <w:rPr>
          <w:rFonts w:cs="Arial"/>
          <w:szCs w:val="22"/>
        </w:rPr>
      </w:pPr>
      <w:r>
        <w:rPr>
          <w:rFonts w:cs="Arial"/>
          <w:szCs w:val="22"/>
        </w:rPr>
        <w:t>S</w:t>
      </w:r>
      <w:r w:rsidRPr="00D15838">
        <w:rPr>
          <w:rFonts w:cs="Arial"/>
          <w:szCs w:val="22"/>
        </w:rPr>
        <w:t>e presentan cambios en la matriz que no han sido aprobados.</w:t>
      </w:r>
    </w:p>
    <w:p w14:paraId="0AD73628" w14:textId="77777777" w:rsidR="00D15838" w:rsidRPr="00D15838" w:rsidRDefault="00D15838" w:rsidP="00D15838">
      <w:pPr>
        <w:numPr>
          <w:ilvl w:val="0"/>
          <w:numId w:val="10"/>
        </w:numPr>
        <w:overflowPunct w:val="0"/>
        <w:autoSpaceDE w:val="0"/>
        <w:autoSpaceDN w:val="0"/>
        <w:adjustRightInd w:val="0"/>
        <w:ind w:left="426"/>
        <w:jc w:val="both"/>
        <w:textAlignment w:val="baseline"/>
        <w:rPr>
          <w:rFonts w:cs="Arial"/>
          <w:szCs w:val="22"/>
        </w:rPr>
      </w:pPr>
      <w:r w:rsidRPr="00D15838">
        <w:rPr>
          <w:rFonts w:cs="Arial"/>
          <w:szCs w:val="22"/>
        </w:rPr>
        <w:t>No se remite monitoreo, ni soportes para la acción de mitigación, pese a que en la vigencia 2020 no fueron reportados.</w:t>
      </w:r>
    </w:p>
    <w:p w14:paraId="60034CDF" w14:textId="77777777" w:rsidR="00CF27CA" w:rsidRDefault="00CF27CA" w:rsidP="00CF27CA">
      <w:pPr>
        <w:jc w:val="both"/>
        <w:rPr>
          <w:rFonts w:cs="Arial"/>
          <w:szCs w:val="22"/>
        </w:rPr>
      </w:pPr>
    </w:p>
    <w:p w14:paraId="79A8E425" w14:textId="77777777" w:rsidR="00CF27CA" w:rsidRPr="00746A8F" w:rsidRDefault="00CF27CA" w:rsidP="00CF27CA">
      <w:pPr>
        <w:jc w:val="both"/>
        <w:rPr>
          <w:rFonts w:cs="Arial"/>
          <w:szCs w:val="22"/>
        </w:rPr>
      </w:pPr>
    </w:p>
    <w:p w14:paraId="5F45572D" w14:textId="77777777" w:rsidR="00CF27CA" w:rsidRDefault="00CF27CA" w:rsidP="00E73C0A">
      <w:pPr>
        <w:pStyle w:val="Prrafodelista"/>
        <w:numPr>
          <w:ilvl w:val="2"/>
          <w:numId w:val="16"/>
        </w:numPr>
        <w:ind w:left="567"/>
        <w:rPr>
          <w:rFonts w:cs="Arial"/>
          <w:szCs w:val="22"/>
          <w:u w:val="single"/>
        </w:rPr>
      </w:pPr>
      <w:r w:rsidRPr="001150B1">
        <w:rPr>
          <w:rFonts w:cs="Arial"/>
          <w:szCs w:val="22"/>
          <w:u w:val="single"/>
        </w:rPr>
        <w:t xml:space="preserve">Gestión </w:t>
      </w:r>
      <w:r>
        <w:rPr>
          <w:rFonts w:cs="Arial"/>
          <w:szCs w:val="22"/>
          <w:u w:val="single"/>
        </w:rPr>
        <w:t>Documental</w:t>
      </w:r>
    </w:p>
    <w:p w14:paraId="022E3D62" w14:textId="77777777" w:rsidR="00CF27CA" w:rsidRDefault="00CF27CA" w:rsidP="00CF27CA">
      <w:pPr>
        <w:ind w:left="142"/>
        <w:jc w:val="both"/>
        <w:rPr>
          <w:rFonts w:cs="Arial"/>
          <w:szCs w:val="22"/>
          <w:u w:val="single"/>
        </w:rPr>
      </w:pPr>
    </w:p>
    <w:p w14:paraId="42F57885" w14:textId="77777777" w:rsidR="00CF27CA" w:rsidRDefault="00CF27CA" w:rsidP="00E73C0A">
      <w:pPr>
        <w:pStyle w:val="Prrafodelista"/>
        <w:numPr>
          <w:ilvl w:val="3"/>
          <w:numId w:val="16"/>
        </w:numPr>
        <w:ind w:left="851" w:hanging="790"/>
        <w:jc w:val="both"/>
        <w:rPr>
          <w:rFonts w:cs="Arial"/>
          <w:b/>
          <w:szCs w:val="22"/>
        </w:rPr>
      </w:pPr>
      <w:r>
        <w:rPr>
          <w:rFonts w:cs="Arial"/>
          <w:b/>
          <w:szCs w:val="22"/>
        </w:rPr>
        <w:lastRenderedPageBreak/>
        <w:t>Riesgo “</w:t>
      </w:r>
      <w:r w:rsidRPr="00956021">
        <w:rPr>
          <w:rFonts w:cs="Arial"/>
          <w:b/>
          <w:szCs w:val="22"/>
        </w:rPr>
        <w:t>Pérdida de documentos que hacen parte de los expedientes del IDPC</w:t>
      </w:r>
      <w:r>
        <w:rPr>
          <w:rFonts w:cs="Arial"/>
          <w:b/>
          <w:szCs w:val="22"/>
        </w:rPr>
        <w:t>”</w:t>
      </w:r>
    </w:p>
    <w:p w14:paraId="5E1D6EB1" w14:textId="77777777" w:rsidR="00CF27CA" w:rsidRPr="0068721D" w:rsidRDefault="00CF27CA" w:rsidP="00CF27CA">
      <w:pPr>
        <w:ind w:left="142"/>
        <w:jc w:val="both"/>
        <w:rPr>
          <w:rFonts w:cs="Arial"/>
          <w:b/>
          <w:szCs w:val="22"/>
        </w:rPr>
      </w:pPr>
    </w:p>
    <w:p w14:paraId="76F395C5" w14:textId="77777777" w:rsidR="00CD417D" w:rsidRDefault="00CF27CA" w:rsidP="00CD417D">
      <w:pPr>
        <w:numPr>
          <w:ilvl w:val="0"/>
          <w:numId w:val="10"/>
        </w:numPr>
        <w:overflowPunct w:val="0"/>
        <w:autoSpaceDE w:val="0"/>
        <w:autoSpaceDN w:val="0"/>
        <w:adjustRightInd w:val="0"/>
        <w:ind w:left="426"/>
        <w:jc w:val="both"/>
        <w:textAlignment w:val="baseline"/>
        <w:rPr>
          <w:rFonts w:cs="Arial"/>
          <w:szCs w:val="22"/>
        </w:rPr>
      </w:pPr>
      <w:r w:rsidRPr="00956021">
        <w:rPr>
          <w:rFonts w:cs="Arial"/>
          <w:szCs w:val="22"/>
        </w:rPr>
        <w:t>Para el tercer control no se remiten evidencias ni se menciona en el monitoreo, no obstante, estas se adjuntan en el riesgo de corrupción.</w:t>
      </w:r>
    </w:p>
    <w:p w14:paraId="1AB87282" w14:textId="79C5A737" w:rsidR="00CD417D" w:rsidRPr="00CD417D" w:rsidRDefault="00CD417D" w:rsidP="00CD417D">
      <w:pPr>
        <w:numPr>
          <w:ilvl w:val="0"/>
          <w:numId w:val="10"/>
        </w:numPr>
        <w:overflowPunct w:val="0"/>
        <w:autoSpaceDE w:val="0"/>
        <w:autoSpaceDN w:val="0"/>
        <w:adjustRightInd w:val="0"/>
        <w:ind w:left="426"/>
        <w:jc w:val="both"/>
        <w:textAlignment w:val="baseline"/>
        <w:rPr>
          <w:rFonts w:cs="Arial"/>
          <w:szCs w:val="22"/>
        </w:rPr>
      </w:pPr>
      <w:r w:rsidRPr="00CD417D">
        <w:rPr>
          <w:rFonts w:cs="Arial"/>
          <w:szCs w:val="22"/>
        </w:rPr>
        <w:t>Para la segunda acción de mitigación no se remiten evidencias de capacitación, aun cuando se han ejecutado algunas.</w:t>
      </w:r>
    </w:p>
    <w:p w14:paraId="27F5C665" w14:textId="77777777" w:rsidR="00CF27CA" w:rsidRDefault="00CF27CA" w:rsidP="00CF27CA">
      <w:pPr>
        <w:ind w:left="142"/>
        <w:jc w:val="both"/>
        <w:rPr>
          <w:rFonts w:cs="Arial"/>
          <w:szCs w:val="22"/>
        </w:rPr>
      </w:pPr>
    </w:p>
    <w:p w14:paraId="1AC8E331" w14:textId="77777777" w:rsidR="00CF27CA" w:rsidRDefault="00CF27CA" w:rsidP="00CF27CA">
      <w:pPr>
        <w:ind w:left="142"/>
        <w:jc w:val="both"/>
        <w:rPr>
          <w:rFonts w:cs="Arial"/>
          <w:szCs w:val="22"/>
        </w:rPr>
      </w:pPr>
    </w:p>
    <w:p w14:paraId="27C081C1" w14:textId="77777777" w:rsidR="00CF27CA" w:rsidRDefault="00CF27CA" w:rsidP="00E73C0A">
      <w:pPr>
        <w:pStyle w:val="Prrafodelista"/>
        <w:numPr>
          <w:ilvl w:val="2"/>
          <w:numId w:val="16"/>
        </w:numPr>
        <w:ind w:left="567"/>
        <w:rPr>
          <w:rFonts w:cs="Arial"/>
          <w:szCs w:val="22"/>
          <w:u w:val="single"/>
        </w:rPr>
      </w:pPr>
      <w:r>
        <w:rPr>
          <w:rFonts w:cs="Arial"/>
          <w:szCs w:val="22"/>
          <w:u w:val="single"/>
        </w:rPr>
        <w:t>Administración de Bienes e Infraestructura</w:t>
      </w:r>
    </w:p>
    <w:p w14:paraId="1F3E905F" w14:textId="77777777" w:rsidR="00CF27CA" w:rsidRDefault="00CF27CA" w:rsidP="00CF27CA">
      <w:pPr>
        <w:ind w:left="142"/>
        <w:jc w:val="both"/>
        <w:rPr>
          <w:rFonts w:cs="Arial"/>
          <w:szCs w:val="22"/>
          <w:u w:val="single"/>
        </w:rPr>
      </w:pPr>
    </w:p>
    <w:p w14:paraId="3E355C63"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515B9E">
        <w:rPr>
          <w:rFonts w:cs="Arial"/>
          <w:b/>
          <w:szCs w:val="22"/>
        </w:rPr>
        <w:t>Deterioro de los bienes muebles e inmuebles por falta de los mantenimientos</w:t>
      </w:r>
      <w:r>
        <w:rPr>
          <w:rFonts w:cs="Arial"/>
          <w:b/>
          <w:szCs w:val="22"/>
        </w:rPr>
        <w:t>”</w:t>
      </w:r>
    </w:p>
    <w:p w14:paraId="20260D92" w14:textId="77777777" w:rsidR="00CF27CA" w:rsidRPr="0068721D" w:rsidRDefault="00CF27CA" w:rsidP="00CF27CA">
      <w:pPr>
        <w:ind w:left="142"/>
        <w:jc w:val="both"/>
        <w:rPr>
          <w:rFonts w:cs="Arial"/>
          <w:b/>
          <w:szCs w:val="22"/>
        </w:rPr>
      </w:pPr>
    </w:p>
    <w:p w14:paraId="3355EA28" w14:textId="4F049F54" w:rsidR="00D6538C" w:rsidRPr="00D6538C" w:rsidRDefault="00D6538C" w:rsidP="00D6538C">
      <w:pPr>
        <w:numPr>
          <w:ilvl w:val="0"/>
          <w:numId w:val="10"/>
        </w:numPr>
        <w:overflowPunct w:val="0"/>
        <w:autoSpaceDE w:val="0"/>
        <w:autoSpaceDN w:val="0"/>
        <w:adjustRightInd w:val="0"/>
        <w:ind w:left="426"/>
        <w:jc w:val="both"/>
        <w:textAlignment w:val="baseline"/>
        <w:rPr>
          <w:rFonts w:cs="Arial"/>
          <w:szCs w:val="22"/>
        </w:rPr>
      </w:pPr>
      <w:r w:rsidRPr="00D6538C">
        <w:rPr>
          <w:rFonts w:cs="Arial"/>
          <w:szCs w:val="22"/>
        </w:rPr>
        <w:t>En relación con el segundo control, se evidencia cronograma de la vigencia 2021, en cuanto a la ejecución se observan varias actividades programadas, sin embargo, únicamente se reporta visita de seguimiento a comodato Casa de Poesía Silva.</w:t>
      </w:r>
    </w:p>
    <w:p w14:paraId="4CD5865E" w14:textId="77777777" w:rsidR="00CF27CA" w:rsidRDefault="00CF27CA" w:rsidP="00CF27CA">
      <w:pPr>
        <w:ind w:left="142"/>
        <w:jc w:val="both"/>
        <w:rPr>
          <w:rFonts w:cs="Arial"/>
          <w:szCs w:val="22"/>
        </w:rPr>
      </w:pPr>
    </w:p>
    <w:p w14:paraId="36909153" w14:textId="77777777" w:rsidR="00CF27CA" w:rsidRDefault="00CF27CA" w:rsidP="00E73C0A">
      <w:pPr>
        <w:pStyle w:val="Prrafodelista"/>
        <w:numPr>
          <w:ilvl w:val="3"/>
          <w:numId w:val="16"/>
        </w:numPr>
        <w:ind w:left="851" w:hanging="790"/>
        <w:jc w:val="both"/>
        <w:rPr>
          <w:rFonts w:cs="Arial"/>
          <w:b/>
          <w:szCs w:val="22"/>
        </w:rPr>
      </w:pPr>
      <w:r w:rsidRPr="00B04A0C">
        <w:rPr>
          <w:rFonts w:cs="Arial"/>
          <w:b/>
          <w:szCs w:val="22"/>
        </w:rPr>
        <w:t xml:space="preserve">Riesgo </w:t>
      </w:r>
      <w:r>
        <w:rPr>
          <w:rFonts w:cs="Arial"/>
          <w:b/>
          <w:szCs w:val="22"/>
        </w:rPr>
        <w:t>“P</w:t>
      </w:r>
      <w:r w:rsidRPr="00F00698">
        <w:rPr>
          <w:rFonts w:cs="Arial"/>
          <w:b/>
          <w:szCs w:val="22"/>
        </w:rPr>
        <w:t>érdida de bienes</w:t>
      </w:r>
      <w:r>
        <w:rPr>
          <w:rFonts w:cs="Arial"/>
          <w:b/>
          <w:szCs w:val="22"/>
        </w:rPr>
        <w:t>”</w:t>
      </w:r>
    </w:p>
    <w:p w14:paraId="6323FA70" w14:textId="77777777" w:rsidR="00CF27CA" w:rsidRPr="0025570C" w:rsidRDefault="00CF27CA" w:rsidP="00CF27CA">
      <w:pPr>
        <w:ind w:left="142"/>
        <w:jc w:val="both"/>
        <w:rPr>
          <w:rFonts w:cs="Arial"/>
          <w:szCs w:val="22"/>
        </w:rPr>
      </w:pPr>
    </w:p>
    <w:p w14:paraId="727C428C" w14:textId="078BFCCD" w:rsidR="00E73C0A" w:rsidRDefault="00AF3922" w:rsidP="00D6538C">
      <w:pPr>
        <w:numPr>
          <w:ilvl w:val="0"/>
          <w:numId w:val="10"/>
        </w:numPr>
        <w:overflowPunct w:val="0"/>
        <w:autoSpaceDE w:val="0"/>
        <w:autoSpaceDN w:val="0"/>
        <w:adjustRightInd w:val="0"/>
        <w:ind w:left="426"/>
        <w:jc w:val="both"/>
        <w:textAlignment w:val="baseline"/>
        <w:rPr>
          <w:rFonts w:cs="Arial"/>
          <w:szCs w:val="22"/>
        </w:rPr>
      </w:pPr>
      <w:r w:rsidRPr="00AF3922">
        <w:rPr>
          <w:rFonts w:cs="Arial"/>
          <w:szCs w:val="22"/>
        </w:rPr>
        <w:t xml:space="preserve">Para el tercer control, </w:t>
      </w:r>
      <w:r w:rsidR="00D6538C" w:rsidRPr="00D6538C">
        <w:rPr>
          <w:rFonts w:cs="Arial"/>
          <w:szCs w:val="22"/>
        </w:rPr>
        <w:t>se adjuntan las solicitudes de pedidos de enero a marzo de 2021, queda pendiente el mes de abril.</w:t>
      </w:r>
    </w:p>
    <w:p w14:paraId="206E0091" w14:textId="77777777" w:rsidR="00D6538C" w:rsidRPr="00D6538C" w:rsidRDefault="00D6538C" w:rsidP="00D6538C">
      <w:pPr>
        <w:overflowPunct w:val="0"/>
        <w:autoSpaceDE w:val="0"/>
        <w:autoSpaceDN w:val="0"/>
        <w:adjustRightInd w:val="0"/>
        <w:ind w:left="426"/>
        <w:jc w:val="both"/>
        <w:textAlignment w:val="baseline"/>
        <w:rPr>
          <w:rFonts w:cs="Arial"/>
          <w:szCs w:val="22"/>
        </w:rPr>
      </w:pPr>
    </w:p>
    <w:p w14:paraId="1A9339C3" w14:textId="77777777" w:rsidR="00AF3922" w:rsidRDefault="00AF3922" w:rsidP="00CF27CA">
      <w:pPr>
        <w:ind w:left="142"/>
        <w:jc w:val="both"/>
        <w:rPr>
          <w:rFonts w:cs="Arial"/>
          <w:szCs w:val="22"/>
        </w:rPr>
      </w:pPr>
    </w:p>
    <w:p w14:paraId="71E7E7F6" w14:textId="77777777" w:rsidR="00CF27CA" w:rsidRDefault="00CF27CA" w:rsidP="00E73C0A">
      <w:pPr>
        <w:pStyle w:val="Prrafodelista"/>
        <w:numPr>
          <w:ilvl w:val="2"/>
          <w:numId w:val="16"/>
        </w:numPr>
        <w:ind w:left="567"/>
        <w:rPr>
          <w:rFonts w:cs="Arial"/>
          <w:szCs w:val="22"/>
          <w:u w:val="single"/>
        </w:rPr>
      </w:pPr>
      <w:r>
        <w:rPr>
          <w:rFonts w:cs="Arial"/>
          <w:szCs w:val="22"/>
          <w:u w:val="single"/>
        </w:rPr>
        <w:t>Gestión de Sistemas de Información y Tecnología</w:t>
      </w:r>
    </w:p>
    <w:p w14:paraId="68BAB8E8" w14:textId="77777777" w:rsidR="00CF27CA" w:rsidRDefault="00CF27CA" w:rsidP="00CF27CA">
      <w:pPr>
        <w:ind w:left="142"/>
        <w:jc w:val="both"/>
        <w:rPr>
          <w:rFonts w:cs="Arial"/>
          <w:szCs w:val="22"/>
          <w:u w:val="single"/>
        </w:rPr>
      </w:pPr>
    </w:p>
    <w:p w14:paraId="5E5495E3"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“Vulnerabilidad y pé</w:t>
      </w:r>
      <w:r w:rsidRPr="00186CC9">
        <w:rPr>
          <w:rFonts w:cs="Arial"/>
          <w:b/>
          <w:szCs w:val="22"/>
        </w:rPr>
        <w:t>rdida de información</w:t>
      </w:r>
      <w:r>
        <w:rPr>
          <w:rFonts w:cs="Arial"/>
          <w:b/>
          <w:szCs w:val="22"/>
        </w:rPr>
        <w:t>”</w:t>
      </w:r>
    </w:p>
    <w:p w14:paraId="6E071E19" w14:textId="77777777" w:rsidR="00CF27CA" w:rsidRPr="00186CC9" w:rsidRDefault="00CF27CA" w:rsidP="00CF27CA">
      <w:pPr>
        <w:jc w:val="both"/>
        <w:rPr>
          <w:rFonts w:cs="Arial"/>
          <w:szCs w:val="22"/>
        </w:rPr>
      </w:pPr>
    </w:p>
    <w:p w14:paraId="27BE10AD" w14:textId="2E9EF713" w:rsidR="00C56343" w:rsidRDefault="00D6538C" w:rsidP="00224FC1">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22A6E38B" w14:textId="77777777" w:rsidR="0035684E" w:rsidRDefault="0035684E" w:rsidP="00D6538C">
      <w:pPr>
        <w:jc w:val="both"/>
        <w:rPr>
          <w:rFonts w:cs="Arial"/>
          <w:szCs w:val="22"/>
        </w:rPr>
      </w:pPr>
    </w:p>
    <w:p w14:paraId="71D152F6"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“Daño y pé</w:t>
      </w:r>
      <w:r w:rsidRPr="005173DC">
        <w:rPr>
          <w:rFonts w:cs="Arial"/>
          <w:b/>
          <w:szCs w:val="22"/>
        </w:rPr>
        <w:t>rdida de la infraestructura tecnológica y de comunicaciones</w:t>
      </w:r>
      <w:r>
        <w:rPr>
          <w:rFonts w:cs="Arial"/>
          <w:b/>
          <w:szCs w:val="22"/>
        </w:rPr>
        <w:t>”</w:t>
      </w:r>
    </w:p>
    <w:p w14:paraId="0668ADB8" w14:textId="77777777" w:rsidR="00CF27CA" w:rsidRPr="00186CC9" w:rsidRDefault="00CF27CA" w:rsidP="00CF27CA">
      <w:pPr>
        <w:jc w:val="both"/>
        <w:rPr>
          <w:rFonts w:cs="Arial"/>
          <w:szCs w:val="22"/>
        </w:rPr>
      </w:pPr>
    </w:p>
    <w:p w14:paraId="78DD132E" w14:textId="77777777" w:rsidR="00CF27CA" w:rsidRDefault="00CF27CA" w:rsidP="00CF27CA">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2B30ABF9" w14:textId="77777777" w:rsidR="00CF27CA" w:rsidRDefault="00CF27CA" w:rsidP="00C56343">
      <w:pPr>
        <w:jc w:val="both"/>
        <w:rPr>
          <w:rFonts w:cs="Arial"/>
          <w:szCs w:val="22"/>
        </w:rPr>
      </w:pPr>
    </w:p>
    <w:p w14:paraId="237968E0" w14:textId="77777777" w:rsidR="00D6538C" w:rsidRDefault="00D6538C" w:rsidP="00C56343">
      <w:pPr>
        <w:jc w:val="both"/>
        <w:rPr>
          <w:rFonts w:cs="Arial"/>
          <w:szCs w:val="22"/>
        </w:rPr>
      </w:pPr>
    </w:p>
    <w:p w14:paraId="0542275C" w14:textId="77777777" w:rsidR="00CF27CA" w:rsidRDefault="00CF27CA" w:rsidP="00E73C0A">
      <w:pPr>
        <w:pStyle w:val="Prrafodelista"/>
        <w:numPr>
          <w:ilvl w:val="2"/>
          <w:numId w:val="16"/>
        </w:numPr>
        <w:ind w:left="567"/>
        <w:rPr>
          <w:rFonts w:cs="Arial"/>
          <w:szCs w:val="22"/>
          <w:u w:val="single"/>
        </w:rPr>
      </w:pPr>
      <w:r>
        <w:rPr>
          <w:rFonts w:cs="Arial"/>
          <w:szCs w:val="22"/>
          <w:u w:val="single"/>
        </w:rPr>
        <w:t>Gestión Financiera</w:t>
      </w:r>
    </w:p>
    <w:p w14:paraId="55EC94DD" w14:textId="77777777" w:rsidR="00CF27CA" w:rsidRDefault="00CF27CA" w:rsidP="00CF27CA">
      <w:pPr>
        <w:ind w:left="142"/>
        <w:jc w:val="both"/>
        <w:rPr>
          <w:rFonts w:cs="Arial"/>
          <w:szCs w:val="22"/>
          <w:u w:val="single"/>
        </w:rPr>
      </w:pPr>
    </w:p>
    <w:p w14:paraId="7017D513"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007807">
        <w:rPr>
          <w:rFonts w:cs="Arial"/>
          <w:b/>
          <w:szCs w:val="22"/>
        </w:rPr>
        <w:t>Subvaluación y/o  sobrevaluación de los estado financieros</w:t>
      </w:r>
      <w:r>
        <w:rPr>
          <w:rFonts w:cs="Arial"/>
          <w:b/>
          <w:szCs w:val="22"/>
        </w:rPr>
        <w:t>”</w:t>
      </w:r>
    </w:p>
    <w:p w14:paraId="5D561E3B" w14:textId="77777777" w:rsidR="00CF27CA" w:rsidRPr="0068721D" w:rsidRDefault="00CF27CA" w:rsidP="00CF27CA">
      <w:pPr>
        <w:ind w:left="142"/>
        <w:jc w:val="both"/>
        <w:rPr>
          <w:rFonts w:cs="Arial"/>
          <w:b/>
          <w:szCs w:val="22"/>
        </w:rPr>
      </w:pPr>
    </w:p>
    <w:p w14:paraId="6AE7A7D3" w14:textId="3798AFCA" w:rsidR="00224FC1" w:rsidRDefault="007C0848" w:rsidP="00224FC1">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51E45497" w14:textId="77777777" w:rsidR="00CF27CA" w:rsidRDefault="00CF27CA" w:rsidP="00CF27CA">
      <w:pPr>
        <w:ind w:left="142"/>
        <w:jc w:val="both"/>
        <w:rPr>
          <w:rFonts w:cs="Arial"/>
          <w:b/>
          <w:szCs w:val="22"/>
        </w:rPr>
      </w:pPr>
    </w:p>
    <w:p w14:paraId="77740590" w14:textId="77777777" w:rsidR="0035684E" w:rsidRDefault="0035684E" w:rsidP="00CF27CA">
      <w:pPr>
        <w:ind w:left="142"/>
        <w:jc w:val="both"/>
        <w:rPr>
          <w:rFonts w:cs="Arial"/>
          <w:b/>
          <w:szCs w:val="22"/>
        </w:rPr>
      </w:pPr>
    </w:p>
    <w:p w14:paraId="3F8DF6AD" w14:textId="77777777" w:rsidR="00CF27CA" w:rsidRDefault="00CF27CA" w:rsidP="00E73C0A">
      <w:pPr>
        <w:pStyle w:val="Prrafodelista"/>
        <w:numPr>
          <w:ilvl w:val="3"/>
          <w:numId w:val="16"/>
        </w:numPr>
        <w:ind w:left="851" w:hanging="790"/>
        <w:jc w:val="both"/>
        <w:rPr>
          <w:rFonts w:cs="Arial"/>
          <w:b/>
          <w:szCs w:val="22"/>
        </w:rPr>
      </w:pPr>
      <w:r w:rsidRPr="00D20158">
        <w:rPr>
          <w:rFonts w:cs="Arial"/>
          <w:b/>
          <w:szCs w:val="22"/>
        </w:rPr>
        <w:t xml:space="preserve">Riesgo </w:t>
      </w:r>
      <w:r>
        <w:rPr>
          <w:rFonts w:cs="Arial"/>
          <w:b/>
          <w:szCs w:val="22"/>
        </w:rPr>
        <w:t>“</w:t>
      </w:r>
      <w:r w:rsidRPr="00007807">
        <w:rPr>
          <w:rFonts w:cs="Arial"/>
          <w:b/>
          <w:szCs w:val="22"/>
        </w:rPr>
        <w:t>Inoportunidad o incumplimiento en la entrega de informes tributarios, financieros, presupuestales y de entidades de control</w:t>
      </w:r>
      <w:r>
        <w:rPr>
          <w:rFonts w:cs="Arial"/>
          <w:b/>
          <w:szCs w:val="22"/>
        </w:rPr>
        <w:t>”</w:t>
      </w:r>
    </w:p>
    <w:p w14:paraId="443D322D" w14:textId="77777777" w:rsidR="00CF27CA" w:rsidRDefault="00CF27CA" w:rsidP="00CF27CA">
      <w:pPr>
        <w:ind w:left="142"/>
        <w:jc w:val="both"/>
        <w:rPr>
          <w:rFonts w:cs="Arial"/>
          <w:szCs w:val="22"/>
        </w:rPr>
      </w:pPr>
    </w:p>
    <w:p w14:paraId="7ABAAE54" w14:textId="0D9EECBA" w:rsidR="00CF27CA" w:rsidRPr="006E17B4" w:rsidRDefault="007C0848" w:rsidP="00CF27CA">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39065CC0" w14:textId="77777777" w:rsidR="0035684E" w:rsidRDefault="0035684E" w:rsidP="00CF27CA">
      <w:pPr>
        <w:jc w:val="both"/>
        <w:rPr>
          <w:rFonts w:cs="Arial"/>
          <w:b/>
          <w:szCs w:val="22"/>
        </w:rPr>
      </w:pPr>
    </w:p>
    <w:p w14:paraId="3EC0D79C" w14:textId="77777777" w:rsidR="00CF27CA" w:rsidRDefault="00CF27CA" w:rsidP="00E73C0A">
      <w:pPr>
        <w:pStyle w:val="Prrafodelista"/>
        <w:numPr>
          <w:ilvl w:val="3"/>
          <w:numId w:val="16"/>
        </w:numPr>
        <w:ind w:left="851" w:hanging="790"/>
        <w:jc w:val="both"/>
        <w:rPr>
          <w:rFonts w:cs="Arial"/>
          <w:b/>
          <w:szCs w:val="22"/>
        </w:rPr>
      </w:pPr>
      <w:r w:rsidRPr="00D20158">
        <w:rPr>
          <w:rFonts w:cs="Arial"/>
          <w:b/>
          <w:szCs w:val="22"/>
        </w:rPr>
        <w:lastRenderedPageBreak/>
        <w:t xml:space="preserve">Riesgo </w:t>
      </w:r>
      <w:r>
        <w:rPr>
          <w:rFonts w:cs="Arial"/>
          <w:b/>
          <w:szCs w:val="22"/>
        </w:rPr>
        <w:t>“</w:t>
      </w:r>
      <w:r w:rsidRPr="00597E66">
        <w:rPr>
          <w:rFonts w:cs="Arial"/>
          <w:b/>
          <w:szCs w:val="22"/>
        </w:rPr>
        <w:t>Expedición de Certificado de Disponibilidad Presupuestal y Certificados de Registros Presupuestal con fuentes de financiación diferentes a las definidas en el presupuesto de ingresos y gastos</w:t>
      </w:r>
      <w:r>
        <w:rPr>
          <w:rFonts w:cs="Arial"/>
          <w:b/>
          <w:szCs w:val="22"/>
        </w:rPr>
        <w:t>”</w:t>
      </w:r>
    </w:p>
    <w:p w14:paraId="071C60AE" w14:textId="77777777" w:rsidR="00CF27CA" w:rsidRDefault="00CF27CA" w:rsidP="00CF27CA">
      <w:pPr>
        <w:ind w:left="142"/>
        <w:jc w:val="both"/>
        <w:rPr>
          <w:rFonts w:cs="Arial"/>
          <w:b/>
          <w:szCs w:val="22"/>
        </w:rPr>
      </w:pPr>
    </w:p>
    <w:p w14:paraId="4420F9E8" w14:textId="1AD31288" w:rsidR="0035684E" w:rsidRPr="00D6538C" w:rsidRDefault="00D6538C" w:rsidP="00CF27CA">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5B56B29A" w14:textId="77777777" w:rsidR="00C22852" w:rsidRDefault="00C22852" w:rsidP="00CF27CA">
      <w:pPr>
        <w:jc w:val="both"/>
        <w:rPr>
          <w:rFonts w:cs="Arial"/>
          <w:szCs w:val="22"/>
        </w:rPr>
      </w:pPr>
    </w:p>
    <w:p w14:paraId="46F24457" w14:textId="77777777" w:rsidR="00CF27CA" w:rsidRDefault="00CF27CA" w:rsidP="00E73C0A">
      <w:pPr>
        <w:pStyle w:val="Prrafodelista"/>
        <w:numPr>
          <w:ilvl w:val="3"/>
          <w:numId w:val="16"/>
        </w:numPr>
        <w:ind w:left="851" w:hanging="790"/>
        <w:jc w:val="both"/>
        <w:rPr>
          <w:rFonts w:cs="Arial"/>
          <w:b/>
          <w:szCs w:val="22"/>
        </w:rPr>
      </w:pPr>
      <w:r w:rsidRPr="00D20158">
        <w:rPr>
          <w:rFonts w:cs="Arial"/>
          <w:b/>
          <w:szCs w:val="22"/>
        </w:rPr>
        <w:t xml:space="preserve">Riesgo </w:t>
      </w:r>
      <w:r>
        <w:rPr>
          <w:rFonts w:cs="Arial"/>
          <w:b/>
          <w:szCs w:val="22"/>
        </w:rPr>
        <w:t>“</w:t>
      </w:r>
      <w:r w:rsidRPr="00597E66">
        <w:rPr>
          <w:rFonts w:cs="Arial"/>
          <w:b/>
          <w:szCs w:val="22"/>
        </w:rPr>
        <w:t>Pagos de compromisos con fuentes de financiación diferentes a las definidas en el presupuesto de gastos e ingresos</w:t>
      </w:r>
      <w:r>
        <w:rPr>
          <w:rFonts w:cs="Arial"/>
          <w:b/>
          <w:szCs w:val="22"/>
        </w:rPr>
        <w:t>”</w:t>
      </w:r>
    </w:p>
    <w:p w14:paraId="5734A90D" w14:textId="77777777" w:rsidR="00CF27CA" w:rsidRDefault="00CF27CA" w:rsidP="00CF27CA">
      <w:pPr>
        <w:ind w:left="142"/>
        <w:jc w:val="both"/>
        <w:rPr>
          <w:rFonts w:cs="Arial"/>
          <w:b/>
          <w:szCs w:val="22"/>
        </w:rPr>
      </w:pPr>
    </w:p>
    <w:p w14:paraId="6818847B" w14:textId="5795E7B8" w:rsidR="00CF27CA" w:rsidRPr="00905914" w:rsidRDefault="007C0848" w:rsidP="00905914">
      <w:pPr>
        <w:numPr>
          <w:ilvl w:val="0"/>
          <w:numId w:val="10"/>
        </w:numPr>
        <w:overflowPunct w:val="0"/>
        <w:autoSpaceDE w:val="0"/>
        <w:autoSpaceDN w:val="0"/>
        <w:adjustRightInd w:val="0"/>
        <w:ind w:left="426"/>
        <w:jc w:val="both"/>
        <w:textAlignment w:val="baseline"/>
        <w:rPr>
          <w:rFonts w:cs="Arial"/>
          <w:szCs w:val="22"/>
        </w:rPr>
      </w:pPr>
      <w:r>
        <w:rPr>
          <w:rFonts w:cs="Arial"/>
          <w:szCs w:val="22"/>
        </w:rPr>
        <w:t>Sin observaciones.</w:t>
      </w:r>
    </w:p>
    <w:p w14:paraId="0F9F4C90" w14:textId="77777777" w:rsidR="00CF27CA" w:rsidRDefault="00CF27CA" w:rsidP="00CF27CA">
      <w:pPr>
        <w:jc w:val="both"/>
        <w:rPr>
          <w:rFonts w:cs="Arial"/>
          <w:szCs w:val="22"/>
        </w:rPr>
      </w:pPr>
    </w:p>
    <w:p w14:paraId="2604576D" w14:textId="77777777" w:rsidR="00905914" w:rsidRDefault="00905914" w:rsidP="00CF27CA">
      <w:pPr>
        <w:jc w:val="both"/>
        <w:rPr>
          <w:rFonts w:cs="Arial"/>
          <w:szCs w:val="22"/>
        </w:rPr>
      </w:pPr>
    </w:p>
    <w:p w14:paraId="6D48D6AC" w14:textId="77777777" w:rsidR="00CF27CA" w:rsidRDefault="00CF27CA" w:rsidP="00E73C0A">
      <w:pPr>
        <w:pStyle w:val="Prrafodelista"/>
        <w:numPr>
          <w:ilvl w:val="2"/>
          <w:numId w:val="16"/>
        </w:numPr>
        <w:ind w:left="567"/>
        <w:rPr>
          <w:rFonts w:cs="Arial"/>
          <w:szCs w:val="22"/>
          <w:u w:val="single"/>
        </w:rPr>
      </w:pPr>
      <w:r>
        <w:rPr>
          <w:rFonts w:cs="Arial"/>
          <w:szCs w:val="22"/>
          <w:u w:val="single"/>
        </w:rPr>
        <w:t>Control Interno Disciplinario</w:t>
      </w:r>
    </w:p>
    <w:p w14:paraId="1E6084B0" w14:textId="77777777" w:rsidR="00CF27CA" w:rsidRDefault="00CF27CA" w:rsidP="00CF27CA">
      <w:pPr>
        <w:ind w:left="142"/>
        <w:rPr>
          <w:rFonts w:cs="Arial"/>
          <w:szCs w:val="22"/>
          <w:u w:val="single"/>
        </w:rPr>
      </w:pPr>
    </w:p>
    <w:p w14:paraId="77CF25AE"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F37DB7">
        <w:rPr>
          <w:rFonts w:cs="Arial"/>
          <w:b/>
          <w:szCs w:val="22"/>
        </w:rPr>
        <w:t>Pérdida de pie</w:t>
      </w:r>
      <w:r>
        <w:rPr>
          <w:rFonts w:cs="Arial"/>
          <w:b/>
          <w:szCs w:val="22"/>
        </w:rPr>
        <w:t>zas procesales o del expediente”</w:t>
      </w:r>
    </w:p>
    <w:p w14:paraId="60E58AEE" w14:textId="77777777" w:rsidR="00CF27CA" w:rsidRDefault="00CF27CA" w:rsidP="00CF27CA">
      <w:pPr>
        <w:ind w:left="142"/>
        <w:jc w:val="both"/>
        <w:rPr>
          <w:rFonts w:cs="Arial"/>
          <w:b/>
          <w:szCs w:val="22"/>
        </w:rPr>
      </w:pPr>
    </w:p>
    <w:p w14:paraId="065A085A" w14:textId="0A498E06" w:rsidR="00404122" w:rsidRPr="00404122" w:rsidRDefault="00404122" w:rsidP="00404122">
      <w:pPr>
        <w:numPr>
          <w:ilvl w:val="0"/>
          <w:numId w:val="10"/>
        </w:numPr>
        <w:overflowPunct w:val="0"/>
        <w:autoSpaceDE w:val="0"/>
        <w:autoSpaceDN w:val="0"/>
        <w:adjustRightInd w:val="0"/>
        <w:ind w:left="426"/>
        <w:jc w:val="both"/>
        <w:textAlignment w:val="baseline"/>
        <w:rPr>
          <w:rFonts w:cs="Arial"/>
          <w:szCs w:val="22"/>
        </w:rPr>
      </w:pPr>
      <w:r w:rsidRPr="00404122">
        <w:rPr>
          <w:rFonts w:cs="Arial"/>
          <w:szCs w:val="22"/>
        </w:rPr>
        <w:t>El monitoreo y los soportes no especifican claramente a cuál control hace referencia, de igual manera</w:t>
      </w:r>
      <w:r>
        <w:rPr>
          <w:rFonts w:cs="Arial"/>
          <w:szCs w:val="22"/>
        </w:rPr>
        <w:t>,</w:t>
      </w:r>
      <w:r w:rsidRPr="00404122">
        <w:rPr>
          <w:rFonts w:cs="Arial"/>
          <w:szCs w:val="22"/>
        </w:rPr>
        <w:t xml:space="preserve"> estos revelan información confidencial.</w:t>
      </w:r>
    </w:p>
    <w:p w14:paraId="4020100C" w14:textId="77777777" w:rsidR="0035684E" w:rsidRDefault="0035684E" w:rsidP="00CF27CA">
      <w:pPr>
        <w:ind w:left="142"/>
        <w:jc w:val="both"/>
        <w:rPr>
          <w:rFonts w:cs="Arial"/>
          <w:b/>
          <w:szCs w:val="22"/>
        </w:rPr>
      </w:pPr>
    </w:p>
    <w:p w14:paraId="3123CEBD" w14:textId="77777777" w:rsidR="00CF27CA" w:rsidRDefault="00CF27CA" w:rsidP="00E73C0A">
      <w:pPr>
        <w:pStyle w:val="Prrafodelista"/>
        <w:numPr>
          <w:ilvl w:val="3"/>
          <w:numId w:val="16"/>
        </w:numPr>
        <w:ind w:left="851" w:hanging="790"/>
        <w:jc w:val="both"/>
        <w:rPr>
          <w:rFonts w:cs="Arial"/>
          <w:b/>
          <w:szCs w:val="22"/>
        </w:rPr>
      </w:pPr>
      <w:r w:rsidRPr="0068721D">
        <w:rPr>
          <w:rFonts w:cs="Arial"/>
          <w:b/>
          <w:szCs w:val="22"/>
        </w:rPr>
        <w:t xml:space="preserve">Riesgo </w:t>
      </w:r>
      <w:r>
        <w:rPr>
          <w:rFonts w:cs="Arial"/>
          <w:b/>
          <w:szCs w:val="22"/>
        </w:rPr>
        <w:t>“</w:t>
      </w:r>
      <w:r w:rsidRPr="00F37DB7">
        <w:rPr>
          <w:rFonts w:cs="Arial"/>
          <w:b/>
          <w:szCs w:val="22"/>
        </w:rPr>
        <w:t>Vencimiento de términos en el trámite de los procesos disciplinarios</w:t>
      </w:r>
      <w:r>
        <w:rPr>
          <w:rFonts w:cs="Arial"/>
          <w:b/>
          <w:szCs w:val="22"/>
        </w:rPr>
        <w:t xml:space="preserve">” </w:t>
      </w:r>
    </w:p>
    <w:p w14:paraId="45BEE9D9" w14:textId="77777777" w:rsidR="00CF27CA" w:rsidRPr="0068721D" w:rsidRDefault="00CF27CA" w:rsidP="00CF27CA">
      <w:pPr>
        <w:ind w:left="142"/>
        <w:jc w:val="both"/>
        <w:rPr>
          <w:rFonts w:cs="Arial"/>
          <w:b/>
          <w:szCs w:val="22"/>
        </w:rPr>
      </w:pPr>
    </w:p>
    <w:p w14:paraId="270861EB" w14:textId="77777777" w:rsidR="00404122" w:rsidRPr="00404122" w:rsidRDefault="00404122" w:rsidP="00404122">
      <w:pPr>
        <w:numPr>
          <w:ilvl w:val="0"/>
          <w:numId w:val="10"/>
        </w:numPr>
        <w:overflowPunct w:val="0"/>
        <w:autoSpaceDE w:val="0"/>
        <w:autoSpaceDN w:val="0"/>
        <w:adjustRightInd w:val="0"/>
        <w:ind w:left="426"/>
        <w:jc w:val="both"/>
        <w:textAlignment w:val="baseline"/>
        <w:rPr>
          <w:rFonts w:cs="Arial"/>
          <w:szCs w:val="22"/>
        </w:rPr>
      </w:pPr>
      <w:r w:rsidRPr="00404122">
        <w:rPr>
          <w:rFonts w:cs="Arial"/>
          <w:szCs w:val="22"/>
        </w:rPr>
        <w:t>En cuanto al primer control se evidencia listado de procesos con impulso procesal, sin embargo, no se adjuntan actas como se establece en el control, de igual manera los soportes entregados revelan información confidencial.</w:t>
      </w:r>
    </w:p>
    <w:p w14:paraId="4D3E8613" w14:textId="4E2ECE3C" w:rsidR="00CF27CA" w:rsidRDefault="00404122" w:rsidP="00404122">
      <w:pPr>
        <w:numPr>
          <w:ilvl w:val="0"/>
          <w:numId w:val="10"/>
        </w:numPr>
        <w:overflowPunct w:val="0"/>
        <w:autoSpaceDE w:val="0"/>
        <w:autoSpaceDN w:val="0"/>
        <w:adjustRightInd w:val="0"/>
        <w:ind w:left="426"/>
        <w:jc w:val="both"/>
        <w:textAlignment w:val="baseline"/>
        <w:rPr>
          <w:rFonts w:cs="Arial"/>
          <w:szCs w:val="22"/>
        </w:rPr>
      </w:pPr>
      <w:r w:rsidRPr="00404122">
        <w:rPr>
          <w:rFonts w:cs="Arial"/>
          <w:szCs w:val="22"/>
        </w:rPr>
        <w:t>Para el segundo control se remite la base de datos actualizada, sin embargo, esta revela información confidencial.</w:t>
      </w:r>
    </w:p>
    <w:p w14:paraId="72AA6D54" w14:textId="77777777" w:rsidR="00CF27CA" w:rsidRDefault="00CF27CA" w:rsidP="00CF27CA">
      <w:pPr>
        <w:ind w:left="142"/>
        <w:jc w:val="both"/>
        <w:rPr>
          <w:rFonts w:cs="Arial"/>
          <w:szCs w:val="22"/>
        </w:rPr>
      </w:pPr>
    </w:p>
    <w:p w14:paraId="28DEE761" w14:textId="77777777" w:rsidR="00404122" w:rsidRDefault="00404122" w:rsidP="00CF27CA">
      <w:pPr>
        <w:ind w:left="142"/>
        <w:jc w:val="both"/>
        <w:rPr>
          <w:rFonts w:cs="Arial"/>
          <w:szCs w:val="22"/>
        </w:rPr>
      </w:pPr>
    </w:p>
    <w:p w14:paraId="0F3114F9" w14:textId="77777777" w:rsidR="00CF27CA" w:rsidRDefault="00CF27CA" w:rsidP="00E73C0A">
      <w:pPr>
        <w:pStyle w:val="Prrafodelista"/>
        <w:numPr>
          <w:ilvl w:val="2"/>
          <w:numId w:val="16"/>
        </w:numPr>
        <w:ind w:left="567"/>
        <w:rPr>
          <w:rFonts w:cs="Arial"/>
          <w:szCs w:val="22"/>
          <w:u w:val="single"/>
        </w:rPr>
      </w:pPr>
      <w:r>
        <w:rPr>
          <w:rFonts w:cs="Arial"/>
          <w:szCs w:val="22"/>
          <w:u w:val="single"/>
        </w:rPr>
        <w:t xml:space="preserve">Evaluación y Seguimiento </w:t>
      </w:r>
    </w:p>
    <w:p w14:paraId="68FE45D5" w14:textId="77777777" w:rsidR="00CF27CA" w:rsidRDefault="00CF27CA" w:rsidP="00CF27CA">
      <w:pPr>
        <w:ind w:left="142"/>
        <w:jc w:val="both"/>
        <w:rPr>
          <w:rFonts w:cs="Arial"/>
          <w:szCs w:val="22"/>
        </w:rPr>
      </w:pPr>
    </w:p>
    <w:p w14:paraId="7DC9F11D" w14:textId="77777777" w:rsidR="00CF27CA" w:rsidRDefault="00CF27CA" w:rsidP="00E73C0A">
      <w:pPr>
        <w:pStyle w:val="Prrafodelista"/>
        <w:numPr>
          <w:ilvl w:val="3"/>
          <w:numId w:val="16"/>
        </w:numPr>
        <w:ind w:left="851" w:hanging="790"/>
        <w:jc w:val="both"/>
        <w:rPr>
          <w:rFonts w:cs="Arial"/>
          <w:b/>
          <w:szCs w:val="22"/>
        </w:rPr>
      </w:pPr>
      <w:r>
        <w:rPr>
          <w:rFonts w:cs="Arial"/>
          <w:b/>
          <w:szCs w:val="22"/>
        </w:rPr>
        <w:t>Riesgo “</w:t>
      </w:r>
      <w:r w:rsidRPr="00E46210">
        <w:rPr>
          <w:rFonts w:cs="Arial"/>
          <w:b/>
          <w:szCs w:val="22"/>
        </w:rPr>
        <w:t>Cobertura de evaluación y/o seguimiento insuficiente a los procesos del IDPC</w:t>
      </w:r>
      <w:r>
        <w:rPr>
          <w:rFonts w:cs="Arial"/>
          <w:b/>
          <w:szCs w:val="22"/>
        </w:rPr>
        <w:t>”</w:t>
      </w:r>
    </w:p>
    <w:p w14:paraId="4733E596" w14:textId="77777777" w:rsidR="00CF27CA" w:rsidRDefault="00CF27CA" w:rsidP="00CF27CA">
      <w:pPr>
        <w:ind w:firstLine="142"/>
        <w:jc w:val="both"/>
        <w:rPr>
          <w:rFonts w:cs="Arial"/>
          <w:b/>
          <w:szCs w:val="22"/>
        </w:rPr>
      </w:pPr>
    </w:p>
    <w:p w14:paraId="2CFB95AB" w14:textId="7B3E2A44" w:rsidR="00CF27CA" w:rsidRPr="00CA0C72" w:rsidRDefault="00404122" w:rsidP="00404122">
      <w:pPr>
        <w:numPr>
          <w:ilvl w:val="0"/>
          <w:numId w:val="10"/>
        </w:numPr>
        <w:overflowPunct w:val="0"/>
        <w:autoSpaceDE w:val="0"/>
        <w:autoSpaceDN w:val="0"/>
        <w:adjustRightInd w:val="0"/>
        <w:ind w:left="426"/>
        <w:jc w:val="both"/>
        <w:textAlignment w:val="baseline"/>
        <w:rPr>
          <w:rFonts w:cs="Arial"/>
          <w:szCs w:val="22"/>
        </w:rPr>
      </w:pPr>
      <w:r w:rsidRPr="00404122">
        <w:rPr>
          <w:rFonts w:cs="Arial"/>
          <w:szCs w:val="22"/>
        </w:rPr>
        <w:t xml:space="preserve">Se recomienda no duplicar los archivos en los casos en los que se cuenta con el archivo en Excel y PDF, de la misma forma no incluir los borradores de los memos de Orfeo en los casos en los que se cuente con el archivo del memo radicado. </w:t>
      </w:r>
      <w:r w:rsidR="00CF27CA">
        <w:rPr>
          <w:rFonts w:cs="Arial"/>
          <w:szCs w:val="22"/>
        </w:rPr>
        <w:t>(observaciones efectuadas por la OAP)</w:t>
      </w:r>
    </w:p>
    <w:p w14:paraId="0C9DE659" w14:textId="77777777" w:rsidR="007E187A" w:rsidRDefault="007E187A" w:rsidP="007E187A">
      <w:pPr>
        <w:jc w:val="both"/>
        <w:rPr>
          <w:rFonts w:cs="Arial"/>
          <w:b/>
        </w:rPr>
      </w:pPr>
    </w:p>
    <w:p w14:paraId="209A9F61" w14:textId="77777777" w:rsidR="007E187A" w:rsidRPr="007E187A" w:rsidRDefault="007E187A" w:rsidP="007E187A">
      <w:pPr>
        <w:jc w:val="both"/>
        <w:rPr>
          <w:rFonts w:cs="Arial"/>
          <w:b/>
        </w:rPr>
      </w:pPr>
    </w:p>
    <w:p w14:paraId="66E104CF" w14:textId="77777777" w:rsidR="007E187A" w:rsidRPr="007E187A" w:rsidRDefault="007E187A" w:rsidP="007E187A">
      <w:pPr>
        <w:pStyle w:val="Prrafodelista"/>
        <w:numPr>
          <w:ilvl w:val="0"/>
          <w:numId w:val="8"/>
        </w:numPr>
        <w:jc w:val="center"/>
        <w:rPr>
          <w:rFonts w:cs="Arial"/>
          <w:b/>
        </w:rPr>
      </w:pPr>
      <w:r w:rsidRPr="007E187A">
        <w:rPr>
          <w:rFonts w:cs="Arial"/>
          <w:b/>
        </w:rPr>
        <w:t>FORTALEZAS EVIDENCIADAS</w:t>
      </w:r>
    </w:p>
    <w:p w14:paraId="60848F1F" w14:textId="166AD397" w:rsidR="007E187A" w:rsidRDefault="007E187A" w:rsidP="007E187A">
      <w:pPr>
        <w:pStyle w:val="Prrafodelista"/>
        <w:rPr>
          <w:rFonts w:cs="Arial"/>
          <w:b/>
        </w:rPr>
      </w:pPr>
    </w:p>
    <w:p w14:paraId="7FDBAE06" w14:textId="14FA37FB" w:rsidR="00CF27CA" w:rsidRDefault="00DB76F9" w:rsidP="00CF27CA">
      <w:pPr>
        <w:numPr>
          <w:ilvl w:val="0"/>
          <w:numId w:val="12"/>
        </w:numPr>
        <w:overflowPunct w:val="0"/>
        <w:autoSpaceDE w:val="0"/>
        <w:autoSpaceDN w:val="0"/>
        <w:adjustRightInd w:val="0"/>
        <w:ind w:left="426"/>
        <w:jc w:val="both"/>
        <w:textAlignment w:val="baseline"/>
        <w:rPr>
          <w:rFonts w:cs="Arial"/>
          <w:szCs w:val="22"/>
        </w:rPr>
      </w:pPr>
      <w:r>
        <w:rPr>
          <w:rFonts w:cs="Arial"/>
          <w:szCs w:val="22"/>
        </w:rPr>
        <w:t>Se evidencia una mejora generalizada en el reporte por parte de los procesos de los monitoreos y los soportes de estos.</w:t>
      </w:r>
    </w:p>
    <w:p w14:paraId="1B43FCAF" w14:textId="1A417B3A" w:rsidR="007E187A" w:rsidRPr="00CF27CA" w:rsidRDefault="007E187A" w:rsidP="00CF27CA">
      <w:pPr>
        <w:rPr>
          <w:rFonts w:cs="Arial"/>
          <w:b/>
        </w:rPr>
      </w:pPr>
    </w:p>
    <w:p w14:paraId="5D2115A5" w14:textId="77777777" w:rsidR="007E187A" w:rsidRPr="007E187A" w:rsidRDefault="007E187A" w:rsidP="007E187A">
      <w:pPr>
        <w:pStyle w:val="Prrafodelista"/>
        <w:rPr>
          <w:rFonts w:cs="Arial"/>
          <w:b/>
        </w:rPr>
      </w:pPr>
    </w:p>
    <w:p w14:paraId="58737FF6" w14:textId="77777777" w:rsidR="007E187A" w:rsidRPr="007E187A" w:rsidRDefault="007E187A" w:rsidP="007E187A">
      <w:pPr>
        <w:pStyle w:val="Prrafodelista"/>
        <w:numPr>
          <w:ilvl w:val="0"/>
          <w:numId w:val="8"/>
        </w:numPr>
        <w:jc w:val="center"/>
        <w:rPr>
          <w:rFonts w:cs="Arial"/>
          <w:b/>
        </w:rPr>
      </w:pPr>
      <w:r w:rsidRPr="007E187A">
        <w:rPr>
          <w:rFonts w:cs="Arial"/>
          <w:b/>
        </w:rPr>
        <w:t>OBSERVACIONES</w:t>
      </w:r>
    </w:p>
    <w:p w14:paraId="6726BB9E" w14:textId="1D8785AE" w:rsidR="007E187A" w:rsidRDefault="007E187A" w:rsidP="007E187A">
      <w:pPr>
        <w:pStyle w:val="Prrafodelista"/>
        <w:rPr>
          <w:rFonts w:cs="Arial"/>
          <w:b/>
        </w:rPr>
      </w:pPr>
    </w:p>
    <w:p w14:paraId="6B9C9781" w14:textId="77777777" w:rsidR="00CF27CA" w:rsidRPr="005102D9" w:rsidRDefault="00CF27CA" w:rsidP="00E32D9A">
      <w:pPr>
        <w:jc w:val="both"/>
        <w:rPr>
          <w:rFonts w:cs="Arial"/>
          <w:szCs w:val="22"/>
          <w:lang w:val="es-ES"/>
        </w:rPr>
      </w:pPr>
      <w:r w:rsidRPr="005102D9">
        <w:rPr>
          <w:rFonts w:cs="Arial"/>
          <w:szCs w:val="22"/>
          <w:lang w:val="es-ES"/>
        </w:rPr>
        <w:t xml:space="preserve">Es importante tener en cuenta la evaluación </w:t>
      </w:r>
      <w:r>
        <w:rPr>
          <w:rFonts w:cs="Arial"/>
          <w:szCs w:val="22"/>
          <w:lang w:val="es-ES"/>
        </w:rPr>
        <w:t xml:space="preserve">puntual </w:t>
      </w:r>
      <w:r w:rsidRPr="005102D9">
        <w:rPr>
          <w:rFonts w:cs="Arial"/>
          <w:szCs w:val="22"/>
          <w:lang w:val="es-ES"/>
        </w:rPr>
        <w:t xml:space="preserve">efectuada a cada proceso y a </w:t>
      </w:r>
      <w:r>
        <w:rPr>
          <w:rFonts w:cs="Arial"/>
          <w:szCs w:val="22"/>
          <w:lang w:val="es-ES"/>
        </w:rPr>
        <w:t>los</w:t>
      </w:r>
      <w:r w:rsidRPr="005102D9">
        <w:rPr>
          <w:rFonts w:cs="Arial"/>
          <w:szCs w:val="22"/>
          <w:lang w:val="es-ES"/>
        </w:rPr>
        <w:t xml:space="preserve"> riesgos</w:t>
      </w:r>
      <w:r>
        <w:rPr>
          <w:rFonts w:cs="Arial"/>
          <w:szCs w:val="22"/>
          <w:lang w:val="es-ES"/>
        </w:rPr>
        <w:t xml:space="preserve"> asociados</w:t>
      </w:r>
      <w:r w:rsidRPr="005102D9">
        <w:rPr>
          <w:rFonts w:cs="Arial"/>
          <w:szCs w:val="22"/>
          <w:lang w:val="es-ES"/>
        </w:rPr>
        <w:t xml:space="preserve">, </w:t>
      </w:r>
      <w:r>
        <w:rPr>
          <w:rFonts w:cs="Arial"/>
          <w:szCs w:val="22"/>
          <w:lang w:val="es-ES"/>
        </w:rPr>
        <w:t>por lo tanto</w:t>
      </w:r>
      <w:r w:rsidRPr="005102D9">
        <w:rPr>
          <w:rFonts w:cs="Arial"/>
          <w:szCs w:val="22"/>
          <w:lang w:val="es-ES"/>
        </w:rPr>
        <w:t>, se relacionan algunas observaciones generales.</w:t>
      </w:r>
    </w:p>
    <w:p w14:paraId="716D2DBD" w14:textId="77777777" w:rsidR="00CF27CA" w:rsidRPr="005102D9" w:rsidRDefault="00CF27CA" w:rsidP="00CF27CA">
      <w:pPr>
        <w:ind w:left="-426"/>
        <w:jc w:val="both"/>
        <w:rPr>
          <w:rFonts w:cs="Arial"/>
          <w:szCs w:val="22"/>
          <w:lang w:val="es-ES"/>
        </w:rPr>
      </w:pPr>
    </w:p>
    <w:p w14:paraId="0480B1DC" w14:textId="754D8CFE" w:rsidR="00CF27CA" w:rsidRDefault="00DB76F9" w:rsidP="00E32D9A">
      <w:pPr>
        <w:numPr>
          <w:ilvl w:val="0"/>
          <w:numId w:val="14"/>
        </w:numPr>
        <w:autoSpaceDE w:val="0"/>
        <w:autoSpaceDN w:val="0"/>
        <w:ind w:left="426"/>
        <w:jc w:val="both"/>
        <w:rPr>
          <w:rFonts w:cs="Arial"/>
          <w:szCs w:val="22"/>
        </w:rPr>
      </w:pPr>
      <w:r>
        <w:rPr>
          <w:rFonts w:cs="Arial"/>
          <w:szCs w:val="22"/>
        </w:rPr>
        <w:t>No se tomaron acciones frente a la materialización de los riesgos evidenciada en el seguimiento realizado por la Asesoría de Control Interno correspondiente al tercer cuatrimestre de la vigencia 2020.</w:t>
      </w:r>
    </w:p>
    <w:p w14:paraId="583404AF" w14:textId="77777777" w:rsidR="00CF27CA" w:rsidRDefault="00CF27CA" w:rsidP="00E32D9A">
      <w:pPr>
        <w:numPr>
          <w:ilvl w:val="0"/>
          <w:numId w:val="13"/>
        </w:numPr>
        <w:overflowPunct w:val="0"/>
        <w:autoSpaceDE w:val="0"/>
        <w:autoSpaceDN w:val="0"/>
        <w:adjustRightInd w:val="0"/>
        <w:ind w:left="426"/>
        <w:jc w:val="both"/>
        <w:textAlignment w:val="baseline"/>
        <w:rPr>
          <w:rFonts w:cs="Arial"/>
          <w:szCs w:val="22"/>
        </w:rPr>
      </w:pPr>
      <w:r>
        <w:rPr>
          <w:rFonts w:cs="Arial"/>
          <w:szCs w:val="22"/>
        </w:rPr>
        <w:t>Persisten casos en los cuales se entregan evidencias sin un orden que permita realizar la evaluación adecuada por la tercera línea de defensa.</w:t>
      </w:r>
    </w:p>
    <w:p w14:paraId="5EA49D84" w14:textId="415BB347" w:rsidR="00CF27CA" w:rsidRDefault="00CF27CA" w:rsidP="00E32D9A">
      <w:pPr>
        <w:numPr>
          <w:ilvl w:val="0"/>
          <w:numId w:val="13"/>
        </w:numPr>
        <w:overflowPunct w:val="0"/>
        <w:autoSpaceDE w:val="0"/>
        <w:autoSpaceDN w:val="0"/>
        <w:adjustRightInd w:val="0"/>
        <w:ind w:left="426"/>
        <w:jc w:val="both"/>
        <w:textAlignment w:val="baseline"/>
        <w:rPr>
          <w:rFonts w:cs="Arial"/>
          <w:szCs w:val="22"/>
        </w:rPr>
      </w:pPr>
      <w:r>
        <w:rPr>
          <w:rFonts w:cs="Arial"/>
          <w:szCs w:val="22"/>
        </w:rPr>
        <w:t xml:space="preserve">El monitoreo realizado por la </w:t>
      </w:r>
      <w:r w:rsidR="00DB76F9">
        <w:rPr>
          <w:rFonts w:cs="Arial"/>
          <w:szCs w:val="22"/>
        </w:rPr>
        <w:t>segunda</w:t>
      </w:r>
      <w:r>
        <w:rPr>
          <w:rFonts w:cs="Arial"/>
          <w:szCs w:val="22"/>
        </w:rPr>
        <w:t xml:space="preserve"> línea de defensa en algunos casos </w:t>
      </w:r>
      <w:r w:rsidR="00DB76F9">
        <w:rPr>
          <w:rFonts w:cs="Arial"/>
          <w:szCs w:val="22"/>
        </w:rPr>
        <w:t xml:space="preserve">se enfoca en corroborar que lo mencionado por la primera línea de defensa en </w:t>
      </w:r>
      <w:r w:rsidR="005E071D">
        <w:rPr>
          <w:rFonts w:cs="Arial"/>
          <w:szCs w:val="22"/>
        </w:rPr>
        <w:t>su reporte</w:t>
      </w:r>
      <w:r w:rsidR="00DB76F9">
        <w:rPr>
          <w:rFonts w:cs="Arial"/>
          <w:szCs w:val="22"/>
        </w:rPr>
        <w:t xml:space="preserve"> esté soportado, sin</w:t>
      </w:r>
      <w:r>
        <w:rPr>
          <w:rFonts w:cs="Arial"/>
          <w:szCs w:val="22"/>
        </w:rPr>
        <w:t xml:space="preserve"> </w:t>
      </w:r>
      <w:r w:rsidR="00DB76F9">
        <w:rPr>
          <w:rFonts w:cs="Arial"/>
          <w:szCs w:val="22"/>
        </w:rPr>
        <w:t>verificar si los soportes realmente corresponden al control o a la acción de mitigación.</w:t>
      </w:r>
    </w:p>
    <w:p w14:paraId="73202A0B" w14:textId="33F9CCED" w:rsidR="007E187A" w:rsidRPr="00CF27CA" w:rsidRDefault="007E187A" w:rsidP="00CF27CA">
      <w:pPr>
        <w:rPr>
          <w:rFonts w:cs="Arial"/>
          <w:b/>
        </w:rPr>
      </w:pPr>
    </w:p>
    <w:p w14:paraId="11376D5A" w14:textId="77777777" w:rsidR="007E187A" w:rsidRPr="007E187A" w:rsidRDefault="007E187A" w:rsidP="007E187A">
      <w:pPr>
        <w:pStyle w:val="Prrafodelista"/>
        <w:rPr>
          <w:rFonts w:cs="Arial"/>
          <w:b/>
        </w:rPr>
      </w:pPr>
    </w:p>
    <w:p w14:paraId="53F88F30" w14:textId="77777777" w:rsidR="007E187A" w:rsidRPr="007E187A" w:rsidRDefault="007E187A" w:rsidP="007E187A">
      <w:pPr>
        <w:pStyle w:val="Prrafodelista"/>
        <w:numPr>
          <w:ilvl w:val="0"/>
          <w:numId w:val="8"/>
        </w:numPr>
        <w:jc w:val="center"/>
        <w:rPr>
          <w:rFonts w:cs="Arial"/>
          <w:b/>
        </w:rPr>
      </w:pPr>
      <w:r w:rsidRPr="007E187A">
        <w:rPr>
          <w:rFonts w:cs="Arial"/>
          <w:b/>
        </w:rPr>
        <w:t>NO CONFORMIDADES DETECTADAS</w:t>
      </w:r>
    </w:p>
    <w:p w14:paraId="30F28651" w14:textId="46CE229F" w:rsidR="007E187A" w:rsidRDefault="007E187A" w:rsidP="00F9037A">
      <w:pPr>
        <w:pStyle w:val="Prrafodelista"/>
        <w:jc w:val="both"/>
        <w:rPr>
          <w:rFonts w:cs="Arial"/>
          <w:b/>
        </w:rPr>
      </w:pPr>
    </w:p>
    <w:p w14:paraId="66B2BDF8" w14:textId="2F8CDD04" w:rsidR="00CF27CA" w:rsidRDefault="00CF27CA" w:rsidP="00E32D9A">
      <w:pPr>
        <w:numPr>
          <w:ilvl w:val="0"/>
          <w:numId w:val="15"/>
        </w:numPr>
        <w:overflowPunct w:val="0"/>
        <w:autoSpaceDE w:val="0"/>
        <w:autoSpaceDN w:val="0"/>
        <w:adjustRightInd w:val="0"/>
        <w:ind w:left="426"/>
        <w:jc w:val="both"/>
        <w:textAlignment w:val="baseline"/>
        <w:rPr>
          <w:rFonts w:cs="Arial"/>
          <w:szCs w:val="22"/>
        </w:rPr>
      </w:pPr>
      <w:r w:rsidRPr="008705E0">
        <w:rPr>
          <w:rFonts w:cs="Arial"/>
          <w:szCs w:val="22"/>
        </w:rPr>
        <w:t>Falta de monitoreo a los controles o acciones de mitigació</w:t>
      </w:r>
      <w:r w:rsidR="00DB76F9">
        <w:rPr>
          <w:rFonts w:cs="Arial"/>
          <w:szCs w:val="22"/>
        </w:rPr>
        <w:t>n por parte de algunos</w:t>
      </w:r>
      <w:r>
        <w:rPr>
          <w:rFonts w:cs="Arial"/>
          <w:szCs w:val="22"/>
        </w:rPr>
        <w:t xml:space="preserve"> </w:t>
      </w:r>
      <w:r w:rsidR="00DB76F9">
        <w:rPr>
          <w:rFonts w:cs="Arial"/>
          <w:szCs w:val="22"/>
        </w:rPr>
        <w:t>proceso</w:t>
      </w:r>
      <w:r>
        <w:rPr>
          <w:rFonts w:cs="Arial"/>
          <w:szCs w:val="22"/>
        </w:rPr>
        <w:t>s u omisión en la entrega de evidencias.</w:t>
      </w:r>
    </w:p>
    <w:p w14:paraId="1D107FFA" w14:textId="77777777" w:rsidR="00FF7216" w:rsidRPr="008705E0" w:rsidRDefault="00FF7216" w:rsidP="00DB76F9">
      <w:pPr>
        <w:overflowPunct w:val="0"/>
        <w:autoSpaceDE w:val="0"/>
        <w:autoSpaceDN w:val="0"/>
        <w:adjustRightInd w:val="0"/>
        <w:jc w:val="both"/>
        <w:textAlignment w:val="baseline"/>
        <w:rPr>
          <w:rFonts w:cs="Arial"/>
          <w:szCs w:val="22"/>
        </w:rPr>
      </w:pPr>
    </w:p>
    <w:p w14:paraId="33D672A0" w14:textId="77777777" w:rsidR="00FF7216" w:rsidRPr="00604D7B" w:rsidRDefault="00FF7216" w:rsidP="00604D7B">
      <w:pPr>
        <w:rPr>
          <w:rFonts w:cs="Arial"/>
          <w:b/>
        </w:rPr>
      </w:pPr>
    </w:p>
    <w:p w14:paraId="631792E0" w14:textId="77777777" w:rsidR="007E187A" w:rsidRPr="007E187A" w:rsidRDefault="007E187A" w:rsidP="007E187A">
      <w:pPr>
        <w:pStyle w:val="Prrafodelista"/>
        <w:numPr>
          <w:ilvl w:val="0"/>
          <w:numId w:val="8"/>
        </w:numPr>
        <w:jc w:val="center"/>
        <w:rPr>
          <w:rFonts w:cs="Arial"/>
          <w:b/>
        </w:rPr>
      </w:pPr>
      <w:r w:rsidRPr="007E187A">
        <w:rPr>
          <w:rFonts w:cs="Arial"/>
          <w:b/>
        </w:rPr>
        <w:t>CONCLUSIÓN GENERAL</w:t>
      </w:r>
    </w:p>
    <w:p w14:paraId="1A6A7B79" w14:textId="77777777" w:rsidR="007E187A" w:rsidRPr="007E187A" w:rsidRDefault="007E187A" w:rsidP="007E187A">
      <w:pPr>
        <w:pStyle w:val="Prrafodelista"/>
        <w:rPr>
          <w:rFonts w:cs="Arial"/>
          <w:b/>
        </w:rPr>
      </w:pPr>
    </w:p>
    <w:p w14:paraId="3F73417E" w14:textId="52F54F3B" w:rsidR="00CF27CA" w:rsidRPr="00DB76F9" w:rsidRDefault="00CF27CA" w:rsidP="00CF27CA">
      <w:pPr>
        <w:jc w:val="both"/>
        <w:rPr>
          <w:rFonts w:cs="Arial"/>
          <w:szCs w:val="22"/>
        </w:rPr>
      </w:pPr>
      <w:r w:rsidRPr="00DB76F9">
        <w:rPr>
          <w:rFonts w:cs="Arial"/>
          <w:szCs w:val="22"/>
        </w:rPr>
        <w:t xml:space="preserve">La entidad </w:t>
      </w:r>
      <w:r w:rsidR="00DB76F9" w:rsidRPr="00DB76F9">
        <w:rPr>
          <w:rFonts w:cs="Arial"/>
          <w:szCs w:val="22"/>
        </w:rPr>
        <w:t>decidió mantener la</w:t>
      </w:r>
      <w:r w:rsidRPr="00DB76F9">
        <w:rPr>
          <w:rFonts w:cs="Arial"/>
          <w:szCs w:val="22"/>
        </w:rPr>
        <w:t xml:space="preserve"> matriz de riesgos de gestión y corrupción</w:t>
      </w:r>
      <w:r w:rsidR="00DB76F9" w:rsidRPr="00DB76F9">
        <w:rPr>
          <w:rFonts w:cs="Arial"/>
          <w:szCs w:val="22"/>
        </w:rPr>
        <w:t xml:space="preserve"> de la vigencia 2020</w:t>
      </w:r>
      <w:r w:rsidRPr="00DB76F9">
        <w:rPr>
          <w:rFonts w:cs="Arial"/>
          <w:szCs w:val="22"/>
        </w:rPr>
        <w:t xml:space="preserve">, </w:t>
      </w:r>
      <w:r w:rsidR="00DB76F9" w:rsidRPr="00DB76F9">
        <w:rPr>
          <w:rFonts w:cs="Arial"/>
          <w:szCs w:val="22"/>
        </w:rPr>
        <w:t>mientras se actualizan los lineamientos para construir la de la vigencia 2021. Por lo tanto, es importante tener en cuenta que si bien se viene evidenciando</w:t>
      </w:r>
      <w:r w:rsidRPr="00DB76F9">
        <w:rPr>
          <w:rFonts w:cs="Arial"/>
          <w:szCs w:val="22"/>
        </w:rPr>
        <w:t xml:space="preserve"> un avance significativo en la identificación, construcción y seguimiento de los riesgos, persisten algunas debilidades tanto en su definición como en su ejecución, situaciones que se espera puedan ser superadas, atendiendo </w:t>
      </w:r>
      <w:r w:rsidR="00DB76F9" w:rsidRPr="00DB76F9">
        <w:rPr>
          <w:rFonts w:cs="Arial"/>
          <w:szCs w:val="22"/>
        </w:rPr>
        <w:t xml:space="preserve">los nuevos lineamientos y </w:t>
      </w:r>
      <w:r w:rsidRPr="00DB76F9">
        <w:rPr>
          <w:rFonts w:cs="Arial"/>
          <w:szCs w:val="22"/>
        </w:rPr>
        <w:t xml:space="preserve">las recomendaciones producidas del monitoreo efectuado por la segunda línea de defensa y de la evaluación independiente de la tercera línea de defensa. </w:t>
      </w:r>
    </w:p>
    <w:p w14:paraId="020F95E5" w14:textId="77777777" w:rsidR="007E187A" w:rsidRPr="00CF27CA" w:rsidRDefault="007E187A" w:rsidP="00CF27CA">
      <w:pPr>
        <w:rPr>
          <w:rFonts w:cs="Arial"/>
          <w:b/>
        </w:rPr>
      </w:pPr>
    </w:p>
    <w:p w14:paraId="2AF629DD" w14:textId="77777777" w:rsidR="007E187A" w:rsidRPr="007E187A" w:rsidRDefault="007E187A" w:rsidP="007E187A">
      <w:pPr>
        <w:pStyle w:val="Prrafodelista"/>
        <w:rPr>
          <w:rFonts w:cs="Arial"/>
          <w:b/>
        </w:rPr>
      </w:pPr>
    </w:p>
    <w:p w14:paraId="40B0DB8E" w14:textId="77777777" w:rsidR="007E187A" w:rsidRPr="007E187A" w:rsidRDefault="007E187A" w:rsidP="007E187A">
      <w:pPr>
        <w:pStyle w:val="Prrafodelista"/>
        <w:numPr>
          <w:ilvl w:val="0"/>
          <w:numId w:val="8"/>
        </w:numPr>
        <w:jc w:val="center"/>
        <w:rPr>
          <w:rFonts w:cs="Arial"/>
          <w:b/>
        </w:rPr>
      </w:pPr>
      <w:r w:rsidRPr="007E187A">
        <w:rPr>
          <w:rFonts w:cs="Arial"/>
          <w:b/>
        </w:rPr>
        <w:t>RECOMENDACIONES</w:t>
      </w:r>
    </w:p>
    <w:p w14:paraId="467E9397" w14:textId="77777777" w:rsidR="007E187A" w:rsidRPr="007E187A" w:rsidRDefault="007E187A" w:rsidP="007E187A">
      <w:pPr>
        <w:jc w:val="both"/>
        <w:rPr>
          <w:rFonts w:cs="Arial"/>
          <w:b/>
        </w:rPr>
      </w:pPr>
    </w:p>
    <w:p w14:paraId="30067B79" w14:textId="49436724" w:rsidR="00CF27CA" w:rsidRPr="00140B47" w:rsidRDefault="00140B47" w:rsidP="00A522B9">
      <w:pPr>
        <w:numPr>
          <w:ilvl w:val="0"/>
          <w:numId w:val="19"/>
        </w:numPr>
        <w:overflowPunct w:val="0"/>
        <w:autoSpaceDE w:val="0"/>
        <w:autoSpaceDN w:val="0"/>
        <w:adjustRightInd w:val="0"/>
        <w:ind w:left="426"/>
        <w:jc w:val="both"/>
        <w:textAlignment w:val="baseline"/>
        <w:rPr>
          <w:rFonts w:cs="Arial"/>
          <w:szCs w:val="22"/>
        </w:rPr>
      </w:pPr>
      <w:r w:rsidRPr="00140B47">
        <w:rPr>
          <w:rFonts w:cs="Arial"/>
          <w:szCs w:val="22"/>
        </w:rPr>
        <w:t>Actualiz</w:t>
      </w:r>
      <w:r w:rsidR="00CF27CA" w:rsidRPr="00140B47">
        <w:rPr>
          <w:rFonts w:cs="Arial"/>
          <w:szCs w:val="22"/>
        </w:rPr>
        <w:t xml:space="preserve">ar los riesgos de </w:t>
      </w:r>
      <w:r w:rsidRPr="00140B47">
        <w:rPr>
          <w:rFonts w:cs="Arial"/>
          <w:szCs w:val="22"/>
        </w:rPr>
        <w:t xml:space="preserve">gestión y corrupción de </w:t>
      </w:r>
      <w:r w:rsidR="00CF27CA" w:rsidRPr="00140B47">
        <w:rPr>
          <w:rFonts w:cs="Arial"/>
          <w:szCs w:val="22"/>
        </w:rPr>
        <w:t>acuerdo con</w:t>
      </w:r>
      <w:r w:rsidRPr="00140B47">
        <w:rPr>
          <w:rFonts w:cs="Arial"/>
          <w:szCs w:val="22"/>
        </w:rPr>
        <w:t xml:space="preserve"> los nuevos lineamientos y</w:t>
      </w:r>
      <w:r w:rsidR="00CF27CA" w:rsidRPr="00140B47">
        <w:rPr>
          <w:rFonts w:cs="Arial"/>
          <w:szCs w:val="22"/>
        </w:rPr>
        <w:t xml:space="preserve"> lo mencionado en </w:t>
      </w:r>
      <w:r w:rsidRPr="00140B47">
        <w:rPr>
          <w:rFonts w:cs="Arial"/>
          <w:szCs w:val="22"/>
        </w:rPr>
        <w:t>los diferentes informes realizados por la segunda y tercera línea de defensa</w:t>
      </w:r>
      <w:r w:rsidR="00CF27CA" w:rsidRPr="00140B47">
        <w:rPr>
          <w:rFonts w:cs="Arial"/>
          <w:szCs w:val="22"/>
        </w:rPr>
        <w:t>.</w:t>
      </w:r>
    </w:p>
    <w:p w14:paraId="03BB9333" w14:textId="7106992C" w:rsidR="00CF27CA" w:rsidRPr="00140B47" w:rsidRDefault="00140B47" w:rsidP="00A522B9">
      <w:pPr>
        <w:numPr>
          <w:ilvl w:val="0"/>
          <w:numId w:val="19"/>
        </w:numPr>
        <w:overflowPunct w:val="0"/>
        <w:autoSpaceDE w:val="0"/>
        <w:autoSpaceDN w:val="0"/>
        <w:adjustRightInd w:val="0"/>
        <w:ind w:left="426"/>
        <w:jc w:val="both"/>
        <w:textAlignment w:val="baseline"/>
        <w:rPr>
          <w:rFonts w:cs="Arial"/>
          <w:szCs w:val="22"/>
        </w:rPr>
      </w:pPr>
      <w:r w:rsidRPr="00140B47">
        <w:rPr>
          <w:rFonts w:cs="Arial"/>
          <w:szCs w:val="22"/>
        </w:rPr>
        <w:t>Continuar aportando</w:t>
      </w:r>
      <w:r w:rsidR="00CF27CA" w:rsidRPr="00140B47">
        <w:rPr>
          <w:rFonts w:cs="Arial"/>
          <w:szCs w:val="22"/>
        </w:rPr>
        <w:t xml:space="preserve"> las evidencias definidas tanto en los controles como en las acciones de mitigación, garantizando su </w:t>
      </w:r>
      <w:r w:rsidR="00FF7216" w:rsidRPr="00140B47">
        <w:rPr>
          <w:rFonts w:cs="Arial"/>
          <w:szCs w:val="22"/>
        </w:rPr>
        <w:t xml:space="preserve">organización y </w:t>
      </w:r>
      <w:r w:rsidR="00CF27CA" w:rsidRPr="00140B47">
        <w:rPr>
          <w:rFonts w:cs="Arial"/>
          <w:szCs w:val="22"/>
        </w:rPr>
        <w:t>disposición para cada riesgo y actividad</w:t>
      </w:r>
    </w:p>
    <w:p w14:paraId="0AD5F77E" w14:textId="77777777" w:rsidR="00CF27CA" w:rsidRPr="00140B47" w:rsidRDefault="00CF27CA" w:rsidP="00A522B9">
      <w:pPr>
        <w:numPr>
          <w:ilvl w:val="0"/>
          <w:numId w:val="19"/>
        </w:numPr>
        <w:overflowPunct w:val="0"/>
        <w:autoSpaceDE w:val="0"/>
        <w:autoSpaceDN w:val="0"/>
        <w:adjustRightInd w:val="0"/>
        <w:ind w:left="426"/>
        <w:jc w:val="both"/>
        <w:textAlignment w:val="baseline"/>
        <w:rPr>
          <w:rFonts w:cs="Arial"/>
          <w:szCs w:val="22"/>
        </w:rPr>
      </w:pPr>
      <w:r w:rsidRPr="00140B47">
        <w:rPr>
          <w:rFonts w:cs="Arial"/>
          <w:szCs w:val="22"/>
        </w:rPr>
        <w:t>Ejecutar plan de contingencia en los casos de materialización de riesgo y revalorar los riesgos de acuerdo con las nuevas circunstancias.</w:t>
      </w:r>
    </w:p>
    <w:p w14:paraId="4D8441B6" w14:textId="17B5C0E5" w:rsidR="00CF27CA" w:rsidRPr="00140B47" w:rsidRDefault="00CF27CA" w:rsidP="00A522B9">
      <w:pPr>
        <w:numPr>
          <w:ilvl w:val="0"/>
          <w:numId w:val="19"/>
        </w:numPr>
        <w:overflowPunct w:val="0"/>
        <w:autoSpaceDE w:val="0"/>
        <w:autoSpaceDN w:val="0"/>
        <w:adjustRightInd w:val="0"/>
        <w:ind w:left="426"/>
        <w:jc w:val="both"/>
        <w:textAlignment w:val="baseline"/>
        <w:rPr>
          <w:rFonts w:cs="Arial"/>
          <w:szCs w:val="22"/>
        </w:rPr>
      </w:pPr>
      <w:r w:rsidRPr="00140B47">
        <w:rPr>
          <w:rFonts w:cs="Arial"/>
          <w:szCs w:val="22"/>
        </w:rPr>
        <w:t xml:space="preserve">Adelantar el plan de mejoramiento para las No Conformidades identificadas en el presente informe. </w:t>
      </w:r>
    </w:p>
    <w:p w14:paraId="00F0F568" w14:textId="77777777" w:rsidR="007E187A" w:rsidRPr="007E187A" w:rsidRDefault="007E187A" w:rsidP="007E187A">
      <w:pPr>
        <w:jc w:val="both"/>
        <w:rPr>
          <w:rFonts w:cs="Arial"/>
          <w:b/>
        </w:rPr>
      </w:pPr>
    </w:p>
    <w:p w14:paraId="5BD31159" w14:textId="773543C5" w:rsidR="00B036B5" w:rsidRDefault="00B036B5" w:rsidP="00B036B5">
      <w:pPr>
        <w:jc w:val="both"/>
      </w:pPr>
    </w:p>
    <w:sectPr w:rsidR="00B036B5" w:rsidSect="002F1F7E">
      <w:headerReference w:type="default" r:id="rId8"/>
      <w:footerReference w:type="default" r:id="rId9"/>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1EBAE" w14:textId="77777777" w:rsidR="00636995" w:rsidRDefault="00636995" w:rsidP="00106E49">
      <w:r>
        <w:separator/>
      </w:r>
    </w:p>
  </w:endnote>
  <w:endnote w:type="continuationSeparator" w:id="0">
    <w:p w14:paraId="502E56EA" w14:textId="77777777" w:rsidR="00636995" w:rsidRDefault="00636995" w:rsidP="0010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uerpo en alf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de3of9">
    <w:altName w:val="Calibri"/>
    <w:panose1 w:val="00000000000000000000"/>
    <w:charset w:val="00"/>
    <w:family w:val="auto"/>
    <w:pitch w:val="variable"/>
    <w:sig w:usb0="00000003" w:usb1="00000000" w:usb2="00000000" w:usb3="00000000" w:csb0="00000001" w:csb1="00000000"/>
  </w:font>
  <w:font w:name="Andale Sans UI">
    <w:panose1 w:val="00000000000000000000"/>
    <w:charset w:val="00"/>
    <w:family w:val="roman"/>
    <w:notTrueType/>
    <w:pitch w:val="default"/>
  </w:font>
  <w:font w:name="Lucidasans, '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536069" w14:paraId="4649E5C5" w14:textId="77777777" w:rsidTr="00455B38">
      <w:tc>
        <w:tcPr>
          <w:tcW w:w="2942" w:type="dxa"/>
        </w:tcPr>
        <w:p w14:paraId="5B4A80BF" w14:textId="260E9B2A" w:rsidR="00536069" w:rsidRPr="00455B38" w:rsidRDefault="00536069" w:rsidP="001D2412">
          <w:pPr>
            <w:pStyle w:val="Piedepgina"/>
            <w:rPr>
              <w:sz w:val="18"/>
              <w:szCs w:val="18"/>
            </w:rPr>
          </w:pPr>
          <w:r>
            <w:rPr>
              <w:sz w:val="18"/>
              <w:szCs w:val="18"/>
            </w:rPr>
            <w:t>Versión 03</w:t>
          </w:r>
          <w:r w:rsidRPr="00455B38">
            <w:rPr>
              <w:sz w:val="18"/>
              <w:szCs w:val="18"/>
            </w:rPr>
            <w:t xml:space="preserve">   3</w:t>
          </w:r>
          <w:r>
            <w:rPr>
              <w:sz w:val="18"/>
              <w:szCs w:val="18"/>
            </w:rPr>
            <w:t>1</w:t>
          </w:r>
          <w:r w:rsidRPr="00455B38">
            <w:rPr>
              <w:sz w:val="18"/>
              <w:szCs w:val="18"/>
            </w:rPr>
            <w:t>/</w:t>
          </w:r>
          <w:r>
            <w:rPr>
              <w:sz w:val="18"/>
              <w:szCs w:val="18"/>
            </w:rPr>
            <w:t>12</w:t>
          </w:r>
          <w:r w:rsidRPr="00455B38">
            <w:rPr>
              <w:sz w:val="18"/>
              <w:szCs w:val="18"/>
            </w:rPr>
            <w:t>/2020</w:t>
          </w:r>
        </w:p>
      </w:tc>
      <w:tc>
        <w:tcPr>
          <w:tcW w:w="2943" w:type="dxa"/>
        </w:tcPr>
        <w:p w14:paraId="543A11A7" w14:textId="77777777" w:rsidR="00536069" w:rsidRDefault="00536069">
          <w:pPr>
            <w:pStyle w:val="Piedepgina"/>
          </w:pPr>
        </w:p>
      </w:tc>
      <w:tc>
        <w:tcPr>
          <w:tcW w:w="2943" w:type="dxa"/>
        </w:tcPr>
        <w:p w14:paraId="52C40D95" w14:textId="77777777" w:rsidR="00536069" w:rsidRDefault="00536069">
          <w:pPr>
            <w:pStyle w:val="Piedepgina"/>
          </w:pPr>
        </w:p>
      </w:tc>
    </w:tr>
  </w:tbl>
  <w:p w14:paraId="5B4AE9E1" w14:textId="77777777" w:rsidR="00536069" w:rsidRPr="00455B38" w:rsidRDefault="00536069" w:rsidP="00455B38">
    <w:pPr>
      <w:pStyle w:val="Piedepgina"/>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4D687" w14:textId="77777777" w:rsidR="00636995" w:rsidRDefault="00636995" w:rsidP="00106E49">
      <w:r>
        <w:separator/>
      </w:r>
    </w:p>
  </w:footnote>
  <w:footnote w:type="continuationSeparator" w:id="0">
    <w:p w14:paraId="00B2244F" w14:textId="77777777" w:rsidR="00636995" w:rsidRDefault="00636995" w:rsidP="00106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ayout w:type="fixed"/>
      <w:tblLook w:val="04A0" w:firstRow="1" w:lastRow="0" w:firstColumn="1" w:lastColumn="0" w:noHBand="0" w:noVBand="1"/>
    </w:tblPr>
    <w:tblGrid>
      <w:gridCol w:w="1412"/>
      <w:gridCol w:w="4395"/>
      <w:gridCol w:w="3021"/>
    </w:tblGrid>
    <w:tr w:rsidR="00536069" w14:paraId="17F55E8E" w14:textId="77777777" w:rsidTr="00F1402C">
      <w:trPr>
        <w:trHeight w:val="268"/>
      </w:trPr>
      <w:tc>
        <w:tcPr>
          <w:tcW w:w="800" w:type="pct"/>
          <w:vMerge w:val="restart"/>
          <w:vAlign w:val="center"/>
        </w:tcPr>
        <w:p w14:paraId="7FFF3766" w14:textId="301B7BC8" w:rsidR="00536069" w:rsidRDefault="00536069" w:rsidP="00455B38">
          <w:pPr>
            <w:pStyle w:val="Encabezado"/>
            <w:jc w:val="center"/>
          </w:pPr>
          <w:r>
            <w:rPr>
              <w:noProof/>
              <w:lang w:eastAsia="es-CO"/>
            </w:rPr>
            <w:drawing>
              <wp:inline distT="0" distB="0" distL="0" distR="0" wp14:anchorId="296869BF" wp14:editId="0EE6423E">
                <wp:extent cx="775970" cy="672465"/>
                <wp:effectExtent l="0" t="0" r="0" b="635"/>
                <wp:docPr id="6" name="image1.jpg" descr="Descripción: IDPCBYN"/>
                <wp:cNvGraphicFramePr/>
                <a:graphic xmlns:a="http://schemas.openxmlformats.org/drawingml/2006/main">
                  <a:graphicData uri="http://schemas.openxmlformats.org/drawingml/2006/picture">
                    <pic:pic xmlns:pic="http://schemas.openxmlformats.org/drawingml/2006/picture">
                      <pic:nvPicPr>
                        <pic:cNvPr id="0" name="image1.jpg" descr="Descripción: IDPCBYN"/>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75970" cy="672465"/>
                        </a:xfrm>
                        <a:prstGeom prst="rect">
                          <a:avLst/>
                        </a:prstGeom>
                        <a:ln/>
                      </pic:spPr>
                    </pic:pic>
                  </a:graphicData>
                </a:graphic>
              </wp:inline>
            </w:drawing>
          </w:r>
        </w:p>
      </w:tc>
      <w:tc>
        <w:tcPr>
          <w:tcW w:w="2489" w:type="pct"/>
          <w:vAlign w:val="center"/>
        </w:tcPr>
        <w:p w14:paraId="7CFD37E4" w14:textId="6B6BB5CD" w:rsidR="00536069" w:rsidRPr="002F1F7E" w:rsidRDefault="00536069" w:rsidP="00455B38">
          <w:pPr>
            <w:pStyle w:val="Encabezado"/>
            <w:jc w:val="center"/>
            <w:rPr>
              <w:b/>
              <w:bCs/>
              <w:sz w:val="18"/>
              <w:szCs w:val="18"/>
            </w:rPr>
          </w:pPr>
          <w:r w:rsidRPr="002F1F7E">
            <w:rPr>
              <w:b/>
              <w:bCs/>
              <w:sz w:val="18"/>
              <w:szCs w:val="18"/>
            </w:rPr>
            <w:t>INSTITUTO DISTRITAL DE PATRIMONIO CULTURAL</w:t>
          </w:r>
        </w:p>
      </w:tc>
      <w:tc>
        <w:tcPr>
          <w:tcW w:w="1711" w:type="pct"/>
          <w:vMerge w:val="restart"/>
          <w:vAlign w:val="center"/>
        </w:tcPr>
        <w:p w14:paraId="22B738FF" w14:textId="77777777" w:rsidR="00536069" w:rsidRPr="00C2554A" w:rsidRDefault="00536069" w:rsidP="00455B38">
          <w:pPr>
            <w:pStyle w:val="Encabezamiento"/>
            <w:jc w:val="right"/>
            <w:rPr>
              <w:rFonts w:ascii="Code3of9" w:eastAsia="Andale Sans UI" w:hAnsi="Code3of9" w:cs="Lucidasans, 'Times New Roman'"/>
              <w:sz w:val="28"/>
              <w:szCs w:val="28"/>
              <w:lang w:val="en-US"/>
            </w:rPr>
          </w:pPr>
          <w:r w:rsidRPr="00C2554A">
            <w:rPr>
              <w:rFonts w:ascii="Code3of9" w:eastAsia="Andale Sans UI" w:hAnsi="Code3of9" w:cs="Lucidasans, 'Times New Roman'"/>
              <w:sz w:val="28"/>
              <w:szCs w:val="28"/>
              <w:lang w:val="en-US"/>
            </w:rPr>
            <w:t>*20211200081363*</w:t>
          </w:r>
        </w:p>
        <w:p w14:paraId="6A124EDA" w14:textId="375563B4" w:rsidR="00536069" w:rsidRDefault="00536069" w:rsidP="00455B38">
          <w:pPr>
            <w:pStyle w:val="Sinespaciado"/>
            <w:jc w:val="right"/>
            <w:rPr>
              <w:rFonts w:ascii="Times New Roman" w:eastAsia="Times New Roman" w:hAnsi="Times New Roman" w:cs="Times New Roman"/>
              <w:sz w:val="16"/>
              <w:szCs w:val="16"/>
              <w:lang w:val="en-US"/>
            </w:rPr>
          </w:pPr>
          <w:r w:rsidRPr="00645334">
            <w:rPr>
              <w:rFonts w:ascii="Arial" w:eastAsia="Times New Roman" w:hAnsi="Arial" w:cs="Arial"/>
              <w:sz w:val="16"/>
              <w:szCs w:val="16"/>
              <w:lang w:val="en-US"/>
            </w:rPr>
            <w:t>Radicado:</w:t>
          </w:r>
          <w:r>
            <w:rPr>
              <w:rFonts w:ascii="Times New Roman" w:eastAsia="Times New Roman" w:hAnsi="Times New Roman" w:cs="Times New Roman"/>
              <w:sz w:val="16"/>
              <w:szCs w:val="16"/>
              <w:lang w:val="en-US"/>
            </w:rPr>
            <w:t xml:space="preserve"> </w:t>
          </w:r>
          <w:r>
            <w:rPr>
              <w:rFonts w:ascii="Arial" w:eastAsia="Times New Roman" w:hAnsi="Arial" w:cs="Times New Roman"/>
              <w:b/>
              <w:bCs/>
              <w:sz w:val="20"/>
              <w:szCs w:val="20"/>
              <w:lang w:val="en-US"/>
            </w:rPr>
            <w:t>20211200081363</w:t>
          </w:r>
        </w:p>
        <w:p w14:paraId="5B67E539" w14:textId="77777777" w:rsidR="00536069" w:rsidRDefault="00536069" w:rsidP="00455B38">
          <w:pPr>
            <w:pStyle w:val="Sinespaciado"/>
            <w:jc w:val="right"/>
            <w:rPr>
              <w:rFonts w:ascii="Arial" w:eastAsia="Times New Roman" w:hAnsi="Arial" w:cs="Times New Roman"/>
              <w:sz w:val="20"/>
              <w:szCs w:val="20"/>
              <w:lang w:val="en-US"/>
            </w:rPr>
          </w:pPr>
          <w:r w:rsidRPr="00645334">
            <w:rPr>
              <w:rFonts w:ascii="Arial" w:eastAsia="Times New Roman" w:hAnsi="Arial" w:cs="Times New Roman"/>
              <w:sz w:val="16"/>
              <w:szCs w:val="16"/>
              <w:lang w:val="en-US"/>
            </w:rPr>
            <w:t xml:space="preserve">Fecha: </w:t>
          </w:r>
          <w:r>
            <w:rPr>
              <w:rFonts w:ascii="Arial" w:eastAsia="Times New Roman" w:hAnsi="Arial" w:cs="Times New Roman"/>
              <w:sz w:val="20"/>
              <w:szCs w:val="20"/>
              <w:lang w:val="en-US"/>
            </w:rPr>
            <w:t>14-05-2021</w:t>
          </w:r>
        </w:p>
        <w:p w14:paraId="19561F24" w14:textId="3BD1A85B" w:rsidR="00536069" w:rsidRDefault="00536069" w:rsidP="00455B38">
          <w:pPr>
            <w:pStyle w:val="Encabezado"/>
            <w:jc w:val="right"/>
          </w:pPr>
          <w:r w:rsidRPr="006C56C7">
            <w:rPr>
              <w:rFonts w:cs="Arial"/>
              <w:sz w:val="18"/>
              <w:szCs w:val="18"/>
              <w:lang w:val="en-US"/>
            </w:rPr>
            <w:t xml:space="preserve">Pág. </w:t>
          </w:r>
          <w:r w:rsidRPr="006C56C7">
            <w:rPr>
              <w:rFonts w:cs="Arial"/>
              <w:sz w:val="18"/>
              <w:szCs w:val="18"/>
              <w:lang w:val="en-US"/>
            </w:rPr>
            <w:fldChar w:fldCharType="begin"/>
          </w:r>
          <w:r w:rsidRPr="006C56C7">
            <w:rPr>
              <w:rFonts w:cs="Arial"/>
              <w:sz w:val="18"/>
              <w:szCs w:val="18"/>
            </w:rPr>
            <w:instrText>PAGE</w:instrText>
          </w:r>
          <w:r w:rsidRPr="006C56C7">
            <w:rPr>
              <w:rFonts w:cs="Arial"/>
              <w:sz w:val="18"/>
              <w:szCs w:val="18"/>
            </w:rPr>
            <w:fldChar w:fldCharType="separate"/>
          </w:r>
          <w:r w:rsidR="009B6667">
            <w:rPr>
              <w:rFonts w:cs="Arial"/>
              <w:noProof/>
              <w:sz w:val="18"/>
              <w:szCs w:val="18"/>
            </w:rPr>
            <w:t>1</w:t>
          </w:r>
          <w:r w:rsidRPr="006C56C7">
            <w:rPr>
              <w:rFonts w:cs="Arial"/>
              <w:sz w:val="18"/>
              <w:szCs w:val="18"/>
            </w:rPr>
            <w:fldChar w:fldCharType="end"/>
          </w:r>
          <w:r w:rsidRPr="006C56C7">
            <w:rPr>
              <w:rFonts w:cs="Arial"/>
              <w:sz w:val="18"/>
              <w:szCs w:val="18"/>
              <w:lang w:val="en-US"/>
            </w:rPr>
            <w:t xml:space="preserve"> de </w:t>
          </w:r>
          <w:r w:rsidRPr="006C56C7">
            <w:rPr>
              <w:rFonts w:cs="Arial"/>
              <w:sz w:val="18"/>
              <w:szCs w:val="18"/>
              <w:lang w:val="en-US"/>
            </w:rPr>
            <w:fldChar w:fldCharType="begin"/>
          </w:r>
          <w:r w:rsidRPr="006C56C7">
            <w:rPr>
              <w:rFonts w:cs="Arial"/>
              <w:sz w:val="18"/>
              <w:szCs w:val="18"/>
            </w:rPr>
            <w:instrText>NUMPAGES</w:instrText>
          </w:r>
          <w:r w:rsidRPr="006C56C7">
            <w:rPr>
              <w:rFonts w:cs="Arial"/>
              <w:sz w:val="18"/>
              <w:szCs w:val="18"/>
            </w:rPr>
            <w:fldChar w:fldCharType="separate"/>
          </w:r>
          <w:r w:rsidR="009B6667">
            <w:rPr>
              <w:rFonts w:cs="Arial"/>
              <w:noProof/>
              <w:sz w:val="18"/>
              <w:szCs w:val="18"/>
            </w:rPr>
            <w:t>12</w:t>
          </w:r>
          <w:r w:rsidRPr="006C56C7">
            <w:rPr>
              <w:rFonts w:cs="Arial"/>
              <w:sz w:val="18"/>
              <w:szCs w:val="18"/>
            </w:rPr>
            <w:fldChar w:fldCharType="end"/>
          </w:r>
        </w:p>
      </w:tc>
    </w:tr>
    <w:tr w:rsidR="00536069" w14:paraId="08F8725E" w14:textId="77777777" w:rsidTr="00F1402C">
      <w:trPr>
        <w:trHeight w:val="343"/>
      </w:trPr>
      <w:tc>
        <w:tcPr>
          <w:tcW w:w="800" w:type="pct"/>
          <w:vMerge/>
          <w:vAlign w:val="center"/>
        </w:tcPr>
        <w:p w14:paraId="657EB559" w14:textId="77777777" w:rsidR="00536069" w:rsidRDefault="00536069" w:rsidP="00455B38">
          <w:pPr>
            <w:pStyle w:val="Encabezado"/>
            <w:jc w:val="center"/>
          </w:pPr>
        </w:p>
      </w:tc>
      <w:tc>
        <w:tcPr>
          <w:tcW w:w="2489" w:type="pct"/>
          <w:vAlign w:val="center"/>
        </w:tcPr>
        <w:p w14:paraId="48FFF810" w14:textId="1FEBDBD4" w:rsidR="00536069" w:rsidRPr="002F1F7E" w:rsidRDefault="00536069" w:rsidP="00455B38">
          <w:pPr>
            <w:pStyle w:val="Encabezado"/>
            <w:jc w:val="center"/>
            <w:rPr>
              <w:b/>
              <w:bCs/>
              <w:sz w:val="18"/>
              <w:szCs w:val="18"/>
            </w:rPr>
          </w:pPr>
          <w:r>
            <w:rPr>
              <w:b/>
              <w:bCs/>
              <w:sz w:val="18"/>
              <w:szCs w:val="18"/>
            </w:rPr>
            <w:t>PROCESO DE SEGUIMIENTO Y EVALUACIÓN</w:t>
          </w:r>
        </w:p>
      </w:tc>
      <w:tc>
        <w:tcPr>
          <w:tcW w:w="1711" w:type="pct"/>
          <w:vMerge/>
          <w:vAlign w:val="center"/>
        </w:tcPr>
        <w:p w14:paraId="1EDC6AC3" w14:textId="77777777" w:rsidR="00536069" w:rsidRDefault="00536069" w:rsidP="00455B38">
          <w:pPr>
            <w:pStyle w:val="Encabezado"/>
            <w:jc w:val="center"/>
          </w:pPr>
        </w:p>
      </w:tc>
    </w:tr>
    <w:tr w:rsidR="00536069" w14:paraId="3DC35361" w14:textId="77777777" w:rsidTr="00F1402C">
      <w:tc>
        <w:tcPr>
          <w:tcW w:w="800" w:type="pct"/>
          <w:vMerge/>
          <w:vAlign w:val="center"/>
        </w:tcPr>
        <w:p w14:paraId="581663E7" w14:textId="77777777" w:rsidR="00536069" w:rsidRDefault="00536069" w:rsidP="00455B38">
          <w:pPr>
            <w:pStyle w:val="Encabezado"/>
            <w:jc w:val="center"/>
          </w:pPr>
        </w:p>
      </w:tc>
      <w:tc>
        <w:tcPr>
          <w:tcW w:w="2489" w:type="pct"/>
          <w:vAlign w:val="center"/>
        </w:tcPr>
        <w:p w14:paraId="6E036EAE" w14:textId="216961A6" w:rsidR="00536069" w:rsidRPr="002F1F7E" w:rsidRDefault="00536069" w:rsidP="00455B38">
          <w:pPr>
            <w:pStyle w:val="Encabezado"/>
            <w:jc w:val="center"/>
            <w:rPr>
              <w:b/>
              <w:bCs/>
              <w:sz w:val="18"/>
              <w:szCs w:val="18"/>
            </w:rPr>
          </w:pPr>
          <w:r w:rsidRPr="0045782D">
            <w:rPr>
              <w:b/>
              <w:bCs/>
              <w:sz w:val="18"/>
              <w:szCs w:val="18"/>
            </w:rPr>
            <w:t>INFORME DE SEGUIMIENTO Y/O EVALUACIÓN</w:t>
          </w:r>
        </w:p>
      </w:tc>
      <w:tc>
        <w:tcPr>
          <w:tcW w:w="1711" w:type="pct"/>
          <w:vMerge/>
          <w:vAlign w:val="center"/>
        </w:tcPr>
        <w:p w14:paraId="14B9FA48" w14:textId="77777777" w:rsidR="00536069" w:rsidRDefault="00536069" w:rsidP="00455B38">
          <w:pPr>
            <w:pStyle w:val="Encabezado"/>
            <w:jc w:val="center"/>
          </w:pPr>
        </w:p>
      </w:tc>
    </w:tr>
  </w:tbl>
  <w:p w14:paraId="1D78BD1D" w14:textId="77777777" w:rsidR="00536069" w:rsidRDefault="005360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8E40"/>
      </v:shape>
    </w:pict>
  </w:numPicBullet>
  <w:abstractNum w:abstractNumId="0">
    <w:nsid w:val="1029172C"/>
    <w:multiLevelType w:val="hybridMultilevel"/>
    <w:tmpl w:val="6BD43844"/>
    <w:lvl w:ilvl="0" w:tplc="24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232EED"/>
    <w:multiLevelType w:val="hybridMultilevel"/>
    <w:tmpl w:val="06880EC8"/>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4F5F0A"/>
    <w:multiLevelType w:val="hybridMultilevel"/>
    <w:tmpl w:val="B7B8B398"/>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1C3873"/>
    <w:multiLevelType w:val="hybridMultilevel"/>
    <w:tmpl w:val="AECA25AC"/>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4847D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9093D4B"/>
    <w:multiLevelType w:val="hybridMultilevel"/>
    <w:tmpl w:val="C81EBA96"/>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966F4F"/>
    <w:multiLevelType w:val="hybridMultilevel"/>
    <w:tmpl w:val="511286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2434CEE"/>
    <w:multiLevelType w:val="hybridMultilevel"/>
    <w:tmpl w:val="0E78822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F995B7A"/>
    <w:multiLevelType w:val="hybridMultilevel"/>
    <w:tmpl w:val="6700E3BE"/>
    <w:lvl w:ilvl="0" w:tplc="24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78E34C2"/>
    <w:multiLevelType w:val="multilevel"/>
    <w:tmpl w:val="65ACE2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A7B5754"/>
    <w:multiLevelType w:val="hybridMultilevel"/>
    <w:tmpl w:val="80420C14"/>
    <w:lvl w:ilvl="0" w:tplc="D5DCF67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F411A97"/>
    <w:multiLevelType w:val="hybridMultilevel"/>
    <w:tmpl w:val="6CA44CB2"/>
    <w:lvl w:ilvl="0" w:tplc="24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FD82A49"/>
    <w:multiLevelType w:val="hybridMultilevel"/>
    <w:tmpl w:val="51E2A320"/>
    <w:lvl w:ilvl="0" w:tplc="0409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9AA6E9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F5E312D"/>
    <w:multiLevelType w:val="hybridMultilevel"/>
    <w:tmpl w:val="AF1C6F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3F1385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8540465"/>
    <w:multiLevelType w:val="hybridMultilevel"/>
    <w:tmpl w:val="8B026A26"/>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6A68D1"/>
    <w:multiLevelType w:val="hybridMultilevel"/>
    <w:tmpl w:val="D5D6106C"/>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F9E30E2"/>
    <w:multiLevelType w:val="hybridMultilevel"/>
    <w:tmpl w:val="FC5E3FD4"/>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7"/>
  </w:num>
  <w:num w:numId="4">
    <w:abstractNumId w:val="5"/>
  </w:num>
  <w:num w:numId="5">
    <w:abstractNumId w:val="18"/>
  </w:num>
  <w:num w:numId="6">
    <w:abstractNumId w:val="1"/>
  </w:num>
  <w:num w:numId="7">
    <w:abstractNumId w:val="6"/>
  </w:num>
  <w:num w:numId="8">
    <w:abstractNumId w:val="9"/>
  </w:num>
  <w:num w:numId="9">
    <w:abstractNumId w:val="10"/>
  </w:num>
  <w:num w:numId="10">
    <w:abstractNumId w:val="7"/>
  </w:num>
  <w:num w:numId="11">
    <w:abstractNumId w:val="3"/>
  </w:num>
  <w:num w:numId="12">
    <w:abstractNumId w:val="11"/>
  </w:num>
  <w:num w:numId="13">
    <w:abstractNumId w:val="12"/>
  </w:num>
  <w:num w:numId="14">
    <w:abstractNumId w:val="2"/>
  </w:num>
  <w:num w:numId="15">
    <w:abstractNumId w:val="8"/>
  </w:num>
  <w:num w:numId="16">
    <w:abstractNumId w:val="4"/>
  </w:num>
  <w:num w:numId="17">
    <w:abstractNumId w:val="15"/>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C5"/>
    <w:rsid w:val="00006EBC"/>
    <w:rsid w:val="00014E3D"/>
    <w:rsid w:val="00015EAC"/>
    <w:rsid w:val="0002208D"/>
    <w:rsid w:val="000324E2"/>
    <w:rsid w:val="00097C7B"/>
    <w:rsid w:val="000B182F"/>
    <w:rsid w:val="000D5E88"/>
    <w:rsid w:val="00101BEA"/>
    <w:rsid w:val="00106270"/>
    <w:rsid w:val="00106E49"/>
    <w:rsid w:val="00127B55"/>
    <w:rsid w:val="00140B47"/>
    <w:rsid w:val="001515F7"/>
    <w:rsid w:val="00155D05"/>
    <w:rsid w:val="00172F30"/>
    <w:rsid w:val="001B2E87"/>
    <w:rsid w:val="001C7249"/>
    <w:rsid w:val="001D2412"/>
    <w:rsid w:val="001F32F9"/>
    <w:rsid w:val="001F7174"/>
    <w:rsid w:val="00202A30"/>
    <w:rsid w:val="00204218"/>
    <w:rsid w:val="00224FC1"/>
    <w:rsid w:val="002474E0"/>
    <w:rsid w:val="00285799"/>
    <w:rsid w:val="002F1F7E"/>
    <w:rsid w:val="003000DC"/>
    <w:rsid w:val="0030531B"/>
    <w:rsid w:val="003501A9"/>
    <w:rsid w:val="0035684E"/>
    <w:rsid w:val="00360407"/>
    <w:rsid w:val="00367D78"/>
    <w:rsid w:val="003B27A5"/>
    <w:rsid w:val="003E1A8C"/>
    <w:rsid w:val="00404122"/>
    <w:rsid w:val="00406C1A"/>
    <w:rsid w:val="004156D2"/>
    <w:rsid w:val="0041697E"/>
    <w:rsid w:val="004338AD"/>
    <w:rsid w:val="004455DA"/>
    <w:rsid w:val="00455B38"/>
    <w:rsid w:val="0045782D"/>
    <w:rsid w:val="004808E3"/>
    <w:rsid w:val="00486E25"/>
    <w:rsid w:val="004B0C03"/>
    <w:rsid w:val="004D7495"/>
    <w:rsid w:val="005120D7"/>
    <w:rsid w:val="005238BC"/>
    <w:rsid w:val="00525FC9"/>
    <w:rsid w:val="00536069"/>
    <w:rsid w:val="00537660"/>
    <w:rsid w:val="005435CD"/>
    <w:rsid w:val="005A6903"/>
    <w:rsid w:val="005E071D"/>
    <w:rsid w:val="005E0991"/>
    <w:rsid w:val="005E5D95"/>
    <w:rsid w:val="005F3A04"/>
    <w:rsid w:val="00604D7B"/>
    <w:rsid w:val="006204E4"/>
    <w:rsid w:val="006214CF"/>
    <w:rsid w:val="006363D5"/>
    <w:rsid w:val="00636995"/>
    <w:rsid w:val="00642A0C"/>
    <w:rsid w:val="00643BBD"/>
    <w:rsid w:val="006718A6"/>
    <w:rsid w:val="006952F9"/>
    <w:rsid w:val="006C2F68"/>
    <w:rsid w:val="006D49C8"/>
    <w:rsid w:val="00707D21"/>
    <w:rsid w:val="00723931"/>
    <w:rsid w:val="007454F7"/>
    <w:rsid w:val="00753CE6"/>
    <w:rsid w:val="007A49B5"/>
    <w:rsid w:val="007B56AF"/>
    <w:rsid w:val="007C0848"/>
    <w:rsid w:val="007C126D"/>
    <w:rsid w:val="007C2A98"/>
    <w:rsid w:val="007D430F"/>
    <w:rsid w:val="007E0F88"/>
    <w:rsid w:val="007E168A"/>
    <w:rsid w:val="007E187A"/>
    <w:rsid w:val="007F3E08"/>
    <w:rsid w:val="00803FAF"/>
    <w:rsid w:val="00822561"/>
    <w:rsid w:val="00844A3B"/>
    <w:rsid w:val="00853E75"/>
    <w:rsid w:val="00863774"/>
    <w:rsid w:val="00867F05"/>
    <w:rsid w:val="00901100"/>
    <w:rsid w:val="00905914"/>
    <w:rsid w:val="00924045"/>
    <w:rsid w:val="009527AB"/>
    <w:rsid w:val="00955685"/>
    <w:rsid w:val="009B6667"/>
    <w:rsid w:val="009C49F3"/>
    <w:rsid w:val="009C5226"/>
    <w:rsid w:val="009D5B2B"/>
    <w:rsid w:val="009F0AB2"/>
    <w:rsid w:val="00A17F7E"/>
    <w:rsid w:val="00A40E7C"/>
    <w:rsid w:val="00A522B9"/>
    <w:rsid w:val="00A71E75"/>
    <w:rsid w:val="00AC1343"/>
    <w:rsid w:val="00AD5687"/>
    <w:rsid w:val="00AF3922"/>
    <w:rsid w:val="00B036B5"/>
    <w:rsid w:val="00B945A0"/>
    <w:rsid w:val="00BC673B"/>
    <w:rsid w:val="00BF4F7B"/>
    <w:rsid w:val="00BF5149"/>
    <w:rsid w:val="00C22852"/>
    <w:rsid w:val="00C3330C"/>
    <w:rsid w:val="00C56343"/>
    <w:rsid w:val="00C8025C"/>
    <w:rsid w:val="00C83D5F"/>
    <w:rsid w:val="00C97E7E"/>
    <w:rsid w:val="00CA7F8E"/>
    <w:rsid w:val="00CD417D"/>
    <w:rsid w:val="00CF27CA"/>
    <w:rsid w:val="00D15838"/>
    <w:rsid w:val="00D31523"/>
    <w:rsid w:val="00D35B8B"/>
    <w:rsid w:val="00D6538C"/>
    <w:rsid w:val="00D932C5"/>
    <w:rsid w:val="00DB76F9"/>
    <w:rsid w:val="00DD0965"/>
    <w:rsid w:val="00E16C6A"/>
    <w:rsid w:val="00E32D9A"/>
    <w:rsid w:val="00E60E2A"/>
    <w:rsid w:val="00E73C0A"/>
    <w:rsid w:val="00EA0BFF"/>
    <w:rsid w:val="00EB4145"/>
    <w:rsid w:val="00EF3DE4"/>
    <w:rsid w:val="00F1402C"/>
    <w:rsid w:val="00F30D5E"/>
    <w:rsid w:val="00F352BE"/>
    <w:rsid w:val="00F505A9"/>
    <w:rsid w:val="00F5759E"/>
    <w:rsid w:val="00F60994"/>
    <w:rsid w:val="00F66C98"/>
    <w:rsid w:val="00F9037A"/>
    <w:rsid w:val="00FB6689"/>
    <w:rsid w:val="00FD51E9"/>
    <w:rsid w:val="00FF72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0631E"/>
  <w15:chartTrackingRefBased/>
  <w15:docId w15:val="{89E199FD-06CC-D245-8FF6-92C4FF14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Cuerpo en alfa"/>
        <w:sz w:val="22"/>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B036B5"/>
    <w:pPr>
      <w:widowControl w:val="0"/>
      <w:autoSpaceDE w:val="0"/>
      <w:autoSpaceDN w:val="0"/>
      <w:ind w:left="837" w:hanging="360"/>
      <w:outlineLvl w:val="0"/>
    </w:pPr>
    <w:rPr>
      <w:rFonts w:eastAsia="Arial" w:cs="Arial"/>
      <w:b/>
      <w:bCs/>
      <w:sz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E49"/>
    <w:pPr>
      <w:tabs>
        <w:tab w:val="center" w:pos="4419"/>
        <w:tab w:val="right" w:pos="8838"/>
      </w:tabs>
    </w:pPr>
  </w:style>
  <w:style w:type="character" w:customStyle="1" w:styleId="EncabezadoCar">
    <w:name w:val="Encabezado Car"/>
    <w:basedOn w:val="Fuentedeprrafopredeter"/>
    <w:link w:val="Encabezado"/>
    <w:qFormat/>
    <w:rsid w:val="00106E49"/>
  </w:style>
  <w:style w:type="paragraph" w:styleId="Piedepgina">
    <w:name w:val="footer"/>
    <w:basedOn w:val="Normal"/>
    <w:link w:val="PiedepginaCar"/>
    <w:uiPriority w:val="99"/>
    <w:unhideWhenUsed/>
    <w:rsid w:val="00106E49"/>
    <w:pPr>
      <w:tabs>
        <w:tab w:val="center" w:pos="4419"/>
        <w:tab w:val="right" w:pos="8838"/>
      </w:tabs>
    </w:pPr>
  </w:style>
  <w:style w:type="character" w:customStyle="1" w:styleId="PiedepginaCar">
    <w:name w:val="Pie de página Car"/>
    <w:basedOn w:val="Fuentedeprrafopredeter"/>
    <w:link w:val="Piedepgina"/>
    <w:uiPriority w:val="99"/>
    <w:rsid w:val="00106E49"/>
  </w:style>
  <w:style w:type="table" w:styleId="Tablaconcuadrcula">
    <w:name w:val="Table Grid"/>
    <w:basedOn w:val="Tablanormal"/>
    <w:uiPriority w:val="39"/>
    <w:rsid w:val="00106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bezamiento">
    <w:name w:val="Encabezamiento"/>
    <w:basedOn w:val="Normal"/>
    <w:qFormat/>
    <w:rsid w:val="002F1F7E"/>
    <w:pPr>
      <w:widowControl w:val="0"/>
      <w:tabs>
        <w:tab w:val="center" w:pos="4252"/>
        <w:tab w:val="right" w:pos="8504"/>
      </w:tabs>
      <w:suppressAutoHyphens/>
      <w:spacing w:line="100" w:lineRule="atLeast"/>
    </w:pPr>
    <w:rPr>
      <w:rFonts w:ascii="Times New Roman" w:eastAsia="Arial Unicode MS" w:hAnsi="Times New Roman" w:cs="Tahoma"/>
      <w:color w:val="00000A"/>
      <w:sz w:val="24"/>
      <w:lang w:val="es-ES" w:eastAsia="es-CO"/>
    </w:rPr>
  </w:style>
  <w:style w:type="paragraph" w:styleId="Sinespaciado">
    <w:name w:val="No Spacing"/>
    <w:qFormat/>
    <w:rsid w:val="002F1F7E"/>
    <w:pPr>
      <w:suppressAutoHyphens/>
      <w:spacing w:line="100" w:lineRule="atLeast"/>
    </w:pPr>
    <w:rPr>
      <w:rFonts w:ascii="Calibri" w:eastAsia="Arial Unicode MS" w:hAnsi="Calibri" w:cs="Mangal"/>
      <w:color w:val="00000A"/>
      <w:szCs w:val="22"/>
      <w:lang w:eastAsia="es-CO"/>
    </w:rPr>
  </w:style>
  <w:style w:type="character" w:customStyle="1" w:styleId="Ttulo1Car">
    <w:name w:val="Título 1 Car"/>
    <w:basedOn w:val="Fuentedeprrafopredeter"/>
    <w:link w:val="Ttulo1"/>
    <w:uiPriority w:val="1"/>
    <w:rsid w:val="00B036B5"/>
    <w:rPr>
      <w:rFonts w:eastAsia="Arial" w:cs="Arial"/>
      <w:b/>
      <w:bCs/>
      <w:sz w:val="24"/>
      <w:lang w:val="es-ES" w:eastAsia="es-ES" w:bidi="es-ES"/>
    </w:rPr>
  </w:style>
  <w:style w:type="paragraph" w:styleId="Prrafodelista">
    <w:name w:val="List Paragraph"/>
    <w:aliases w:val="Bullet List,FooterText,numbered,List Paragraph1,Paragraphe de liste1,lp1,List Paragraph"/>
    <w:basedOn w:val="Normal"/>
    <w:link w:val="PrrafodelistaCar"/>
    <w:uiPriority w:val="34"/>
    <w:qFormat/>
    <w:rsid w:val="00B036B5"/>
    <w:pPr>
      <w:ind w:left="720"/>
      <w:contextualSpacing/>
    </w:pPr>
  </w:style>
  <w:style w:type="table" w:styleId="Tabladecuadrcula4-nfasis6">
    <w:name w:val="Grid Table 4 Accent 6"/>
    <w:basedOn w:val="Tablanormal"/>
    <w:uiPriority w:val="49"/>
    <w:rsid w:val="00B036B5"/>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CF27CA"/>
    <w:pPr>
      <w:spacing w:before="100" w:beforeAutospacing="1" w:after="100" w:afterAutospacing="1"/>
    </w:pPr>
    <w:rPr>
      <w:rFonts w:ascii="Times New Roman" w:eastAsia="Times New Roman" w:hAnsi="Times New Roman" w:cs="Times New Roman"/>
      <w:sz w:val="24"/>
      <w:lang w:eastAsia="es-CO"/>
    </w:rPr>
  </w:style>
  <w:style w:type="paragraph" w:customStyle="1" w:styleId="Default">
    <w:name w:val="Default"/>
    <w:rsid w:val="00CF27CA"/>
    <w:pPr>
      <w:autoSpaceDE w:val="0"/>
      <w:autoSpaceDN w:val="0"/>
      <w:adjustRightInd w:val="0"/>
    </w:pPr>
    <w:rPr>
      <w:rFonts w:eastAsia="Times New Roman" w:cs="Arial"/>
      <w:color w:val="000000"/>
      <w:sz w:val="24"/>
      <w:lang w:eastAsia="es-CO"/>
    </w:rPr>
  </w:style>
  <w:style w:type="character" w:customStyle="1" w:styleId="PrrafodelistaCar">
    <w:name w:val="Párrafo de lista Car"/>
    <w:aliases w:val="Bullet List Car,FooterText Car,numbered Car,List Paragraph1 Car,Paragraphe de liste1 Car,lp1 Car,List Paragraph Car"/>
    <w:link w:val="Prrafodelista"/>
    <w:uiPriority w:val="34"/>
    <w:locked/>
    <w:rsid w:val="00CF2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59065">
      <w:bodyDiv w:val="1"/>
      <w:marLeft w:val="0"/>
      <w:marRight w:val="0"/>
      <w:marTop w:val="0"/>
      <w:marBottom w:val="0"/>
      <w:divBdr>
        <w:top w:val="none" w:sz="0" w:space="0" w:color="auto"/>
        <w:left w:val="none" w:sz="0" w:space="0" w:color="auto"/>
        <w:bottom w:val="none" w:sz="0" w:space="0" w:color="auto"/>
        <w:right w:val="none" w:sz="0" w:space="0" w:color="auto"/>
      </w:divBdr>
      <w:divsChild>
        <w:div w:id="2068645353">
          <w:marLeft w:val="0"/>
          <w:marRight w:val="0"/>
          <w:marTop w:val="0"/>
          <w:marBottom w:val="0"/>
          <w:divBdr>
            <w:top w:val="none" w:sz="0" w:space="0" w:color="auto"/>
            <w:left w:val="none" w:sz="0" w:space="0" w:color="auto"/>
            <w:bottom w:val="none" w:sz="0" w:space="0" w:color="auto"/>
            <w:right w:val="none" w:sz="0" w:space="0" w:color="auto"/>
          </w:divBdr>
        </w:div>
        <w:div w:id="984550036">
          <w:marLeft w:val="0"/>
          <w:marRight w:val="0"/>
          <w:marTop w:val="0"/>
          <w:marBottom w:val="0"/>
          <w:divBdr>
            <w:top w:val="none" w:sz="0" w:space="0" w:color="auto"/>
            <w:left w:val="none" w:sz="0" w:space="0" w:color="auto"/>
            <w:bottom w:val="none" w:sz="0" w:space="0" w:color="auto"/>
            <w:right w:val="none" w:sz="0" w:space="0" w:color="auto"/>
          </w:divBdr>
        </w:div>
        <w:div w:id="1378704972">
          <w:marLeft w:val="0"/>
          <w:marRight w:val="0"/>
          <w:marTop w:val="0"/>
          <w:marBottom w:val="0"/>
          <w:divBdr>
            <w:top w:val="none" w:sz="0" w:space="0" w:color="auto"/>
            <w:left w:val="none" w:sz="0" w:space="0" w:color="auto"/>
            <w:bottom w:val="none" w:sz="0" w:space="0" w:color="auto"/>
            <w:right w:val="none" w:sz="0" w:space="0" w:color="auto"/>
          </w:divBdr>
        </w:div>
      </w:divsChild>
    </w:div>
    <w:div w:id="131026872">
      <w:bodyDiv w:val="1"/>
      <w:marLeft w:val="0"/>
      <w:marRight w:val="0"/>
      <w:marTop w:val="0"/>
      <w:marBottom w:val="0"/>
      <w:divBdr>
        <w:top w:val="none" w:sz="0" w:space="0" w:color="auto"/>
        <w:left w:val="none" w:sz="0" w:space="0" w:color="auto"/>
        <w:bottom w:val="none" w:sz="0" w:space="0" w:color="auto"/>
        <w:right w:val="none" w:sz="0" w:space="0" w:color="auto"/>
      </w:divBdr>
    </w:div>
    <w:div w:id="4589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B743-65E0-41D4-BABE-1E00905D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3254</Words>
  <Characters>17899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Informe de seguimiento o evaluación</vt:lpstr>
    </vt:vector>
  </TitlesOfParts>
  <Manager>SGDEA</Manager>
  <Company>Instituto Distrital de Patrimonio Cultural</Company>
  <LinksUpToDate>false</LinksUpToDate>
  <CharactersWithSpaces>21111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seguimiento o evaluación</dc:title>
  <dc:subject>Informe de seguimiento o evaluación</dc:subject>
  <dc:creator>Seguimiento y evaluación</dc:creator>
  <cp:keywords/>
  <dc:description/>
  <cp:lastModifiedBy>INES</cp:lastModifiedBy>
  <cp:revision>2</cp:revision>
  <cp:lastPrinted>2021-05-12T02:43:00Z</cp:lastPrinted>
  <dcterms:created xsi:type="dcterms:W3CDTF">2021-05-14T22:49:00Z</dcterms:created>
  <dcterms:modified xsi:type="dcterms:W3CDTF">2021-05-14T22:49:00Z</dcterms:modified>
  <cp:category/>
  <cp:version>4</cp:version>
</cp:coreProperties>
</file>