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tblLook w:val="04A0" w:firstRow="1" w:lastRow="0" w:firstColumn="1" w:lastColumn="0" w:noHBand="0" w:noVBand="1"/>
      </w:tblPr>
      <w:tblGrid>
        <w:gridCol w:w="3825"/>
        <w:gridCol w:w="834"/>
        <w:gridCol w:w="833"/>
        <w:gridCol w:w="833"/>
        <w:gridCol w:w="833"/>
        <w:gridCol w:w="833"/>
        <w:gridCol w:w="837"/>
      </w:tblGrid>
      <w:tr w:rsidR="0045782D" w14:paraId="0A3D8AC3" w14:textId="77777777" w:rsidTr="007E187A">
        <w:tc>
          <w:tcPr>
            <w:tcW w:w="2166" w:type="pct"/>
            <w:shd w:val="clear" w:color="auto" w:fill="F2F2F2" w:themeFill="background1" w:themeFillShade="F2"/>
            <w:vAlign w:val="center"/>
          </w:tcPr>
          <w:p w14:paraId="12923681" w14:textId="558DB7A2" w:rsidR="0045782D" w:rsidRPr="00AD5687" w:rsidRDefault="0045782D" w:rsidP="0045782D">
            <w:pPr>
              <w:jc w:val="both"/>
              <w:rPr>
                <w:b/>
                <w:sz w:val="20"/>
                <w:szCs w:val="22"/>
              </w:rPr>
            </w:pPr>
            <w:bookmarkStart w:id="0" w:name="_GoBack"/>
            <w:bookmarkEnd w:id="0"/>
            <w:r w:rsidRPr="00AD5687">
              <w:rPr>
                <w:rFonts w:cs="Arial"/>
                <w:b/>
                <w:sz w:val="20"/>
                <w:szCs w:val="22"/>
              </w:rPr>
              <w:t>FECHA DE EMISIÓN DEL INFORME</w:t>
            </w:r>
          </w:p>
        </w:tc>
        <w:tc>
          <w:tcPr>
            <w:tcW w:w="472" w:type="pct"/>
            <w:shd w:val="clear" w:color="auto" w:fill="F2F2F2" w:themeFill="background1" w:themeFillShade="F2"/>
            <w:vAlign w:val="center"/>
          </w:tcPr>
          <w:p w14:paraId="14398F64" w14:textId="707D4FA8" w:rsidR="0045782D" w:rsidRPr="0045782D" w:rsidRDefault="0045782D" w:rsidP="00B036B5">
            <w:pPr>
              <w:jc w:val="center"/>
              <w:rPr>
                <w:b/>
                <w:color w:val="FFFFFF" w:themeColor="background1"/>
              </w:rPr>
            </w:pPr>
            <w:r w:rsidRPr="0045782D">
              <w:rPr>
                <w:b/>
              </w:rPr>
              <w:t>DÍA</w:t>
            </w:r>
          </w:p>
        </w:tc>
        <w:tc>
          <w:tcPr>
            <w:tcW w:w="472" w:type="pct"/>
            <w:vAlign w:val="center"/>
          </w:tcPr>
          <w:p w14:paraId="7F3EAFB0" w14:textId="4B104828" w:rsidR="00287A78" w:rsidRPr="007C563F" w:rsidRDefault="00287A78" w:rsidP="00287A78">
            <w:pPr>
              <w:jc w:val="center"/>
              <w:rPr>
                <w:bCs/>
                <w:sz w:val="20"/>
                <w:szCs w:val="20"/>
              </w:rPr>
            </w:pPr>
            <w:r>
              <w:rPr>
                <w:bCs/>
                <w:sz w:val="20"/>
                <w:szCs w:val="20"/>
              </w:rPr>
              <w:t>14</w:t>
            </w:r>
          </w:p>
        </w:tc>
        <w:tc>
          <w:tcPr>
            <w:tcW w:w="472" w:type="pct"/>
            <w:shd w:val="clear" w:color="auto" w:fill="F2F2F2" w:themeFill="background1" w:themeFillShade="F2"/>
            <w:vAlign w:val="center"/>
          </w:tcPr>
          <w:p w14:paraId="22E6F444" w14:textId="06ABE94D" w:rsidR="0045782D" w:rsidRPr="0045782D" w:rsidRDefault="0045782D" w:rsidP="00B036B5">
            <w:pPr>
              <w:jc w:val="center"/>
              <w:rPr>
                <w:b/>
                <w:color w:val="FFFFFF" w:themeColor="background1"/>
              </w:rPr>
            </w:pPr>
            <w:r w:rsidRPr="0045782D">
              <w:rPr>
                <w:b/>
              </w:rPr>
              <w:t>MES</w:t>
            </w:r>
          </w:p>
        </w:tc>
        <w:tc>
          <w:tcPr>
            <w:tcW w:w="472" w:type="pct"/>
            <w:vAlign w:val="center"/>
          </w:tcPr>
          <w:p w14:paraId="11359BF7" w14:textId="37213C7E" w:rsidR="0045782D" w:rsidRPr="007C563F" w:rsidRDefault="00066907" w:rsidP="00B036B5">
            <w:pPr>
              <w:jc w:val="center"/>
              <w:rPr>
                <w:bCs/>
                <w:sz w:val="20"/>
                <w:szCs w:val="20"/>
              </w:rPr>
            </w:pPr>
            <w:r w:rsidRPr="007C563F">
              <w:rPr>
                <w:bCs/>
                <w:sz w:val="20"/>
                <w:szCs w:val="20"/>
              </w:rPr>
              <w:t>05</w:t>
            </w:r>
          </w:p>
        </w:tc>
        <w:tc>
          <w:tcPr>
            <w:tcW w:w="472" w:type="pct"/>
            <w:shd w:val="clear" w:color="auto" w:fill="F2F2F2" w:themeFill="background1" w:themeFillShade="F2"/>
            <w:vAlign w:val="center"/>
          </w:tcPr>
          <w:p w14:paraId="50ACFC3D" w14:textId="553771D2" w:rsidR="0045782D" w:rsidRPr="0045782D" w:rsidRDefault="0045782D" w:rsidP="00B036B5">
            <w:pPr>
              <w:jc w:val="center"/>
              <w:rPr>
                <w:b/>
                <w:color w:val="FFFFFF" w:themeColor="background1"/>
              </w:rPr>
            </w:pPr>
            <w:r w:rsidRPr="0045782D">
              <w:rPr>
                <w:b/>
              </w:rPr>
              <w:t>AÑO</w:t>
            </w:r>
          </w:p>
        </w:tc>
        <w:tc>
          <w:tcPr>
            <w:tcW w:w="474" w:type="pct"/>
            <w:vAlign w:val="center"/>
          </w:tcPr>
          <w:p w14:paraId="0E41B807" w14:textId="61F4BA60" w:rsidR="0045782D" w:rsidRPr="007C563F" w:rsidRDefault="00066907" w:rsidP="00B036B5">
            <w:pPr>
              <w:jc w:val="center"/>
              <w:rPr>
                <w:sz w:val="20"/>
                <w:szCs w:val="20"/>
              </w:rPr>
            </w:pPr>
            <w:r w:rsidRPr="007C563F">
              <w:rPr>
                <w:sz w:val="20"/>
                <w:szCs w:val="20"/>
              </w:rPr>
              <w:t>2021</w:t>
            </w:r>
          </w:p>
        </w:tc>
      </w:tr>
      <w:tr w:rsidR="0045782D" w14:paraId="149B1566" w14:textId="77777777" w:rsidTr="006F79F3">
        <w:trPr>
          <w:trHeight w:val="1134"/>
        </w:trPr>
        <w:tc>
          <w:tcPr>
            <w:tcW w:w="2166" w:type="pct"/>
            <w:shd w:val="clear" w:color="auto" w:fill="F2F2F2" w:themeFill="background1" w:themeFillShade="F2"/>
            <w:vAlign w:val="center"/>
          </w:tcPr>
          <w:p w14:paraId="2AB28578" w14:textId="63839C4E" w:rsidR="0045782D" w:rsidRPr="00AD5687" w:rsidRDefault="0045782D" w:rsidP="0045782D">
            <w:pPr>
              <w:jc w:val="both"/>
              <w:rPr>
                <w:b/>
                <w:sz w:val="20"/>
                <w:szCs w:val="22"/>
              </w:rPr>
            </w:pPr>
            <w:r w:rsidRPr="00AD5687">
              <w:rPr>
                <w:rFonts w:cs="Arial"/>
                <w:b/>
                <w:sz w:val="20"/>
                <w:szCs w:val="22"/>
                <w:lang w:val="es-MX"/>
              </w:rPr>
              <w:t>PROCESO, PROCEDIMIENTO O ACTIVIDAD EVALUADA</w:t>
            </w:r>
          </w:p>
        </w:tc>
        <w:tc>
          <w:tcPr>
            <w:tcW w:w="2834" w:type="pct"/>
            <w:gridSpan w:val="6"/>
            <w:vAlign w:val="center"/>
          </w:tcPr>
          <w:p w14:paraId="1DB71B32" w14:textId="47551B13" w:rsidR="0045782D" w:rsidRPr="007C563F" w:rsidRDefault="009A72EE" w:rsidP="00C2690A">
            <w:pPr>
              <w:pStyle w:val="Prrafodelista"/>
              <w:ind w:left="31"/>
              <w:jc w:val="both"/>
              <w:rPr>
                <w:sz w:val="20"/>
                <w:szCs w:val="20"/>
              </w:rPr>
            </w:pPr>
            <w:r w:rsidRPr="007C563F">
              <w:rPr>
                <w:rFonts w:cs="Arial"/>
                <w:sz w:val="20"/>
                <w:szCs w:val="20"/>
              </w:rPr>
              <w:t xml:space="preserve">Informe Seguimiento </w:t>
            </w:r>
            <w:r w:rsidR="00C2690A">
              <w:rPr>
                <w:rFonts w:cs="Arial"/>
                <w:sz w:val="20"/>
                <w:szCs w:val="20"/>
              </w:rPr>
              <w:t>al cumplimiento</w:t>
            </w:r>
            <w:r w:rsidRPr="007C563F">
              <w:rPr>
                <w:rFonts w:cs="Arial"/>
                <w:sz w:val="20"/>
                <w:szCs w:val="20"/>
              </w:rPr>
              <w:t xml:space="preserve"> de la Ley 1712 de 2014- Transparencia y Derecho de Acceso a la Información Pública Nacional–</w:t>
            </w:r>
            <w:r w:rsidR="00C2690A">
              <w:rPr>
                <w:rFonts w:cs="Arial"/>
                <w:sz w:val="20"/>
                <w:szCs w:val="20"/>
              </w:rPr>
              <w:t xml:space="preserve"> y Resolución 1519 de 2020</w:t>
            </w:r>
          </w:p>
        </w:tc>
      </w:tr>
      <w:tr w:rsidR="0045782D" w14:paraId="1E7326F9" w14:textId="77777777" w:rsidTr="006F79F3">
        <w:trPr>
          <w:trHeight w:val="787"/>
        </w:trPr>
        <w:tc>
          <w:tcPr>
            <w:tcW w:w="2166" w:type="pct"/>
            <w:shd w:val="clear" w:color="auto" w:fill="F2F2F2" w:themeFill="background1" w:themeFillShade="F2"/>
            <w:vAlign w:val="center"/>
          </w:tcPr>
          <w:p w14:paraId="1C90A16E" w14:textId="33653F2A" w:rsidR="0045782D" w:rsidRPr="00AD5687" w:rsidRDefault="0045782D" w:rsidP="0045782D">
            <w:pPr>
              <w:jc w:val="both"/>
              <w:rPr>
                <w:b/>
                <w:sz w:val="20"/>
                <w:szCs w:val="22"/>
              </w:rPr>
            </w:pPr>
            <w:r w:rsidRPr="00AD5687">
              <w:rPr>
                <w:rFonts w:cs="Arial"/>
                <w:b/>
                <w:sz w:val="20"/>
                <w:szCs w:val="22"/>
                <w:lang w:val="es-MX"/>
              </w:rPr>
              <w:t>RESPONSABLE DEL PROCESO, PROCEDIMIENTO O ACTIVIDAD EVALUADA</w:t>
            </w:r>
          </w:p>
        </w:tc>
        <w:tc>
          <w:tcPr>
            <w:tcW w:w="2834" w:type="pct"/>
            <w:gridSpan w:val="6"/>
            <w:vAlign w:val="center"/>
          </w:tcPr>
          <w:p w14:paraId="738DB55A" w14:textId="11FE6DBB" w:rsidR="0045782D" w:rsidRPr="007C563F" w:rsidRDefault="009A72EE" w:rsidP="0053639C">
            <w:pPr>
              <w:pStyle w:val="Prrafodelista"/>
              <w:ind w:left="31"/>
              <w:jc w:val="both"/>
              <w:rPr>
                <w:sz w:val="20"/>
                <w:szCs w:val="20"/>
              </w:rPr>
            </w:pPr>
            <w:r w:rsidRPr="007C563F">
              <w:rPr>
                <w:rFonts w:cs="Arial"/>
                <w:sz w:val="20"/>
                <w:szCs w:val="20"/>
              </w:rPr>
              <w:t>Dependencias del IDPC</w:t>
            </w:r>
          </w:p>
        </w:tc>
      </w:tr>
      <w:tr w:rsidR="0045782D" w14:paraId="4069ACF0" w14:textId="77777777" w:rsidTr="006F79F3">
        <w:trPr>
          <w:trHeight w:val="854"/>
        </w:trPr>
        <w:tc>
          <w:tcPr>
            <w:tcW w:w="2166" w:type="pct"/>
            <w:shd w:val="clear" w:color="auto" w:fill="F2F2F2" w:themeFill="background1" w:themeFillShade="F2"/>
            <w:vAlign w:val="center"/>
          </w:tcPr>
          <w:p w14:paraId="42AAD9E0" w14:textId="64AC8B6E" w:rsidR="0045782D" w:rsidRPr="00AD5687" w:rsidRDefault="0045782D" w:rsidP="0045782D">
            <w:pPr>
              <w:jc w:val="both"/>
              <w:rPr>
                <w:b/>
                <w:sz w:val="20"/>
                <w:szCs w:val="22"/>
              </w:rPr>
            </w:pPr>
            <w:r w:rsidRPr="00AD5687">
              <w:rPr>
                <w:rFonts w:cs="Arial"/>
                <w:b/>
                <w:sz w:val="20"/>
                <w:szCs w:val="22"/>
                <w:lang w:val="es-MX"/>
              </w:rPr>
              <w:t>OBJETIVO GENERAL</w:t>
            </w:r>
          </w:p>
        </w:tc>
        <w:tc>
          <w:tcPr>
            <w:tcW w:w="2834" w:type="pct"/>
            <w:gridSpan w:val="6"/>
            <w:vAlign w:val="center"/>
          </w:tcPr>
          <w:p w14:paraId="2F7541CA" w14:textId="486E01AE" w:rsidR="0045782D" w:rsidRPr="007C563F" w:rsidRDefault="009A72EE" w:rsidP="0053639C">
            <w:pPr>
              <w:pStyle w:val="Prrafodelista"/>
              <w:ind w:left="31"/>
              <w:jc w:val="both"/>
              <w:rPr>
                <w:sz w:val="20"/>
                <w:szCs w:val="20"/>
              </w:rPr>
            </w:pPr>
            <w:r w:rsidRPr="007C563F">
              <w:rPr>
                <w:rFonts w:cs="Arial"/>
                <w:sz w:val="20"/>
                <w:szCs w:val="20"/>
              </w:rPr>
              <w:t>Verificar el cumplimiento de la publicación de la información pública, y garantizar se</w:t>
            </w:r>
            <w:r w:rsidR="00C2690A">
              <w:rPr>
                <w:rFonts w:cs="Arial"/>
                <w:sz w:val="20"/>
                <w:szCs w:val="20"/>
              </w:rPr>
              <w:t xml:space="preserve"> encuentre actualizada, de acuerdo con los lineamientos impartidos por la normatividad vigente.</w:t>
            </w:r>
          </w:p>
        </w:tc>
      </w:tr>
      <w:tr w:rsidR="0045782D" w14:paraId="61758759" w14:textId="77777777" w:rsidTr="006F79F3">
        <w:trPr>
          <w:trHeight w:val="683"/>
        </w:trPr>
        <w:tc>
          <w:tcPr>
            <w:tcW w:w="2166" w:type="pct"/>
            <w:shd w:val="clear" w:color="auto" w:fill="F2F2F2" w:themeFill="background1" w:themeFillShade="F2"/>
            <w:vAlign w:val="center"/>
          </w:tcPr>
          <w:p w14:paraId="311C42C3" w14:textId="77D930F8" w:rsidR="0045782D" w:rsidRPr="00AD5687" w:rsidRDefault="0045782D" w:rsidP="0045782D">
            <w:pPr>
              <w:jc w:val="both"/>
              <w:rPr>
                <w:b/>
                <w:sz w:val="20"/>
                <w:szCs w:val="22"/>
              </w:rPr>
            </w:pPr>
            <w:r w:rsidRPr="00AD5687">
              <w:rPr>
                <w:rFonts w:cs="Arial"/>
                <w:b/>
                <w:sz w:val="20"/>
                <w:szCs w:val="22"/>
              </w:rPr>
              <w:t>ALCANCE</w:t>
            </w:r>
          </w:p>
        </w:tc>
        <w:tc>
          <w:tcPr>
            <w:tcW w:w="2834" w:type="pct"/>
            <w:gridSpan w:val="6"/>
            <w:vAlign w:val="center"/>
          </w:tcPr>
          <w:p w14:paraId="243A08EF" w14:textId="620606AE" w:rsidR="0045782D" w:rsidRPr="007C563F" w:rsidRDefault="009A72EE" w:rsidP="00C2690A">
            <w:pPr>
              <w:pStyle w:val="Prrafodelista"/>
              <w:ind w:left="31"/>
              <w:jc w:val="both"/>
              <w:rPr>
                <w:sz w:val="20"/>
                <w:szCs w:val="20"/>
              </w:rPr>
            </w:pPr>
            <w:r w:rsidRPr="007C563F">
              <w:rPr>
                <w:sz w:val="20"/>
                <w:szCs w:val="20"/>
              </w:rPr>
              <w:t>La verificación corresponde al</w:t>
            </w:r>
            <w:r w:rsidR="00C2690A">
              <w:rPr>
                <w:sz w:val="20"/>
                <w:szCs w:val="20"/>
              </w:rPr>
              <w:t xml:space="preserve"> cumplimiento del Anexo 2 de la Resolución 1519 de 2020 en el </w:t>
            </w:r>
            <w:r w:rsidRPr="007C563F">
              <w:rPr>
                <w:sz w:val="20"/>
                <w:szCs w:val="20"/>
              </w:rPr>
              <w:t>cuatrimestre de enero a abril de 2021.</w:t>
            </w:r>
            <w:r w:rsidR="00C2690A">
              <w:rPr>
                <w:sz w:val="20"/>
                <w:szCs w:val="20"/>
              </w:rPr>
              <w:t xml:space="preserve"> </w:t>
            </w:r>
          </w:p>
        </w:tc>
      </w:tr>
      <w:tr w:rsidR="0045782D" w14:paraId="00289A75" w14:textId="77777777" w:rsidTr="00AD5687">
        <w:trPr>
          <w:trHeight w:val="1134"/>
        </w:trPr>
        <w:tc>
          <w:tcPr>
            <w:tcW w:w="2166" w:type="pct"/>
            <w:shd w:val="clear" w:color="auto" w:fill="F2F2F2" w:themeFill="background1" w:themeFillShade="F2"/>
            <w:vAlign w:val="center"/>
          </w:tcPr>
          <w:p w14:paraId="74D648F4" w14:textId="3189BBAA" w:rsidR="0045782D" w:rsidRPr="00AD5687" w:rsidRDefault="0045782D" w:rsidP="0045782D">
            <w:pPr>
              <w:jc w:val="both"/>
              <w:rPr>
                <w:b/>
                <w:sz w:val="20"/>
                <w:szCs w:val="22"/>
              </w:rPr>
            </w:pPr>
            <w:r w:rsidRPr="00AD5687">
              <w:rPr>
                <w:rFonts w:cs="Arial"/>
                <w:b/>
                <w:sz w:val="20"/>
                <w:szCs w:val="22"/>
                <w:lang w:val="es-MX"/>
              </w:rPr>
              <w:t>CRITERIOS</w:t>
            </w:r>
          </w:p>
        </w:tc>
        <w:tc>
          <w:tcPr>
            <w:tcW w:w="2834" w:type="pct"/>
            <w:gridSpan w:val="6"/>
          </w:tcPr>
          <w:p w14:paraId="51CAE52A" w14:textId="77777777" w:rsidR="007C563F" w:rsidRPr="007C563F" w:rsidRDefault="007C563F" w:rsidP="007C563F">
            <w:pPr>
              <w:numPr>
                <w:ilvl w:val="0"/>
                <w:numId w:val="9"/>
              </w:numPr>
              <w:overflowPunct w:val="0"/>
              <w:autoSpaceDE w:val="0"/>
              <w:autoSpaceDN w:val="0"/>
              <w:adjustRightInd w:val="0"/>
              <w:ind w:left="361"/>
              <w:jc w:val="both"/>
              <w:textAlignment w:val="baseline"/>
              <w:rPr>
                <w:rFonts w:cs="Arial"/>
                <w:sz w:val="20"/>
                <w:szCs w:val="20"/>
              </w:rPr>
            </w:pPr>
            <w:r w:rsidRPr="007C563F">
              <w:rPr>
                <w:rFonts w:cs="Arial"/>
                <w:sz w:val="20"/>
                <w:szCs w:val="20"/>
              </w:rPr>
              <w:t xml:space="preserve">Matriz de Cumplimiento y Sostenibilidad de la Ley 1712 de 2014 </w:t>
            </w:r>
            <w:r w:rsidRPr="007C563F">
              <w:rPr>
                <w:rFonts w:cs="Arial"/>
                <w:i/>
                <w:sz w:val="20"/>
                <w:szCs w:val="20"/>
              </w:rPr>
              <w:t>“</w:t>
            </w:r>
            <w:r w:rsidRPr="007C563F">
              <w:rPr>
                <w:rFonts w:cs="Arial"/>
                <w:sz w:val="20"/>
                <w:szCs w:val="20"/>
              </w:rPr>
              <w:t>Por medio de la cual se crea la Ley de Transparencia y del Derecho de Acceso a la Información Pública Nacional y se dictan otras disposiciones.”</w:t>
            </w:r>
          </w:p>
          <w:p w14:paraId="6FC65711" w14:textId="77777777" w:rsidR="007C563F" w:rsidRPr="007C563F" w:rsidRDefault="007C563F" w:rsidP="007C563F">
            <w:pPr>
              <w:numPr>
                <w:ilvl w:val="0"/>
                <w:numId w:val="9"/>
              </w:numPr>
              <w:overflowPunct w:val="0"/>
              <w:autoSpaceDE w:val="0"/>
              <w:autoSpaceDN w:val="0"/>
              <w:adjustRightInd w:val="0"/>
              <w:ind w:left="361"/>
              <w:jc w:val="both"/>
              <w:textAlignment w:val="baseline"/>
              <w:rPr>
                <w:rFonts w:cs="Arial"/>
                <w:sz w:val="20"/>
                <w:szCs w:val="20"/>
              </w:rPr>
            </w:pPr>
            <w:r w:rsidRPr="007C563F">
              <w:rPr>
                <w:rFonts w:cs="Arial"/>
                <w:sz w:val="20"/>
                <w:szCs w:val="20"/>
              </w:rPr>
              <w:t>Decreto 103 de 2015 “por el cual se reglamenta parcialmente la Ley 1712 de 2014 y se dictan otras disposiciones.”</w:t>
            </w:r>
          </w:p>
          <w:p w14:paraId="70218683" w14:textId="1ABC8F1F" w:rsidR="0045782D" w:rsidRPr="007C563F" w:rsidRDefault="000855C4" w:rsidP="007C563F">
            <w:pPr>
              <w:numPr>
                <w:ilvl w:val="0"/>
                <w:numId w:val="9"/>
              </w:numPr>
              <w:overflowPunct w:val="0"/>
              <w:autoSpaceDE w:val="0"/>
              <w:autoSpaceDN w:val="0"/>
              <w:adjustRightInd w:val="0"/>
              <w:ind w:left="361"/>
              <w:jc w:val="both"/>
              <w:textAlignment w:val="baseline"/>
              <w:rPr>
                <w:rFonts w:cs="Arial"/>
                <w:sz w:val="20"/>
                <w:szCs w:val="20"/>
              </w:rPr>
            </w:pPr>
            <w:r>
              <w:rPr>
                <w:rFonts w:cs="Arial"/>
                <w:sz w:val="20"/>
                <w:szCs w:val="20"/>
              </w:rPr>
              <w:t>D</w:t>
            </w:r>
            <w:r w:rsidR="007C563F" w:rsidRPr="007C563F">
              <w:rPr>
                <w:rFonts w:cs="Arial"/>
                <w:sz w:val="20"/>
                <w:szCs w:val="20"/>
              </w:rPr>
              <w:t>irectiva 006 de 2019 –“Diligenciamiento de la Información en el índice de Transparencia y Acceso a la Información –ITA- de conformidad con las disposiciones del artículo 23 de la Ley 1712 de 2014.”</w:t>
            </w:r>
          </w:p>
          <w:p w14:paraId="3C2046C5" w14:textId="77777777" w:rsidR="00275432" w:rsidRDefault="007C563F" w:rsidP="00275432">
            <w:pPr>
              <w:numPr>
                <w:ilvl w:val="0"/>
                <w:numId w:val="9"/>
              </w:numPr>
              <w:overflowPunct w:val="0"/>
              <w:autoSpaceDE w:val="0"/>
              <w:autoSpaceDN w:val="0"/>
              <w:adjustRightInd w:val="0"/>
              <w:ind w:left="361"/>
              <w:jc w:val="both"/>
              <w:textAlignment w:val="baseline"/>
              <w:rPr>
                <w:rFonts w:cs="Arial"/>
                <w:i/>
                <w:sz w:val="20"/>
                <w:szCs w:val="20"/>
              </w:rPr>
            </w:pPr>
            <w:r w:rsidRPr="007C563F">
              <w:rPr>
                <w:rFonts w:cs="Arial"/>
                <w:sz w:val="20"/>
                <w:szCs w:val="20"/>
              </w:rPr>
              <w:t>Resolución 1519 de 2020 Min TIC “Por la cual se definen los estándares y directrices para publicar la información señalada en la Ley 1712 del 2014 y se definen los requisitos en materia de acceso a la información pública, accesibilidad web, seguridad digital, y datos abiertos”.</w:t>
            </w:r>
          </w:p>
          <w:p w14:paraId="5BB9C0DC" w14:textId="10FC3281" w:rsidR="00275432" w:rsidRPr="00275432" w:rsidRDefault="00275432" w:rsidP="00275432">
            <w:pPr>
              <w:numPr>
                <w:ilvl w:val="0"/>
                <w:numId w:val="9"/>
              </w:numPr>
              <w:overflowPunct w:val="0"/>
              <w:autoSpaceDE w:val="0"/>
              <w:autoSpaceDN w:val="0"/>
              <w:adjustRightInd w:val="0"/>
              <w:ind w:left="361"/>
              <w:jc w:val="both"/>
              <w:textAlignment w:val="baseline"/>
              <w:rPr>
                <w:rFonts w:cs="Arial"/>
                <w:i/>
                <w:sz w:val="20"/>
                <w:szCs w:val="20"/>
              </w:rPr>
            </w:pPr>
            <w:r w:rsidRPr="00275432">
              <w:rPr>
                <w:rFonts w:cs="Arial"/>
                <w:sz w:val="20"/>
                <w:szCs w:val="20"/>
              </w:rPr>
              <w:t>Circular Interna 007 de 2021 “Actualización de las directrices para la publicación de información relacionada con la Ley de Transparencia y Derecho de Acceso a la Información Pública -Ley 1712 de 2014- y de Gobierno Abierto</w:t>
            </w:r>
            <w:r>
              <w:rPr>
                <w:rFonts w:cs="Arial"/>
                <w:sz w:val="20"/>
                <w:szCs w:val="20"/>
              </w:rPr>
              <w:t>”</w:t>
            </w:r>
            <w:r w:rsidRPr="00275432">
              <w:rPr>
                <w:rFonts w:cs="Arial"/>
                <w:sz w:val="20"/>
                <w:szCs w:val="20"/>
              </w:rPr>
              <w:t>.</w:t>
            </w:r>
          </w:p>
        </w:tc>
      </w:tr>
      <w:tr w:rsidR="0045782D" w14:paraId="4B60AD89" w14:textId="77777777" w:rsidTr="000804B7">
        <w:trPr>
          <w:trHeight w:val="473"/>
        </w:trPr>
        <w:tc>
          <w:tcPr>
            <w:tcW w:w="2166" w:type="pct"/>
            <w:shd w:val="clear" w:color="auto" w:fill="F2F2F2" w:themeFill="background1" w:themeFillShade="F2"/>
            <w:vAlign w:val="center"/>
          </w:tcPr>
          <w:p w14:paraId="07E409BC" w14:textId="3D499669" w:rsidR="0045782D" w:rsidRPr="00AD5687" w:rsidRDefault="0045782D" w:rsidP="0045782D">
            <w:pPr>
              <w:jc w:val="both"/>
              <w:rPr>
                <w:rFonts w:cs="Arial"/>
                <w:b/>
                <w:sz w:val="20"/>
                <w:szCs w:val="22"/>
                <w:lang w:val="es-MX"/>
              </w:rPr>
            </w:pPr>
            <w:r w:rsidRPr="00AD5687">
              <w:rPr>
                <w:rFonts w:cs="Arial"/>
                <w:b/>
                <w:sz w:val="20"/>
                <w:szCs w:val="22"/>
                <w:lang w:val="es-MX"/>
              </w:rPr>
              <w:t>PRUEBAS DE AUDITORÍA</w:t>
            </w:r>
          </w:p>
        </w:tc>
        <w:tc>
          <w:tcPr>
            <w:tcW w:w="2834" w:type="pct"/>
            <w:gridSpan w:val="6"/>
            <w:vAlign w:val="center"/>
          </w:tcPr>
          <w:p w14:paraId="52561496" w14:textId="43E365CF" w:rsidR="0045782D" w:rsidRPr="00097C7B" w:rsidRDefault="000A4F21" w:rsidP="0053639C">
            <w:pPr>
              <w:pStyle w:val="Prrafodelista"/>
              <w:ind w:left="31"/>
              <w:jc w:val="both"/>
              <w:rPr>
                <w:sz w:val="20"/>
                <w:szCs w:val="22"/>
              </w:rPr>
            </w:pPr>
            <w:r>
              <w:rPr>
                <w:sz w:val="20"/>
                <w:szCs w:val="22"/>
              </w:rPr>
              <w:t xml:space="preserve">Verificación en la página web </w:t>
            </w:r>
          </w:p>
        </w:tc>
      </w:tr>
      <w:tr w:rsidR="0045782D" w14:paraId="3D795E5E" w14:textId="77777777" w:rsidTr="006F79F3">
        <w:trPr>
          <w:trHeight w:val="699"/>
        </w:trPr>
        <w:tc>
          <w:tcPr>
            <w:tcW w:w="2166" w:type="pct"/>
            <w:shd w:val="clear" w:color="auto" w:fill="F2F2F2" w:themeFill="background1" w:themeFillShade="F2"/>
            <w:vAlign w:val="center"/>
          </w:tcPr>
          <w:p w14:paraId="757E46A4" w14:textId="4B1C1735" w:rsidR="0045782D" w:rsidRPr="00AD5687" w:rsidRDefault="0045782D" w:rsidP="0045782D">
            <w:pPr>
              <w:jc w:val="both"/>
              <w:rPr>
                <w:rFonts w:cs="Arial"/>
                <w:b/>
                <w:sz w:val="20"/>
                <w:szCs w:val="22"/>
                <w:lang w:val="es-MX"/>
              </w:rPr>
            </w:pPr>
            <w:r w:rsidRPr="00AD5687">
              <w:rPr>
                <w:rFonts w:cs="Arial"/>
                <w:b/>
                <w:sz w:val="20"/>
                <w:szCs w:val="22"/>
                <w:lang w:val="es-MX"/>
              </w:rPr>
              <w:t>EQUIPO AUDITOR</w:t>
            </w:r>
          </w:p>
        </w:tc>
        <w:tc>
          <w:tcPr>
            <w:tcW w:w="2834" w:type="pct"/>
            <w:gridSpan w:val="6"/>
            <w:vAlign w:val="center"/>
          </w:tcPr>
          <w:p w14:paraId="243A7811" w14:textId="715BA359" w:rsidR="0045782D" w:rsidRDefault="000A4F21" w:rsidP="0053639C">
            <w:pPr>
              <w:pStyle w:val="Prrafodelista"/>
              <w:ind w:left="31"/>
              <w:jc w:val="both"/>
              <w:rPr>
                <w:sz w:val="20"/>
                <w:szCs w:val="22"/>
              </w:rPr>
            </w:pPr>
            <w:r>
              <w:rPr>
                <w:sz w:val="20"/>
                <w:szCs w:val="22"/>
              </w:rPr>
              <w:t xml:space="preserve">Eleana Marcela </w:t>
            </w:r>
            <w:r w:rsidR="00D74B1D">
              <w:rPr>
                <w:sz w:val="20"/>
                <w:szCs w:val="22"/>
              </w:rPr>
              <w:t>Páez</w:t>
            </w:r>
            <w:r>
              <w:rPr>
                <w:sz w:val="20"/>
                <w:szCs w:val="22"/>
              </w:rPr>
              <w:t xml:space="preserve"> Urrego</w:t>
            </w:r>
          </w:p>
          <w:p w14:paraId="0868F486" w14:textId="36EB7A81" w:rsidR="000A4F21" w:rsidRPr="00097C7B" w:rsidRDefault="000A4F21" w:rsidP="0053639C">
            <w:pPr>
              <w:pStyle w:val="Prrafodelista"/>
              <w:ind w:left="31"/>
              <w:jc w:val="both"/>
              <w:rPr>
                <w:sz w:val="20"/>
                <w:szCs w:val="22"/>
              </w:rPr>
            </w:pPr>
            <w:r>
              <w:rPr>
                <w:sz w:val="20"/>
                <w:szCs w:val="22"/>
              </w:rPr>
              <w:t xml:space="preserve">Fabio Alberto Salazar Machado </w:t>
            </w:r>
          </w:p>
        </w:tc>
      </w:tr>
      <w:tr w:rsidR="0045782D" w14:paraId="022BA904" w14:textId="77777777" w:rsidTr="00C2690A">
        <w:trPr>
          <w:trHeight w:val="651"/>
        </w:trPr>
        <w:tc>
          <w:tcPr>
            <w:tcW w:w="2166" w:type="pct"/>
            <w:shd w:val="clear" w:color="auto" w:fill="F2F2F2" w:themeFill="background1" w:themeFillShade="F2"/>
            <w:vAlign w:val="center"/>
          </w:tcPr>
          <w:p w14:paraId="0C29F327" w14:textId="0FB316A9" w:rsidR="0045782D" w:rsidRPr="00AD5687" w:rsidRDefault="0045782D" w:rsidP="0045782D">
            <w:pPr>
              <w:jc w:val="both"/>
              <w:rPr>
                <w:rFonts w:cs="Arial"/>
                <w:b/>
                <w:sz w:val="20"/>
                <w:szCs w:val="22"/>
                <w:lang w:val="es-MX"/>
              </w:rPr>
            </w:pPr>
            <w:r w:rsidRPr="00AD5687">
              <w:rPr>
                <w:rFonts w:cs="Arial"/>
                <w:b/>
                <w:sz w:val="20"/>
                <w:szCs w:val="22"/>
              </w:rPr>
              <w:t>FECHA DE EJECUCIÓN DE LA AUDITORÍA</w:t>
            </w:r>
          </w:p>
        </w:tc>
        <w:tc>
          <w:tcPr>
            <w:tcW w:w="2834" w:type="pct"/>
            <w:gridSpan w:val="6"/>
            <w:vAlign w:val="center"/>
          </w:tcPr>
          <w:p w14:paraId="4061C768" w14:textId="27ED5552" w:rsidR="0045782D" w:rsidRPr="00097C7B" w:rsidRDefault="00C2690A" w:rsidP="0053639C">
            <w:pPr>
              <w:pStyle w:val="Prrafodelista"/>
              <w:ind w:left="31"/>
              <w:jc w:val="both"/>
              <w:rPr>
                <w:sz w:val="20"/>
                <w:szCs w:val="22"/>
              </w:rPr>
            </w:pPr>
            <w:r>
              <w:rPr>
                <w:sz w:val="20"/>
                <w:szCs w:val="22"/>
              </w:rPr>
              <w:t>Del 3 al 12</w:t>
            </w:r>
            <w:r w:rsidR="003614C7">
              <w:rPr>
                <w:sz w:val="20"/>
                <w:szCs w:val="22"/>
              </w:rPr>
              <w:t xml:space="preserve"> de mayo de 2021</w:t>
            </w:r>
          </w:p>
        </w:tc>
      </w:tr>
      <w:tr w:rsidR="0045782D" w14:paraId="48D3900F" w14:textId="77777777" w:rsidTr="000804B7">
        <w:trPr>
          <w:trHeight w:val="498"/>
        </w:trPr>
        <w:tc>
          <w:tcPr>
            <w:tcW w:w="2166" w:type="pct"/>
            <w:shd w:val="clear" w:color="auto" w:fill="F2F2F2" w:themeFill="background1" w:themeFillShade="F2"/>
            <w:vAlign w:val="center"/>
          </w:tcPr>
          <w:p w14:paraId="5FFFB5D3" w14:textId="64791308" w:rsidR="0045782D" w:rsidRPr="00AD5687" w:rsidRDefault="0045782D" w:rsidP="0045782D">
            <w:pPr>
              <w:jc w:val="both"/>
              <w:rPr>
                <w:rFonts w:cs="Arial"/>
                <w:b/>
                <w:sz w:val="20"/>
                <w:szCs w:val="22"/>
                <w:lang w:val="es-MX"/>
              </w:rPr>
            </w:pPr>
            <w:r w:rsidRPr="00AD5687">
              <w:rPr>
                <w:rFonts w:cs="Arial"/>
                <w:b/>
                <w:sz w:val="20"/>
                <w:szCs w:val="22"/>
              </w:rPr>
              <w:t>INSUMOS</w:t>
            </w:r>
          </w:p>
        </w:tc>
        <w:tc>
          <w:tcPr>
            <w:tcW w:w="2834" w:type="pct"/>
            <w:gridSpan w:val="6"/>
            <w:shd w:val="clear" w:color="auto" w:fill="auto"/>
          </w:tcPr>
          <w:p w14:paraId="6FEF4268" w14:textId="4B22EE9B" w:rsidR="0045782D" w:rsidRPr="00097C7B" w:rsidRDefault="00C23380" w:rsidP="0053639C">
            <w:pPr>
              <w:pStyle w:val="Prrafodelista"/>
              <w:ind w:left="31"/>
              <w:jc w:val="both"/>
              <w:rPr>
                <w:sz w:val="20"/>
                <w:szCs w:val="22"/>
              </w:rPr>
            </w:pPr>
            <w:r w:rsidRPr="00267646">
              <w:rPr>
                <w:sz w:val="20"/>
                <w:szCs w:val="22"/>
              </w:rPr>
              <w:t xml:space="preserve">Los resultados se fundamentan en la evaluación  de la información publicada en la página web institucional, en el enlace </w:t>
            </w:r>
            <w:hyperlink r:id="rId7" w:history="1">
              <w:r w:rsidR="009A05C8" w:rsidRPr="00C10470">
                <w:rPr>
                  <w:rStyle w:val="Hipervnculo"/>
                  <w:sz w:val="20"/>
                  <w:szCs w:val="22"/>
                </w:rPr>
                <w:t>https://idpc.gov.co/transparencia-y-acceso-a-la-informacion-publica-ley-1712-del-6-de-marzo-de-</w:t>
              </w:r>
              <w:r w:rsidR="009A05C8" w:rsidRPr="00C10470">
                <w:rPr>
                  <w:rStyle w:val="Hipervnculo"/>
                  <w:sz w:val="20"/>
                  <w:szCs w:val="22"/>
                </w:rPr>
                <w:lastRenderedPageBreak/>
                <w:t>2014</w:t>
              </w:r>
            </w:hyperlink>
            <w:r w:rsidR="009A05C8">
              <w:rPr>
                <w:sz w:val="20"/>
                <w:szCs w:val="22"/>
              </w:rPr>
              <w:t>, en la solicitud de información con radicado 20211200075973 del 3 de mayo de 2021, y la respuesta enviada por la Subdirección de Gestión Corporativa del 10 de mayo de 2021 y radicado 20215100079283.</w:t>
            </w:r>
          </w:p>
        </w:tc>
      </w:tr>
      <w:tr w:rsidR="0045782D" w14:paraId="0ACC3BE1" w14:textId="77777777" w:rsidTr="006F79F3">
        <w:trPr>
          <w:trHeight w:val="659"/>
        </w:trPr>
        <w:tc>
          <w:tcPr>
            <w:tcW w:w="2166" w:type="pct"/>
            <w:shd w:val="clear" w:color="auto" w:fill="F2F2F2" w:themeFill="background1" w:themeFillShade="F2"/>
            <w:vAlign w:val="center"/>
          </w:tcPr>
          <w:p w14:paraId="774A6816" w14:textId="13DBF83E" w:rsidR="0045782D" w:rsidRPr="00AD5687" w:rsidRDefault="0045782D" w:rsidP="0045782D">
            <w:pPr>
              <w:jc w:val="both"/>
              <w:rPr>
                <w:rFonts w:cs="Arial"/>
                <w:b/>
                <w:sz w:val="20"/>
                <w:szCs w:val="22"/>
                <w:lang w:val="es-MX"/>
              </w:rPr>
            </w:pPr>
            <w:r w:rsidRPr="00AD5687">
              <w:rPr>
                <w:rFonts w:cs="Arial"/>
                <w:b/>
                <w:sz w:val="20"/>
                <w:szCs w:val="22"/>
              </w:rPr>
              <w:lastRenderedPageBreak/>
              <w:t>LIMITACIONES DE LA EVALUACIÓN Y/O SEGUIMIENTO</w:t>
            </w:r>
          </w:p>
        </w:tc>
        <w:tc>
          <w:tcPr>
            <w:tcW w:w="2834" w:type="pct"/>
            <w:gridSpan w:val="6"/>
            <w:vAlign w:val="center"/>
          </w:tcPr>
          <w:p w14:paraId="7C880F9F" w14:textId="51D218D1" w:rsidR="0045782D" w:rsidRPr="00097C7B" w:rsidRDefault="003614C7" w:rsidP="0053639C">
            <w:pPr>
              <w:pStyle w:val="Prrafodelista"/>
              <w:ind w:left="31"/>
              <w:jc w:val="both"/>
              <w:rPr>
                <w:sz w:val="20"/>
                <w:szCs w:val="22"/>
              </w:rPr>
            </w:pPr>
            <w:r>
              <w:rPr>
                <w:sz w:val="20"/>
                <w:szCs w:val="22"/>
              </w:rPr>
              <w:t xml:space="preserve">Ninguna </w:t>
            </w:r>
          </w:p>
        </w:tc>
      </w:tr>
    </w:tbl>
    <w:p w14:paraId="37630393" w14:textId="77777777" w:rsidR="00F1402C" w:rsidRDefault="00F1402C" w:rsidP="007E187A">
      <w:pPr>
        <w:pStyle w:val="Prrafodelista"/>
        <w:rPr>
          <w:rFonts w:cs="Arial"/>
          <w:b/>
        </w:rPr>
      </w:pPr>
    </w:p>
    <w:p w14:paraId="6C8CE5A8" w14:textId="77777777" w:rsidR="00F1402C" w:rsidRDefault="00F1402C" w:rsidP="007E187A">
      <w:pPr>
        <w:pStyle w:val="Prrafodelista"/>
        <w:rPr>
          <w:rFonts w:cs="Arial"/>
          <w:b/>
        </w:rPr>
      </w:pPr>
    </w:p>
    <w:p w14:paraId="45635FF4" w14:textId="59482FE9" w:rsidR="007E187A" w:rsidRPr="007E187A" w:rsidRDefault="007E187A" w:rsidP="007E187A">
      <w:pPr>
        <w:pStyle w:val="Prrafodelista"/>
        <w:numPr>
          <w:ilvl w:val="0"/>
          <w:numId w:val="8"/>
        </w:numPr>
        <w:jc w:val="center"/>
        <w:rPr>
          <w:rFonts w:cs="Arial"/>
          <w:b/>
        </w:rPr>
      </w:pPr>
      <w:r w:rsidRPr="007E187A">
        <w:rPr>
          <w:rFonts w:cs="Arial"/>
          <w:b/>
        </w:rPr>
        <w:t>RESULTADOS DE LA EVALUACIÓN Y/O SEGUIMIENTO</w:t>
      </w:r>
    </w:p>
    <w:p w14:paraId="1064F87F" w14:textId="77777777" w:rsidR="007E187A" w:rsidRPr="007E187A" w:rsidRDefault="007E187A" w:rsidP="007E187A">
      <w:pPr>
        <w:jc w:val="both"/>
        <w:rPr>
          <w:rFonts w:cs="Arial"/>
          <w:b/>
        </w:rPr>
      </w:pPr>
    </w:p>
    <w:p w14:paraId="01905761" w14:textId="6BD7F1A1" w:rsidR="00D77F4B" w:rsidRDefault="00D77F4B" w:rsidP="00D77F4B">
      <w:pPr>
        <w:jc w:val="both"/>
        <w:rPr>
          <w:rFonts w:cs="Arial"/>
        </w:rPr>
      </w:pPr>
      <w:r>
        <w:rPr>
          <w:rFonts w:cs="Arial"/>
        </w:rPr>
        <w:t>La presente evaluación se realizó de conformidad con el Decreto 103 de 2015</w:t>
      </w:r>
      <w:r w:rsidR="000855C4">
        <w:rPr>
          <w:rFonts w:cs="Arial"/>
        </w:rPr>
        <w:t xml:space="preserve"> </w:t>
      </w:r>
      <w:r>
        <w:rPr>
          <w:rFonts w:cs="Arial"/>
        </w:rPr>
        <w:t>y la Resoluci</w:t>
      </w:r>
      <w:r w:rsidR="00E93025">
        <w:rPr>
          <w:rFonts w:cs="Arial"/>
        </w:rPr>
        <w:t>ón 151</w:t>
      </w:r>
      <w:r>
        <w:rPr>
          <w:rFonts w:cs="Arial"/>
        </w:rPr>
        <w:t xml:space="preserve">9 de 2020, con base en los procedimientos establecidos </w:t>
      </w:r>
      <w:r w:rsidR="004767B8">
        <w:rPr>
          <w:rFonts w:cs="Arial"/>
        </w:rPr>
        <w:t xml:space="preserve">para el ejercicio y garantía del derecho y las excepciones a la publicidad de la información. </w:t>
      </w:r>
    </w:p>
    <w:p w14:paraId="1DB34003" w14:textId="735986BA" w:rsidR="00E93025" w:rsidRDefault="00E93025" w:rsidP="00D77F4B">
      <w:pPr>
        <w:jc w:val="both"/>
        <w:rPr>
          <w:rFonts w:cs="Arial"/>
        </w:rPr>
      </w:pPr>
    </w:p>
    <w:p w14:paraId="13577424" w14:textId="565DAA05" w:rsidR="006203C2" w:rsidRDefault="00E93025" w:rsidP="00D77F4B">
      <w:pPr>
        <w:jc w:val="both"/>
        <w:rPr>
          <w:rFonts w:cs="Arial"/>
        </w:rPr>
      </w:pPr>
      <w:r>
        <w:rPr>
          <w:rFonts w:cs="Arial"/>
        </w:rPr>
        <w:t xml:space="preserve">En relación a esta última normatividad, la Entidad debe </w:t>
      </w:r>
      <w:r w:rsidR="006203C2">
        <w:rPr>
          <w:rFonts w:cs="Arial"/>
        </w:rPr>
        <w:t>lo siguiente:</w:t>
      </w:r>
    </w:p>
    <w:p w14:paraId="62505775" w14:textId="42FBA2F6" w:rsidR="0053639C" w:rsidRDefault="0053639C" w:rsidP="0053639C">
      <w:pPr>
        <w:pStyle w:val="Prrafodelista"/>
        <w:numPr>
          <w:ilvl w:val="0"/>
          <w:numId w:val="23"/>
        </w:numPr>
        <w:ind w:left="426"/>
        <w:jc w:val="both"/>
        <w:rPr>
          <w:rFonts w:cs="Arial"/>
        </w:rPr>
      </w:pPr>
      <w:r>
        <w:rPr>
          <w:rFonts w:cs="Arial"/>
        </w:rPr>
        <w:t>Directrices de accesibilidad Web, contenidas en el anexo 1 de la Resolución</w:t>
      </w:r>
    </w:p>
    <w:p w14:paraId="258EDEE9" w14:textId="6E74C9A2" w:rsidR="0053639C" w:rsidRDefault="0053639C" w:rsidP="0053639C">
      <w:pPr>
        <w:pStyle w:val="Prrafodelista"/>
        <w:numPr>
          <w:ilvl w:val="0"/>
          <w:numId w:val="23"/>
        </w:numPr>
        <w:ind w:left="426"/>
        <w:jc w:val="both"/>
        <w:rPr>
          <w:rFonts w:cs="Arial"/>
        </w:rPr>
      </w:pPr>
      <w:r>
        <w:rPr>
          <w:rFonts w:cs="Arial"/>
        </w:rPr>
        <w:t>Estándares de Publicación y Divulgación de Contenidos e Información, incluidos en el anexo 2 de la resolución</w:t>
      </w:r>
    </w:p>
    <w:p w14:paraId="34385492" w14:textId="5287949B" w:rsidR="0053639C" w:rsidRDefault="0053639C" w:rsidP="0053639C">
      <w:pPr>
        <w:pStyle w:val="Prrafodelista"/>
        <w:numPr>
          <w:ilvl w:val="0"/>
          <w:numId w:val="23"/>
        </w:numPr>
        <w:ind w:left="426"/>
        <w:jc w:val="both"/>
        <w:rPr>
          <w:rFonts w:cs="Arial"/>
        </w:rPr>
      </w:pPr>
      <w:r>
        <w:rPr>
          <w:rFonts w:cs="Arial"/>
        </w:rPr>
        <w:t>Condiciones mínimas técnicas y de Seguridad Digital, establecidas en el anexo 3 de la norma.</w:t>
      </w:r>
    </w:p>
    <w:p w14:paraId="56B1A65A" w14:textId="710CB27E" w:rsidR="0053639C" w:rsidRPr="0053639C" w:rsidRDefault="0053639C" w:rsidP="0053639C">
      <w:pPr>
        <w:pStyle w:val="Prrafodelista"/>
        <w:numPr>
          <w:ilvl w:val="0"/>
          <w:numId w:val="23"/>
        </w:numPr>
        <w:ind w:left="426"/>
        <w:jc w:val="both"/>
        <w:rPr>
          <w:rFonts w:cs="Arial"/>
        </w:rPr>
      </w:pPr>
      <w:r>
        <w:rPr>
          <w:rFonts w:cs="Arial"/>
        </w:rPr>
        <w:t>Condiciones mínimas de publicación de datos abiertos, fijadas en el anexo 4 de la resolución.</w:t>
      </w:r>
    </w:p>
    <w:p w14:paraId="2285A01A" w14:textId="77777777" w:rsidR="00F43E44" w:rsidRDefault="00F43E44" w:rsidP="00D77F4B">
      <w:pPr>
        <w:jc w:val="both"/>
        <w:rPr>
          <w:rFonts w:cs="Arial"/>
        </w:rPr>
      </w:pPr>
    </w:p>
    <w:p w14:paraId="0B4F8F02" w14:textId="69F84D01" w:rsidR="004F204B" w:rsidRDefault="000804B7" w:rsidP="00D77F4B">
      <w:pPr>
        <w:jc w:val="both"/>
        <w:rPr>
          <w:rFonts w:cs="Arial"/>
        </w:rPr>
      </w:pPr>
      <w:r>
        <w:rPr>
          <w:rFonts w:cs="Arial"/>
        </w:rPr>
        <w:t>El presente informe se enfoca en la aplicación de los estándares de publicación y divulgación contenidos en el anexo 2, los demás lineamientos se verificarán en el siguiente informe con el acompañamiento de las áreas responsables.</w:t>
      </w:r>
    </w:p>
    <w:p w14:paraId="75AEFC0C" w14:textId="77777777" w:rsidR="000804B7" w:rsidRDefault="000804B7" w:rsidP="00D77F4B">
      <w:pPr>
        <w:jc w:val="both"/>
        <w:rPr>
          <w:rFonts w:cs="Arial"/>
        </w:rPr>
      </w:pPr>
    </w:p>
    <w:p w14:paraId="362A4AEB" w14:textId="77777777" w:rsidR="00275432" w:rsidRDefault="00275432" w:rsidP="00D77F4B">
      <w:pPr>
        <w:jc w:val="both"/>
        <w:rPr>
          <w:rFonts w:cs="Arial"/>
        </w:rPr>
      </w:pPr>
    </w:p>
    <w:p w14:paraId="55084CA6" w14:textId="6E92AB45" w:rsidR="000804B7" w:rsidRPr="000804B7" w:rsidRDefault="000804B7" w:rsidP="000804B7">
      <w:pPr>
        <w:pStyle w:val="Prrafodelista"/>
        <w:numPr>
          <w:ilvl w:val="1"/>
          <w:numId w:val="24"/>
        </w:numPr>
        <w:rPr>
          <w:rFonts w:cs="Arial"/>
          <w:b/>
        </w:rPr>
      </w:pPr>
      <w:r w:rsidRPr="000804B7">
        <w:rPr>
          <w:rFonts w:cs="Arial"/>
          <w:b/>
        </w:rPr>
        <w:t>VERIFICACIÓN ANEXO 2</w:t>
      </w:r>
    </w:p>
    <w:p w14:paraId="331BECB4" w14:textId="77777777" w:rsidR="000804B7" w:rsidRDefault="000804B7" w:rsidP="00D77F4B">
      <w:pPr>
        <w:jc w:val="both"/>
        <w:rPr>
          <w:rFonts w:cs="Arial"/>
        </w:rPr>
      </w:pPr>
    </w:p>
    <w:p w14:paraId="6C4F6F07" w14:textId="34A255ED" w:rsidR="00673BA4" w:rsidRDefault="00016817" w:rsidP="00D77F4B">
      <w:pPr>
        <w:jc w:val="both"/>
        <w:rPr>
          <w:rFonts w:cs="Arial"/>
        </w:rPr>
      </w:pPr>
      <w:r>
        <w:rPr>
          <w:rFonts w:cs="Arial"/>
        </w:rPr>
        <w:t>Indica</w:t>
      </w:r>
      <w:r w:rsidR="00673BA4">
        <w:rPr>
          <w:rFonts w:cs="Arial"/>
        </w:rPr>
        <w:t xml:space="preserve"> la norma que </w:t>
      </w:r>
      <w:r w:rsidR="000804B7">
        <w:rPr>
          <w:rFonts w:cs="Arial"/>
        </w:rPr>
        <w:t>l</w:t>
      </w:r>
      <w:r w:rsidR="000804B7" w:rsidRPr="000804B7">
        <w:rPr>
          <w:rFonts w:cs="Arial"/>
        </w:rPr>
        <w:t>os sujetos obligados deberán adoptar sus sitios web bajo los siguientes estándares y lineamientos, los cuales deberán procurar el acceso autónomo e independiente de las personas con discapacidad sensorial e intelectual:</w:t>
      </w:r>
    </w:p>
    <w:p w14:paraId="5BD5BF8B" w14:textId="1FE34250" w:rsidR="00625C13" w:rsidRDefault="00625C13" w:rsidP="00D77F4B">
      <w:pPr>
        <w:jc w:val="both"/>
        <w:rPr>
          <w:rFonts w:cs="Arial"/>
        </w:rPr>
      </w:pPr>
    </w:p>
    <w:p w14:paraId="6C73C43C" w14:textId="18F6F90E" w:rsidR="00625C13" w:rsidRPr="00CD4722" w:rsidRDefault="00CD4722" w:rsidP="00D77F4B">
      <w:pPr>
        <w:jc w:val="both"/>
        <w:rPr>
          <w:rFonts w:cs="Arial"/>
          <w:i/>
          <w:u w:val="single"/>
        </w:rPr>
      </w:pPr>
      <w:r w:rsidRPr="00CD4722">
        <w:rPr>
          <w:rFonts w:cs="Arial"/>
          <w:i/>
          <w:u w:val="single"/>
        </w:rPr>
        <w:t>2.1 Top</w:t>
      </w:r>
      <w:r w:rsidR="00625C13" w:rsidRPr="00CD4722">
        <w:rPr>
          <w:rFonts w:cs="Arial"/>
          <w:i/>
          <w:u w:val="single"/>
        </w:rPr>
        <w:t xml:space="preserve"> Bar GOV.</w:t>
      </w:r>
      <w:r>
        <w:rPr>
          <w:rFonts w:cs="Arial"/>
          <w:i/>
          <w:u w:val="single"/>
        </w:rPr>
        <w:t>CO</w:t>
      </w:r>
    </w:p>
    <w:p w14:paraId="56CCCC7B" w14:textId="4F517370" w:rsidR="00625C13" w:rsidRDefault="00625C13" w:rsidP="00D77F4B">
      <w:pPr>
        <w:jc w:val="both"/>
        <w:rPr>
          <w:rFonts w:cs="Arial"/>
        </w:rPr>
      </w:pPr>
    </w:p>
    <w:p w14:paraId="010B1C5E" w14:textId="1CCD8A52" w:rsidR="00625C13" w:rsidRDefault="00625C13" w:rsidP="0063139E">
      <w:pPr>
        <w:jc w:val="both"/>
        <w:rPr>
          <w:rFonts w:cs="Arial"/>
        </w:rPr>
      </w:pPr>
      <w:r w:rsidRPr="00F43E44">
        <w:rPr>
          <w:rFonts w:cs="Arial"/>
        </w:rPr>
        <w:t xml:space="preserve">Las entidades territoriales </w:t>
      </w:r>
      <w:r w:rsidR="00F43E44" w:rsidRPr="00F43E44">
        <w:rPr>
          <w:rFonts w:cs="Arial"/>
        </w:rPr>
        <w:t>deben acondicionar una barra superior completa con acceso al Portal Único del Estado Colombiano –GOV.CO, estará ubicada en la parte superior, la cual deberá aparecer en todas sus páginas y vistas. La barra de GOV.CO contendrá su respectivo logotipo el cual deberá dirigir a</w:t>
      </w:r>
      <w:r w:rsidR="00F43E44">
        <w:rPr>
          <w:rFonts w:cs="Arial"/>
        </w:rPr>
        <w:t xml:space="preserve">l sitio web </w:t>
      </w:r>
      <w:hyperlink r:id="rId8" w:history="1">
        <w:r w:rsidR="0092422C" w:rsidRPr="00C10470">
          <w:rPr>
            <w:rStyle w:val="Hipervnculo"/>
            <w:rFonts w:cs="Arial"/>
          </w:rPr>
          <w:t>https://www.gov.co</w:t>
        </w:r>
      </w:hyperlink>
      <w:r w:rsidR="00F43E44">
        <w:rPr>
          <w:rFonts w:cs="Arial"/>
        </w:rPr>
        <w:t xml:space="preserve"> </w:t>
      </w:r>
    </w:p>
    <w:p w14:paraId="16B4EB4C" w14:textId="77777777" w:rsidR="0092422C" w:rsidRPr="00CD4722" w:rsidRDefault="0092422C" w:rsidP="0092422C">
      <w:pPr>
        <w:jc w:val="both"/>
        <w:rPr>
          <w:noProof/>
        </w:rPr>
      </w:pPr>
    </w:p>
    <w:p w14:paraId="3BEE0649" w14:textId="710CE4DD" w:rsidR="0092422C" w:rsidRDefault="0092422C" w:rsidP="0092422C">
      <w:pPr>
        <w:jc w:val="both"/>
        <w:rPr>
          <w:rFonts w:cs="Arial"/>
        </w:rPr>
      </w:pPr>
      <w:r>
        <w:rPr>
          <w:noProof/>
          <w:lang w:eastAsia="es-CO"/>
        </w:rPr>
        <w:lastRenderedPageBreak/>
        <w:drawing>
          <wp:inline distT="0" distB="0" distL="0" distR="0" wp14:anchorId="710FB653" wp14:editId="1276F6E3">
            <wp:extent cx="5772150" cy="1609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243" t="10264" r="7671" b="38720"/>
                    <a:stretch/>
                  </pic:blipFill>
                  <pic:spPr bwMode="auto">
                    <a:xfrm>
                      <a:off x="0" y="0"/>
                      <a:ext cx="5772150" cy="1609725"/>
                    </a:xfrm>
                    <a:prstGeom prst="rect">
                      <a:avLst/>
                    </a:prstGeom>
                    <a:ln>
                      <a:noFill/>
                    </a:ln>
                    <a:extLst>
                      <a:ext uri="{53640926-AAD7-44D8-BBD7-CCE9431645EC}">
                        <a14:shadowObscured xmlns:a14="http://schemas.microsoft.com/office/drawing/2010/main"/>
                      </a:ext>
                    </a:extLst>
                  </pic:spPr>
                </pic:pic>
              </a:graphicData>
            </a:graphic>
          </wp:inline>
        </w:drawing>
      </w:r>
    </w:p>
    <w:p w14:paraId="69E8DC30" w14:textId="46A49746" w:rsidR="00F43E44" w:rsidRDefault="00F43E44" w:rsidP="00F43E44">
      <w:pPr>
        <w:jc w:val="both"/>
        <w:rPr>
          <w:rFonts w:cs="Arial"/>
        </w:rPr>
      </w:pPr>
    </w:p>
    <w:p w14:paraId="334C2DD9" w14:textId="1EB6A619" w:rsidR="00F43E44" w:rsidRDefault="00F43E44" w:rsidP="00F43E44">
      <w:pPr>
        <w:jc w:val="both"/>
        <w:rPr>
          <w:rFonts w:cs="Arial"/>
        </w:rPr>
      </w:pPr>
      <w:r>
        <w:rPr>
          <w:rFonts w:cs="Arial"/>
        </w:rPr>
        <w:t>La página web Institucional, contiene la des</w:t>
      </w:r>
      <w:r w:rsidR="000804B7">
        <w:rPr>
          <w:rFonts w:cs="Arial"/>
        </w:rPr>
        <w:t xml:space="preserve">cripción que establece la norma, a excepción del acceso al </w:t>
      </w:r>
      <w:r w:rsidR="000804B7" w:rsidRPr="00F43E44">
        <w:rPr>
          <w:rFonts w:cs="Arial"/>
        </w:rPr>
        <w:t>Portal Único del Estado Colombiano</w:t>
      </w:r>
      <w:r w:rsidR="000804B7">
        <w:rPr>
          <w:rFonts w:cs="Arial"/>
        </w:rPr>
        <w:t xml:space="preserve"> </w:t>
      </w:r>
      <w:hyperlink r:id="rId10" w:history="1">
        <w:r w:rsidR="000804B7" w:rsidRPr="00C10470">
          <w:rPr>
            <w:rStyle w:val="Hipervnculo"/>
            <w:rFonts w:cs="Arial"/>
          </w:rPr>
          <w:t>https://www.gov.co</w:t>
        </w:r>
      </w:hyperlink>
    </w:p>
    <w:p w14:paraId="20229F29" w14:textId="7FE6B9B6" w:rsidR="00F43E44" w:rsidRDefault="00F43E44" w:rsidP="00F43E44">
      <w:pPr>
        <w:jc w:val="both"/>
        <w:rPr>
          <w:rFonts w:cs="Arial"/>
        </w:rPr>
      </w:pPr>
    </w:p>
    <w:p w14:paraId="516F7D6B" w14:textId="7F81DD3D" w:rsidR="00F43E44" w:rsidRPr="00CD4722" w:rsidRDefault="00F43E44" w:rsidP="00F43E44">
      <w:pPr>
        <w:jc w:val="both"/>
        <w:rPr>
          <w:rFonts w:cs="Arial"/>
          <w:i/>
          <w:u w:val="single"/>
        </w:rPr>
      </w:pPr>
      <w:r w:rsidRPr="00CD4722">
        <w:rPr>
          <w:rFonts w:cs="Arial"/>
          <w:i/>
          <w:u w:val="single"/>
        </w:rPr>
        <w:t xml:space="preserve">2.2 Footer o </w:t>
      </w:r>
      <w:r w:rsidR="00915D9A" w:rsidRPr="00CD4722">
        <w:rPr>
          <w:rFonts w:cs="Arial"/>
          <w:i/>
          <w:u w:val="single"/>
        </w:rPr>
        <w:t>Pie</w:t>
      </w:r>
      <w:r w:rsidR="00CD4722">
        <w:rPr>
          <w:rFonts w:cs="Arial"/>
          <w:i/>
          <w:u w:val="single"/>
        </w:rPr>
        <w:t xml:space="preserve"> de Página</w:t>
      </w:r>
    </w:p>
    <w:p w14:paraId="59D0B531" w14:textId="01FD1905" w:rsidR="00F43E44" w:rsidRDefault="00F43E44" w:rsidP="00F43E44">
      <w:pPr>
        <w:jc w:val="both"/>
        <w:rPr>
          <w:rFonts w:cs="Arial"/>
        </w:rPr>
      </w:pPr>
      <w:r>
        <w:rPr>
          <w:rFonts w:cs="Arial"/>
        </w:rPr>
        <w:tab/>
      </w:r>
    </w:p>
    <w:p w14:paraId="27612270" w14:textId="52EAFFCE" w:rsidR="00F43E44" w:rsidRDefault="00F43E44" w:rsidP="00F43E44">
      <w:pPr>
        <w:jc w:val="both"/>
      </w:pPr>
      <w:r>
        <w:t xml:space="preserve">Estará ubicado en la parte inferior del portal, bajo el diseño y paleta de colores referido en los lineamientos para acondicionamiento gráfico de sitios </w:t>
      </w:r>
      <w:r w:rsidR="00915D9A">
        <w:t>web,</w:t>
      </w:r>
      <w:r>
        <w:t xml:space="preserve"> e incluirá como mínimo:</w:t>
      </w:r>
    </w:p>
    <w:p w14:paraId="6B2FB168" w14:textId="46824E6A" w:rsidR="00F43E44" w:rsidRPr="00F43E44" w:rsidRDefault="00F43E44" w:rsidP="00F43E44">
      <w:pPr>
        <w:jc w:val="both"/>
        <w:rPr>
          <w:rFonts w:cs="Arial"/>
        </w:rPr>
      </w:pPr>
    </w:p>
    <w:p w14:paraId="600ED23D" w14:textId="298583FE" w:rsidR="000804B7" w:rsidRDefault="000804B7" w:rsidP="00CD4722">
      <w:pPr>
        <w:pStyle w:val="Prrafodelista"/>
        <w:numPr>
          <w:ilvl w:val="0"/>
          <w:numId w:val="17"/>
        </w:numPr>
        <w:ind w:left="426"/>
        <w:jc w:val="both"/>
      </w:pPr>
      <w:r w:rsidRPr="000804B7">
        <w:t>Imagen del Portal Único del Estado Colombiano y el logo de la marca país CO - Colombia.</w:t>
      </w:r>
    </w:p>
    <w:p w14:paraId="3C462A60" w14:textId="513D2633" w:rsidR="0092422C" w:rsidRDefault="00F43E44" w:rsidP="00CD4722">
      <w:pPr>
        <w:pStyle w:val="Prrafodelista"/>
        <w:numPr>
          <w:ilvl w:val="0"/>
          <w:numId w:val="17"/>
        </w:numPr>
        <w:ind w:left="426"/>
        <w:jc w:val="both"/>
      </w:pPr>
      <w:r>
        <w:t xml:space="preserve">Nombre de la entidad, dirección incluyendo el departamento (si aplica) y municipio o distrito. </w:t>
      </w:r>
    </w:p>
    <w:p w14:paraId="20C599F8" w14:textId="533577BE" w:rsidR="0092422C" w:rsidRDefault="00F43E44" w:rsidP="00CD4722">
      <w:pPr>
        <w:pStyle w:val="Prrafodelista"/>
        <w:numPr>
          <w:ilvl w:val="0"/>
          <w:numId w:val="17"/>
        </w:numPr>
        <w:ind w:left="426"/>
        <w:jc w:val="both"/>
      </w:pPr>
      <w:r>
        <w:t xml:space="preserve">Vínculo a redes sociales. </w:t>
      </w:r>
    </w:p>
    <w:p w14:paraId="3E466FA0" w14:textId="77777777" w:rsidR="00DC5796" w:rsidRDefault="00F43E44" w:rsidP="00D77F4B">
      <w:pPr>
        <w:pStyle w:val="Prrafodelista"/>
        <w:numPr>
          <w:ilvl w:val="0"/>
          <w:numId w:val="17"/>
        </w:numPr>
        <w:ind w:left="426"/>
        <w:jc w:val="both"/>
      </w:pPr>
      <w:r>
        <w:t xml:space="preserve">Datos de contacto, incluyendo lo siguiente: teléfono conmutador, línea gratuita o línea de servicio a la ciudadanía o el usuario, línea anticorrupción (si cuenta con la misma), identificación de canales físicos y electrónicos para atención al público, correo de notificaciones judiciales, enlace para el mapa del sitio, y un enlace para vincular a las políticas que hace referencia en el numeral 2.3. Todas las líneas telefónicas deberán incluir el prefijo de país +57, y el número significativo nacional (indicativo nacional) que determine la Comisión de Regulación de Comunicaciones. </w:t>
      </w:r>
    </w:p>
    <w:p w14:paraId="0D568FF8" w14:textId="2F352F22" w:rsidR="004D0B16" w:rsidRPr="00CD4722" w:rsidRDefault="00DC5796" w:rsidP="00D77F4B">
      <w:pPr>
        <w:pStyle w:val="Prrafodelista"/>
        <w:numPr>
          <w:ilvl w:val="0"/>
          <w:numId w:val="17"/>
        </w:numPr>
        <w:ind w:left="426"/>
        <w:jc w:val="both"/>
      </w:pPr>
      <w:r w:rsidRPr="00DC5796">
        <w:rPr>
          <w:rFonts w:cs="Arial"/>
          <w:color w:val="000000"/>
          <w:sz w:val="21"/>
          <w:szCs w:val="21"/>
        </w:rPr>
        <w:t>Para las entidades territoriales la paleta de colores podrá variar, conforme con los colores institucionales del respectivo sujeto obligado.</w:t>
      </w:r>
    </w:p>
    <w:p w14:paraId="690BF278" w14:textId="77777777" w:rsidR="00C54279" w:rsidRPr="00CD4722" w:rsidRDefault="00C54279" w:rsidP="00D77F4B">
      <w:pPr>
        <w:jc w:val="both"/>
        <w:rPr>
          <w:noProof/>
        </w:rPr>
      </w:pPr>
    </w:p>
    <w:p w14:paraId="70DB570F" w14:textId="0F88DADD" w:rsidR="004D0B16" w:rsidRDefault="00C54279" w:rsidP="00D77F4B">
      <w:pPr>
        <w:jc w:val="both"/>
        <w:rPr>
          <w:rFonts w:cs="Arial"/>
        </w:rPr>
      </w:pPr>
      <w:r>
        <w:rPr>
          <w:noProof/>
          <w:lang w:eastAsia="es-CO"/>
        </w:rPr>
        <w:drawing>
          <wp:inline distT="0" distB="0" distL="0" distR="0" wp14:anchorId="2EE2B022" wp14:editId="38076128">
            <wp:extent cx="5612130" cy="251460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0264" b="10042"/>
                    <a:stretch/>
                  </pic:blipFill>
                  <pic:spPr bwMode="auto">
                    <a:xfrm>
                      <a:off x="0" y="0"/>
                      <a:ext cx="5612130" cy="2514600"/>
                    </a:xfrm>
                    <a:prstGeom prst="rect">
                      <a:avLst/>
                    </a:prstGeom>
                    <a:ln>
                      <a:noFill/>
                    </a:ln>
                    <a:extLst>
                      <a:ext uri="{53640926-AAD7-44D8-BBD7-CCE9431645EC}">
                        <a14:shadowObscured xmlns:a14="http://schemas.microsoft.com/office/drawing/2010/main"/>
                      </a:ext>
                    </a:extLst>
                  </pic:spPr>
                </pic:pic>
              </a:graphicData>
            </a:graphic>
          </wp:inline>
        </w:drawing>
      </w:r>
    </w:p>
    <w:p w14:paraId="366E2EE5" w14:textId="183305BE" w:rsidR="004D0B16" w:rsidRDefault="00C54279" w:rsidP="00D77F4B">
      <w:pPr>
        <w:jc w:val="both"/>
        <w:rPr>
          <w:rFonts w:cs="Arial"/>
        </w:rPr>
      </w:pPr>
      <w:r>
        <w:rPr>
          <w:rFonts w:cs="Arial"/>
        </w:rPr>
        <w:lastRenderedPageBreak/>
        <w:t>El pie de página contiene los</w:t>
      </w:r>
      <w:r w:rsidR="000804B7">
        <w:rPr>
          <w:rFonts w:cs="Arial"/>
        </w:rPr>
        <w:t xml:space="preserve"> requisitos de la norma, a excepción de la </w:t>
      </w:r>
      <w:r w:rsidR="000804B7">
        <w:rPr>
          <w:rFonts w:cs="Arial"/>
          <w:color w:val="000000"/>
          <w:sz w:val="21"/>
          <w:szCs w:val="21"/>
        </w:rPr>
        <w:t>imagen del Portal Único del Estado Colombiano y el logo de la marca país CO - Colombia.</w:t>
      </w:r>
    </w:p>
    <w:p w14:paraId="42D1E3B7" w14:textId="2E036060" w:rsidR="004D0B16" w:rsidRDefault="004D0B16" w:rsidP="00D77F4B">
      <w:pPr>
        <w:jc w:val="both"/>
        <w:rPr>
          <w:rFonts w:cs="Arial"/>
        </w:rPr>
      </w:pPr>
    </w:p>
    <w:p w14:paraId="529514EC" w14:textId="64AA548E" w:rsidR="007F0886" w:rsidRPr="00CD4722" w:rsidRDefault="007F0886" w:rsidP="00D77F4B">
      <w:pPr>
        <w:jc w:val="both"/>
        <w:rPr>
          <w:rFonts w:cs="Arial"/>
          <w:i/>
          <w:u w:val="single"/>
        </w:rPr>
      </w:pPr>
      <w:r w:rsidRPr="00CD4722">
        <w:rPr>
          <w:rFonts w:cs="Arial"/>
          <w:i/>
          <w:u w:val="single"/>
        </w:rPr>
        <w:t xml:space="preserve">2.3 Requisitos mínimos de </w:t>
      </w:r>
      <w:r w:rsidR="00CD4722">
        <w:rPr>
          <w:rFonts w:cs="Arial"/>
          <w:i/>
          <w:u w:val="single"/>
        </w:rPr>
        <w:t>Políticas de cumplimiento legal</w:t>
      </w:r>
      <w:r w:rsidRPr="00CD4722">
        <w:rPr>
          <w:rFonts w:cs="Arial"/>
          <w:i/>
          <w:u w:val="single"/>
        </w:rPr>
        <w:t xml:space="preserve"> </w:t>
      </w:r>
    </w:p>
    <w:p w14:paraId="2FF0B75C" w14:textId="083F7FBC" w:rsidR="007F0886" w:rsidRDefault="007F0886" w:rsidP="00D77F4B">
      <w:pPr>
        <w:jc w:val="both"/>
        <w:rPr>
          <w:rFonts w:cs="Arial"/>
        </w:rPr>
      </w:pPr>
    </w:p>
    <w:p w14:paraId="07140D0B" w14:textId="0A0EC8D8" w:rsidR="007F0886" w:rsidRDefault="007F0886" w:rsidP="007F0886">
      <w:pPr>
        <w:jc w:val="both"/>
        <w:rPr>
          <w:rFonts w:cs="Arial"/>
        </w:rPr>
      </w:pPr>
      <w:r>
        <w:t xml:space="preserve">Los sujetos obligados deberán publicar en el </w:t>
      </w:r>
      <w:r w:rsidR="0068102B">
        <w:t>pie</w:t>
      </w:r>
      <w:r>
        <w:t xml:space="preserve"> de página o footer, los documentos aprobados que hagan referencia a las siguientes políticas:</w:t>
      </w:r>
    </w:p>
    <w:p w14:paraId="731D980D" w14:textId="3DC3A5B3" w:rsidR="007F0886" w:rsidRDefault="007F0886" w:rsidP="00D77F4B">
      <w:pPr>
        <w:jc w:val="both"/>
        <w:rPr>
          <w:rFonts w:cs="Arial"/>
        </w:rPr>
      </w:pPr>
    </w:p>
    <w:p w14:paraId="15B88811" w14:textId="4F076324" w:rsidR="007F0886" w:rsidRPr="00CD4722" w:rsidRDefault="007F0886" w:rsidP="00CD4722">
      <w:pPr>
        <w:pStyle w:val="Prrafodelista"/>
        <w:numPr>
          <w:ilvl w:val="0"/>
          <w:numId w:val="15"/>
        </w:numPr>
        <w:ind w:left="426"/>
        <w:jc w:val="both"/>
        <w:rPr>
          <w:rFonts w:cs="Arial"/>
        </w:rPr>
      </w:pPr>
      <w:r w:rsidRPr="00CD4722">
        <w:rPr>
          <w:rFonts w:cs="Arial"/>
        </w:rPr>
        <w:t xml:space="preserve">Términos y </w:t>
      </w:r>
      <w:r w:rsidR="0092474A">
        <w:rPr>
          <w:rFonts w:cs="Arial"/>
        </w:rPr>
        <w:t>condiciones</w:t>
      </w:r>
    </w:p>
    <w:p w14:paraId="779D6AB7" w14:textId="6DA30F1A" w:rsidR="007F0886" w:rsidRPr="00CD4722" w:rsidRDefault="007F0886" w:rsidP="00CD4722">
      <w:pPr>
        <w:pStyle w:val="Prrafodelista"/>
        <w:numPr>
          <w:ilvl w:val="0"/>
          <w:numId w:val="15"/>
        </w:numPr>
        <w:ind w:left="426"/>
        <w:jc w:val="both"/>
        <w:rPr>
          <w:rFonts w:cs="Arial"/>
        </w:rPr>
      </w:pPr>
      <w:r w:rsidRPr="00CD4722">
        <w:rPr>
          <w:rFonts w:cs="Arial"/>
        </w:rPr>
        <w:t>Política de privacidad y tratamiento de datos personales.</w:t>
      </w:r>
    </w:p>
    <w:p w14:paraId="66AC7B6C" w14:textId="238751D5" w:rsidR="007F0886" w:rsidRDefault="007F0886" w:rsidP="00CD4722">
      <w:pPr>
        <w:pStyle w:val="Prrafodelista"/>
        <w:numPr>
          <w:ilvl w:val="0"/>
          <w:numId w:val="15"/>
        </w:numPr>
        <w:ind w:left="426"/>
        <w:jc w:val="both"/>
        <w:rPr>
          <w:rFonts w:cs="Arial"/>
        </w:rPr>
      </w:pPr>
      <w:r w:rsidRPr="00CD4722">
        <w:rPr>
          <w:rFonts w:cs="Arial"/>
        </w:rPr>
        <w:t xml:space="preserve">Política de derechos de autor </w:t>
      </w:r>
    </w:p>
    <w:p w14:paraId="265DF54F" w14:textId="52665D18" w:rsidR="00DC5796" w:rsidRPr="00DC5796" w:rsidRDefault="00DC5796" w:rsidP="00CD4722">
      <w:pPr>
        <w:pStyle w:val="Prrafodelista"/>
        <w:numPr>
          <w:ilvl w:val="0"/>
          <w:numId w:val="15"/>
        </w:numPr>
        <w:ind w:left="426"/>
        <w:jc w:val="both"/>
        <w:rPr>
          <w:rFonts w:cs="Arial"/>
        </w:rPr>
      </w:pPr>
      <w:r w:rsidRPr="00DC5796">
        <w:rPr>
          <w:rFonts w:cs="Arial"/>
          <w:bCs/>
        </w:rPr>
        <w:t>Otras que correspondan conforme con la normativa vigente.</w:t>
      </w:r>
    </w:p>
    <w:p w14:paraId="53880C89" w14:textId="012F39C4" w:rsidR="004D7D08" w:rsidRDefault="004D7D08" w:rsidP="00D77F4B">
      <w:pPr>
        <w:jc w:val="both"/>
        <w:rPr>
          <w:rFonts w:cs="Arial"/>
        </w:rPr>
      </w:pPr>
    </w:p>
    <w:p w14:paraId="209F615D" w14:textId="1A0672FE" w:rsidR="0068102B" w:rsidRDefault="0068102B" w:rsidP="00D77F4B">
      <w:pPr>
        <w:jc w:val="both"/>
        <w:rPr>
          <w:rFonts w:cs="Arial"/>
        </w:rPr>
      </w:pPr>
      <w:r>
        <w:rPr>
          <w:rFonts w:cs="Arial"/>
        </w:rPr>
        <w:t xml:space="preserve">No se evidencia, la publicación de estas políticas, en el pie de página </w:t>
      </w:r>
      <w:r w:rsidR="004D7D08">
        <w:rPr>
          <w:rFonts w:cs="Arial"/>
        </w:rPr>
        <w:t>de la Entidad</w:t>
      </w:r>
      <w:r>
        <w:rPr>
          <w:rFonts w:cs="Arial"/>
        </w:rPr>
        <w:t xml:space="preserve">. </w:t>
      </w:r>
    </w:p>
    <w:p w14:paraId="04764BB9" w14:textId="4C649BD3" w:rsidR="004D7D08" w:rsidRDefault="004D7D08" w:rsidP="00D77F4B">
      <w:pPr>
        <w:jc w:val="both"/>
        <w:rPr>
          <w:rFonts w:cs="Arial"/>
        </w:rPr>
      </w:pPr>
    </w:p>
    <w:p w14:paraId="4ABAB908" w14:textId="4E58ED5C" w:rsidR="004D7D08" w:rsidRPr="00CD4722" w:rsidRDefault="00931EEF" w:rsidP="00D77F4B">
      <w:pPr>
        <w:jc w:val="both"/>
        <w:rPr>
          <w:rFonts w:cs="Arial"/>
          <w:i/>
          <w:u w:val="single"/>
        </w:rPr>
      </w:pPr>
      <w:r w:rsidRPr="00CD4722">
        <w:rPr>
          <w:rFonts w:cs="Arial"/>
          <w:i/>
          <w:u w:val="single"/>
        </w:rPr>
        <w:t>2.4 Requisitos en Menú destacado</w:t>
      </w:r>
    </w:p>
    <w:p w14:paraId="5E50ECEF" w14:textId="0470CF75" w:rsidR="00931EEF" w:rsidRDefault="00931EEF" w:rsidP="00D77F4B">
      <w:pPr>
        <w:jc w:val="both"/>
        <w:rPr>
          <w:rFonts w:cs="Arial"/>
        </w:rPr>
      </w:pPr>
    </w:p>
    <w:p w14:paraId="76D35CEB" w14:textId="755F294C" w:rsidR="00931EEF" w:rsidRDefault="00931EEF" w:rsidP="00D77F4B">
      <w:pPr>
        <w:jc w:val="both"/>
      </w:pPr>
      <w:r>
        <w:t>Los sujetos obligados tendrán que habilitar como mínimo tres menús destacados:</w:t>
      </w:r>
    </w:p>
    <w:p w14:paraId="7260CD45" w14:textId="77777777" w:rsidR="00C87ABC" w:rsidRDefault="00C87ABC" w:rsidP="00D77F4B">
      <w:pPr>
        <w:jc w:val="both"/>
      </w:pPr>
    </w:p>
    <w:p w14:paraId="645D066A" w14:textId="35E016C2" w:rsidR="00C87ABC" w:rsidRDefault="00931EEF" w:rsidP="004F204B">
      <w:pPr>
        <w:pStyle w:val="Prrafodelista"/>
        <w:numPr>
          <w:ilvl w:val="0"/>
          <w:numId w:val="20"/>
        </w:numPr>
        <w:ind w:left="426"/>
        <w:jc w:val="both"/>
      </w:pPr>
      <w:r>
        <w:t>Transparencia y a</w:t>
      </w:r>
      <w:r w:rsidR="00275432">
        <w:t>cceso a la información pública</w:t>
      </w:r>
    </w:p>
    <w:p w14:paraId="324DEBEE" w14:textId="77777777" w:rsidR="00C87ABC" w:rsidRDefault="00C87ABC" w:rsidP="00C87ABC">
      <w:pPr>
        <w:pStyle w:val="Prrafodelista"/>
        <w:ind w:left="426"/>
        <w:jc w:val="both"/>
      </w:pPr>
    </w:p>
    <w:p w14:paraId="34B71F12" w14:textId="5FCC0E50" w:rsidR="00931EEF" w:rsidRDefault="00FB5767" w:rsidP="00C87ABC">
      <w:pPr>
        <w:pStyle w:val="Prrafodelista"/>
        <w:ind w:left="426"/>
        <w:jc w:val="both"/>
      </w:pPr>
      <w:r>
        <w:t>Se identifica en la página</w:t>
      </w:r>
    </w:p>
    <w:p w14:paraId="06AFB8AC" w14:textId="77777777" w:rsidR="00C87ABC" w:rsidRDefault="00C87ABC" w:rsidP="00C87ABC">
      <w:pPr>
        <w:pStyle w:val="Prrafodelista"/>
        <w:ind w:left="426"/>
        <w:jc w:val="both"/>
      </w:pPr>
    </w:p>
    <w:p w14:paraId="1E4C417A" w14:textId="77777777" w:rsidR="00C87ABC" w:rsidRDefault="00931EEF" w:rsidP="004F204B">
      <w:pPr>
        <w:pStyle w:val="Prrafodelista"/>
        <w:numPr>
          <w:ilvl w:val="0"/>
          <w:numId w:val="20"/>
        </w:numPr>
        <w:ind w:left="426"/>
        <w:jc w:val="both"/>
      </w:pPr>
      <w:r>
        <w:t>Atenci</w:t>
      </w:r>
      <w:r w:rsidR="00FB5767">
        <w:t xml:space="preserve">ón y Servicios a la Ciudadanía. </w:t>
      </w:r>
    </w:p>
    <w:p w14:paraId="284A8514" w14:textId="77777777" w:rsidR="00C87ABC" w:rsidRDefault="00C87ABC" w:rsidP="00C87ABC">
      <w:pPr>
        <w:pStyle w:val="Prrafodelista"/>
        <w:ind w:left="426"/>
        <w:jc w:val="both"/>
      </w:pPr>
    </w:p>
    <w:p w14:paraId="18CB2C6F" w14:textId="6E78B87D" w:rsidR="00931EEF" w:rsidRDefault="00FB5767" w:rsidP="00C87ABC">
      <w:pPr>
        <w:pStyle w:val="Prrafodelista"/>
        <w:ind w:left="426"/>
        <w:jc w:val="both"/>
      </w:pPr>
      <w:r>
        <w:t>Se identifica en la página</w:t>
      </w:r>
    </w:p>
    <w:p w14:paraId="4DE018DF" w14:textId="77777777" w:rsidR="00C87ABC" w:rsidRDefault="00C87ABC" w:rsidP="00C87ABC">
      <w:pPr>
        <w:pStyle w:val="Prrafodelista"/>
        <w:ind w:left="426"/>
        <w:jc w:val="both"/>
      </w:pPr>
    </w:p>
    <w:p w14:paraId="2926FD3A" w14:textId="0FF07549" w:rsidR="00C87ABC" w:rsidRDefault="00275432" w:rsidP="004F204B">
      <w:pPr>
        <w:pStyle w:val="Prrafodelista"/>
        <w:numPr>
          <w:ilvl w:val="0"/>
          <w:numId w:val="20"/>
        </w:numPr>
        <w:ind w:left="426"/>
        <w:jc w:val="both"/>
      </w:pPr>
      <w:r>
        <w:t>Participa</w:t>
      </w:r>
    </w:p>
    <w:p w14:paraId="49A60CDF" w14:textId="77777777" w:rsidR="00C87ABC" w:rsidRDefault="00C87ABC" w:rsidP="00C87ABC">
      <w:pPr>
        <w:pStyle w:val="Prrafodelista"/>
        <w:ind w:left="426"/>
        <w:jc w:val="both"/>
      </w:pPr>
    </w:p>
    <w:p w14:paraId="370F8E43" w14:textId="08F232F0" w:rsidR="001F392C" w:rsidRDefault="00275432" w:rsidP="002D4DC9">
      <w:pPr>
        <w:pStyle w:val="Prrafodelista"/>
        <w:ind w:left="426"/>
        <w:jc w:val="both"/>
      </w:pPr>
      <w:r>
        <w:t xml:space="preserve">Existe un menú de Participación Ciudadana, </w:t>
      </w:r>
      <w:r w:rsidR="002D4DC9">
        <w:t>para el cual informa la Subdirección de Gestión Corporativa, que la información se encuentra en proceso de recopilación para su publicación.</w:t>
      </w:r>
    </w:p>
    <w:p w14:paraId="7386233D" w14:textId="77777777" w:rsidR="002D4DC9" w:rsidRDefault="002D4DC9" w:rsidP="002D4DC9">
      <w:pPr>
        <w:pStyle w:val="Prrafodelista"/>
        <w:ind w:left="426"/>
        <w:jc w:val="both"/>
      </w:pPr>
    </w:p>
    <w:p w14:paraId="446754E1" w14:textId="1731422B" w:rsidR="001F392C" w:rsidRPr="004F204B" w:rsidRDefault="001F392C" w:rsidP="00931EEF">
      <w:pPr>
        <w:jc w:val="both"/>
        <w:rPr>
          <w:rFonts w:cs="Arial"/>
          <w:i/>
          <w:u w:val="single"/>
        </w:rPr>
      </w:pPr>
      <w:r w:rsidRPr="004F204B">
        <w:rPr>
          <w:rFonts w:cs="Arial"/>
          <w:i/>
          <w:u w:val="single"/>
        </w:rPr>
        <w:t>2.4.1 Criterios generales de pub</w:t>
      </w:r>
      <w:r w:rsidR="004F204B">
        <w:rPr>
          <w:rFonts w:cs="Arial"/>
          <w:i/>
          <w:u w:val="single"/>
        </w:rPr>
        <w:t>licación de información pública</w:t>
      </w:r>
    </w:p>
    <w:p w14:paraId="7EB2323B" w14:textId="77777777" w:rsidR="004F204B" w:rsidRDefault="004F204B" w:rsidP="00931EEF">
      <w:pPr>
        <w:jc w:val="both"/>
      </w:pPr>
    </w:p>
    <w:p w14:paraId="0F9EACA8" w14:textId="77777777" w:rsidR="0009216A" w:rsidRDefault="001F392C" w:rsidP="004F204B">
      <w:pPr>
        <w:pStyle w:val="Prrafodelista"/>
        <w:numPr>
          <w:ilvl w:val="0"/>
          <w:numId w:val="21"/>
        </w:numPr>
        <w:ind w:left="284"/>
        <w:jc w:val="both"/>
      </w:pPr>
      <w:r>
        <w:t xml:space="preserve">Todo documento debe ser publicado de forma cronológica, del más reciente al más antiguo. </w:t>
      </w:r>
    </w:p>
    <w:p w14:paraId="53941A52" w14:textId="77777777" w:rsidR="0009216A" w:rsidRDefault="0009216A" w:rsidP="0009216A">
      <w:pPr>
        <w:pStyle w:val="Prrafodelista"/>
        <w:ind w:left="284"/>
        <w:jc w:val="both"/>
      </w:pPr>
    </w:p>
    <w:p w14:paraId="11408D81" w14:textId="55525BAF" w:rsidR="001F392C" w:rsidRDefault="001F392C" w:rsidP="0009216A">
      <w:pPr>
        <w:pStyle w:val="Prrafodelista"/>
        <w:ind w:left="284"/>
        <w:jc w:val="both"/>
      </w:pPr>
      <w:r>
        <w:t>Las publicaciones cumplen con este requisito.</w:t>
      </w:r>
    </w:p>
    <w:p w14:paraId="73C29C25" w14:textId="77777777" w:rsidR="0009216A" w:rsidRDefault="0009216A" w:rsidP="0009216A">
      <w:pPr>
        <w:pStyle w:val="Prrafodelista"/>
        <w:ind w:left="284"/>
        <w:jc w:val="both"/>
      </w:pPr>
    </w:p>
    <w:p w14:paraId="0BED27EA" w14:textId="77777777" w:rsidR="0009216A" w:rsidRDefault="001F392C" w:rsidP="004F204B">
      <w:pPr>
        <w:pStyle w:val="Prrafodelista"/>
        <w:numPr>
          <w:ilvl w:val="0"/>
          <w:numId w:val="21"/>
        </w:numPr>
        <w:ind w:left="284"/>
        <w:jc w:val="both"/>
      </w:pPr>
      <w:r>
        <w:t xml:space="preserve">Los contenidos e información dispuesta para los usuarios deberán ser accesibles. </w:t>
      </w:r>
    </w:p>
    <w:p w14:paraId="1C851142" w14:textId="77777777" w:rsidR="0009216A" w:rsidRDefault="0009216A" w:rsidP="0009216A">
      <w:pPr>
        <w:pStyle w:val="Prrafodelista"/>
        <w:ind w:left="284"/>
        <w:jc w:val="both"/>
      </w:pPr>
    </w:p>
    <w:p w14:paraId="01B861E9" w14:textId="439615EC" w:rsidR="001F392C" w:rsidRDefault="00275432" w:rsidP="0009216A">
      <w:pPr>
        <w:pStyle w:val="Prrafodelista"/>
        <w:ind w:left="284"/>
        <w:jc w:val="both"/>
      </w:pPr>
      <w:r>
        <w:t xml:space="preserve">Algunos contenidos cumplen con accesibilidad, sin embargo, se resalta que muchos de ellos presentan error, </w:t>
      </w:r>
      <w:r w:rsidR="005C216F">
        <w:t>no obstante, este punto se evaluará más detenidamente con el anexo 1.</w:t>
      </w:r>
      <w:r>
        <w:t xml:space="preserve"> </w:t>
      </w:r>
    </w:p>
    <w:p w14:paraId="37F3D922" w14:textId="77777777" w:rsidR="0009216A" w:rsidRDefault="0009216A" w:rsidP="0009216A">
      <w:pPr>
        <w:pStyle w:val="Prrafodelista"/>
        <w:ind w:left="284"/>
        <w:jc w:val="both"/>
      </w:pPr>
    </w:p>
    <w:p w14:paraId="20DDC41F" w14:textId="77777777" w:rsidR="0009216A" w:rsidRDefault="00C417BD" w:rsidP="004F204B">
      <w:pPr>
        <w:pStyle w:val="Prrafodelista"/>
        <w:numPr>
          <w:ilvl w:val="0"/>
          <w:numId w:val="21"/>
        </w:numPr>
        <w:ind w:left="284"/>
        <w:jc w:val="both"/>
      </w:pPr>
      <w:r>
        <w:t xml:space="preserve">Se debe contar con un buscador en el que la ciudadanía pueda encontrar información. </w:t>
      </w:r>
    </w:p>
    <w:p w14:paraId="494D29D4" w14:textId="77777777" w:rsidR="0009216A" w:rsidRDefault="0009216A" w:rsidP="0009216A">
      <w:pPr>
        <w:pStyle w:val="Prrafodelista"/>
        <w:ind w:left="284"/>
        <w:jc w:val="both"/>
      </w:pPr>
    </w:p>
    <w:p w14:paraId="6D2EBC77" w14:textId="76B999C6" w:rsidR="001F392C" w:rsidRDefault="00C417BD" w:rsidP="0009216A">
      <w:pPr>
        <w:pStyle w:val="Prrafodelista"/>
        <w:ind w:left="284"/>
        <w:jc w:val="both"/>
      </w:pPr>
      <w:r>
        <w:t>Se cuenta con buscador en la parte superior de la página.</w:t>
      </w:r>
    </w:p>
    <w:p w14:paraId="304A8F3F" w14:textId="77777777" w:rsidR="0009216A" w:rsidRDefault="0009216A" w:rsidP="0009216A">
      <w:pPr>
        <w:pStyle w:val="Prrafodelista"/>
        <w:ind w:left="284"/>
        <w:jc w:val="both"/>
      </w:pPr>
    </w:p>
    <w:p w14:paraId="37662693" w14:textId="77777777" w:rsidR="0009216A" w:rsidRDefault="00C417BD" w:rsidP="004F204B">
      <w:pPr>
        <w:pStyle w:val="Prrafodelista"/>
        <w:numPr>
          <w:ilvl w:val="0"/>
          <w:numId w:val="21"/>
        </w:numPr>
        <w:ind w:left="284"/>
        <w:jc w:val="both"/>
      </w:pPr>
      <w:r>
        <w:t xml:space="preserve">Toda la información debe ser publicada en formatos que permitan: su descarga, acceso sin restricciones legales, uso libre, procesamiento por máquina y realizar búsquedas en su interior. </w:t>
      </w:r>
    </w:p>
    <w:p w14:paraId="657585B2" w14:textId="77777777" w:rsidR="0009216A" w:rsidRDefault="0009216A" w:rsidP="0009216A">
      <w:pPr>
        <w:pStyle w:val="Prrafodelista"/>
        <w:ind w:left="284"/>
        <w:jc w:val="both"/>
      </w:pPr>
    </w:p>
    <w:p w14:paraId="79CB99BE" w14:textId="5F7E3E6A" w:rsidR="00C417BD" w:rsidRDefault="00C417BD" w:rsidP="0009216A">
      <w:pPr>
        <w:pStyle w:val="Prrafodelista"/>
        <w:ind w:left="284"/>
        <w:jc w:val="both"/>
      </w:pPr>
      <w:r>
        <w:t>Los enlaces permiten la descarga d</w:t>
      </w:r>
      <w:r w:rsidR="005C216F">
        <w:t>el documento, sin embargo, algunos de ellos se encuentran como imagen por lo cual no se puede realizar búsquedas en su interior, particularmente en la normatividad.</w:t>
      </w:r>
    </w:p>
    <w:p w14:paraId="6896F193" w14:textId="77777777" w:rsidR="0009216A" w:rsidRDefault="0009216A" w:rsidP="0009216A">
      <w:pPr>
        <w:pStyle w:val="Prrafodelista"/>
        <w:ind w:left="284"/>
        <w:jc w:val="both"/>
      </w:pPr>
    </w:p>
    <w:p w14:paraId="01BE9489" w14:textId="77777777" w:rsidR="0009216A" w:rsidRDefault="00C417BD" w:rsidP="004F204B">
      <w:pPr>
        <w:pStyle w:val="Prrafodelista"/>
        <w:numPr>
          <w:ilvl w:val="0"/>
          <w:numId w:val="21"/>
        </w:numPr>
        <w:ind w:left="284"/>
        <w:jc w:val="both"/>
      </w:pPr>
      <w:r>
        <w:t>Todo documento o información debe indicar la fecha de su publicación en página web</w:t>
      </w:r>
      <w:r w:rsidR="000C7028">
        <w:t xml:space="preserve">. </w:t>
      </w:r>
    </w:p>
    <w:p w14:paraId="608C3FAF" w14:textId="77777777" w:rsidR="0009216A" w:rsidRDefault="0009216A" w:rsidP="0009216A">
      <w:pPr>
        <w:pStyle w:val="Prrafodelista"/>
        <w:ind w:left="284"/>
        <w:jc w:val="both"/>
      </w:pPr>
    </w:p>
    <w:p w14:paraId="56E58ED5" w14:textId="5398DB4E" w:rsidR="00C417BD" w:rsidRDefault="005C216F" w:rsidP="0009216A">
      <w:pPr>
        <w:pStyle w:val="Prrafodelista"/>
        <w:ind w:left="284"/>
        <w:jc w:val="both"/>
      </w:pPr>
      <w:r>
        <w:t>Ningún documento cuenta con fecha de publicación en la página Web.</w:t>
      </w:r>
    </w:p>
    <w:p w14:paraId="0269859C" w14:textId="6703FE6F" w:rsidR="000C7028" w:rsidRDefault="000C7028" w:rsidP="00931EEF">
      <w:pPr>
        <w:jc w:val="both"/>
      </w:pPr>
    </w:p>
    <w:p w14:paraId="1F44D63F" w14:textId="1DD7E67E" w:rsidR="000C7028" w:rsidRPr="004F204B" w:rsidRDefault="000C7028" w:rsidP="00931EEF">
      <w:pPr>
        <w:jc w:val="both"/>
        <w:rPr>
          <w:rFonts w:cs="Arial"/>
          <w:i/>
          <w:u w:val="single"/>
        </w:rPr>
      </w:pPr>
      <w:r w:rsidRPr="004F204B">
        <w:rPr>
          <w:rFonts w:cs="Arial"/>
          <w:i/>
          <w:u w:val="single"/>
        </w:rPr>
        <w:t xml:space="preserve">2.4.2 Menú de Transparencia y </w:t>
      </w:r>
      <w:r w:rsidR="004F204B">
        <w:rPr>
          <w:rFonts w:cs="Arial"/>
          <w:i/>
          <w:u w:val="single"/>
        </w:rPr>
        <w:t>acceso a la información pública</w:t>
      </w:r>
    </w:p>
    <w:p w14:paraId="69BD1063" w14:textId="76757F38" w:rsidR="00842D44" w:rsidRDefault="00842D44" w:rsidP="00931EEF">
      <w:pPr>
        <w:jc w:val="both"/>
      </w:pPr>
    </w:p>
    <w:p w14:paraId="52F0286D" w14:textId="191C1585" w:rsidR="00B31F3E" w:rsidRDefault="00033035" w:rsidP="00B31F3E">
      <w:pPr>
        <w:jc w:val="both"/>
        <w:rPr>
          <w:rStyle w:val="Hipervnculo"/>
          <w:rFonts w:cs="Arial"/>
          <w:color w:val="auto"/>
          <w:u w:val="none"/>
        </w:rPr>
      </w:pPr>
      <w:r>
        <w:rPr>
          <w:rFonts w:cs="Arial"/>
        </w:rPr>
        <w:t>Como sujeto obligado, la información mínima que debe publ</w:t>
      </w:r>
      <w:r w:rsidR="005C216F">
        <w:rPr>
          <w:rFonts w:cs="Arial"/>
        </w:rPr>
        <w:t>icar la Entidad, se evalúa en</w:t>
      </w:r>
      <w:r>
        <w:rPr>
          <w:rFonts w:cs="Arial"/>
        </w:rPr>
        <w:t xml:space="preserve"> </w:t>
      </w:r>
      <w:r w:rsidR="005C216F">
        <w:rPr>
          <w:rFonts w:cs="Arial"/>
        </w:rPr>
        <w:t xml:space="preserve">el anexo 1 del presente informe, que incluye la </w:t>
      </w:r>
      <w:r w:rsidR="005C216F" w:rsidRPr="005C216F">
        <w:rPr>
          <w:rFonts w:cs="Arial"/>
        </w:rPr>
        <w:t>Estructura de Contenidos</w:t>
      </w:r>
      <w:r w:rsidR="00D533C9">
        <w:rPr>
          <w:rFonts w:cs="Arial"/>
        </w:rPr>
        <w:t xml:space="preserve"> del</w:t>
      </w:r>
      <w:r w:rsidR="005C216F" w:rsidRPr="005C216F">
        <w:rPr>
          <w:rFonts w:cs="Arial"/>
        </w:rPr>
        <w:t xml:space="preserve"> Menú de Transparencia y Acceso a la Información</w:t>
      </w:r>
      <w:r>
        <w:rPr>
          <w:rFonts w:cs="Arial"/>
        </w:rPr>
        <w:t xml:space="preserve">, </w:t>
      </w:r>
      <w:r w:rsidR="00B31F3E" w:rsidRPr="00B56226">
        <w:rPr>
          <w:rStyle w:val="Hipervnculo"/>
          <w:rFonts w:cs="Arial"/>
          <w:color w:val="auto"/>
          <w:u w:val="none"/>
        </w:rPr>
        <w:t xml:space="preserve">realizado por la Asesoría de Control Interno, de conformidad con la actualización establecida en la Resolución 1519 de 2020, expedida por MINTIC, con un reporte de </w:t>
      </w:r>
      <w:r w:rsidR="005C216F">
        <w:rPr>
          <w:rStyle w:val="Hipervnculo"/>
          <w:rFonts w:cs="Arial"/>
          <w:color w:val="auto"/>
          <w:u w:val="none"/>
        </w:rPr>
        <w:t>53</w:t>
      </w:r>
      <w:r w:rsidR="00B31F3E" w:rsidRPr="00B56226">
        <w:rPr>
          <w:rStyle w:val="Hipervnculo"/>
          <w:rFonts w:cs="Arial"/>
          <w:color w:val="auto"/>
          <w:u w:val="none"/>
        </w:rPr>
        <w:t xml:space="preserve"> ítems evaluados, de conformidad con el siguiente</w:t>
      </w:r>
      <w:r w:rsidR="00B31F3E">
        <w:rPr>
          <w:rStyle w:val="Hipervnculo"/>
          <w:rFonts w:cs="Arial"/>
          <w:color w:val="auto"/>
          <w:u w:val="none"/>
        </w:rPr>
        <w:t xml:space="preserve"> cuadro: </w:t>
      </w:r>
    </w:p>
    <w:p w14:paraId="0D9DF74D" w14:textId="77777777" w:rsidR="00B31F3E" w:rsidRDefault="00B31F3E" w:rsidP="00B31F3E">
      <w:pPr>
        <w:jc w:val="both"/>
        <w:rPr>
          <w:rStyle w:val="Hipervnculo"/>
          <w:rFonts w:cs="Arial"/>
          <w:color w:val="auto"/>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408"/>
        <w:gridCol w:w="1327"/>
      </w:tblGrid>
      <w:tr w:rsidR="00B31F3E" w:rsidRPr="008914EA" w14:paraId="28CE9DBF" w14:textId="77777777" w:rsidTr="00D76687">
        <w:trPr>
          <w:jc w:val="center"/>
        </w:trPr>
        <w:tc>
          <w:tcPr>
            <w:tcW w:w="5723" w:type="dxa"/>
            <w:gridSpan w:val="3"/>
            <w:shd w:val="clear" w:color="auto" w:fill="D0CECE"/>
            <w:vAlign w:val="center"/>
          </w:tcPr>
          <w:p w14:paraId="00250F75" w14:textId="77777777" w:rsidR="00B31F3E" w:rsidRPr="00EA4D75" w:rsidRDefault="00B31F3E" w:rsidP="005C216F">
            <w:pPr>
              <w:jc w:val="center"/>
              <w:rPr>
                <w:rFonts w:cs="Arial"/>
                <w:b/>
                <w:szCs w:val="22"/>
              </w:rPr>
            </w:pPr>
            <w:r w:rsidRPr="00EA4D75">
              <w:rPr>
                <w:rFonts w:cs="Arial"/>
                <w:b/>
                <w:szCs w:val="22"/>
              </w:rPr>
              <w:t>SEGUIMIENTO Y EVALUACI</w:t>
            </w:r>
            <w:r>
              <w:rPr>
                <w:rFonts w:cs="Arial"/>
                <w:b/>
                <w:szCs w:val="22"/>
              </w:rPr>
              <w:t>Ó</w:t>
            </w:r>
            <w:r w:rsidRPr="00EA4D75">
              <w:rPr>
                <w:rFonts w:cs="Arial"/>
                <w:b/>
                <w:szCs w:val="22"/>
              </w:rPr>
              <w:t xml:space="preserve">N CI </w:t>
            </w:r>
            <w:r>
              <w:rPr>
                <w:rFonts w:cs="Arial"/>
                <w:b/>
                <w:szCs w:val="22"/>
              </w:rPr>
              <w:t>ABRIL 2021</w:t>
            </w:r>
          </w:p>
        </w:tc>
      </w:tr>
      <w:tr w:rsidR="00B31F3E" w:rsidRPr="008914EA" w14:paraId="3EA612C1" w14:textId="77777777" w:rsidTr="00D76687">
        <w:trPr>
          <w:jc w:val="center"/>
        </w:trPr>
        <w:tc>
          <w:tcPr>
            <w:tcW w:w="2988" w:type="dxa"/>
            <w:shd w:val="clear" w:color="auto" w:fill="D0CECE"/>
            <w:vAlign w:val="center"/>
          </w:tcPr>
          <w:p w14:paraId="1986829B" w14:textId="77777777" w:rsidR="00B31F3E" w:rsidRPr="008914EA" w:rsidRDefault="00B31F3E" w:rsidP="005C216F">
            <w:pPr>
              <w:jc w:val="center"/>
              <w:rPr>
                <w:rFonts w:cs="Arial"/>
                <w:szCs w:val="22"/>
              </w:rPr>
            </w:pPr>
          </w:p>
        </w:tc>
        <w:tc>
          <w:tcPr>
            <w:tcW w:w="1408" w:type="dxa"/>
            <w:shd w:val="clear" w:color="auto" w:fill="D0CECE"/>
            <w:vAlign w:val="center"/>
          </w:tcPr>
          <w:p w14:paraId="584D2A7B" w14:textId="77777777" w:rsidR="00B31F3E" w:rsidRPr="008914EA" w:rsidRDefault="00B31F3E" w:rsidP="005C216F">
            <w:pPr>
              <w:jc w:val="center"/>
              <w:rPr>
                <w:rFonts w:cs="Arial"/>
                <w:szCs w:val="22"/>
              </w:rPr>
            </w:pPr>
            <w:r>
              <w:rPr>
                <w:rFonts w:cs="Arial"/>
                <w:szCs w:val="22"/>
              </w:rPr>
              <w:t xml:space="preserve"> Totales </w:t>
            </w:r>
          </w:p>
        </w:tc>
        <w:tc>
          <w:tcPr>
            <w:tcW w:w="1327" w:type="dxa"/>
            <w:shd w:val="clear" w:color="auto" w:fill="D0CECE"/>
            <w:vAlign w:val="center"/>
          </w:tcPr>
          <w:p w14:paraId="2363970A" w14:textId="77777777" w:rsidR="00B31F3E" w:rsidRPr="008914EA" w:rsidRDefault="00B31F3E" w:rsidP="005C216F">
            <w:pPr>
              <w:jc w:val="center"/>
              <w:rPr>
                <w:rFonts w:cs="Arial"/>
                <w:szCs w:val="22"/>
              </w:rPr>
            </w:pPr>
            <w:r>
              <w:rPr>
                <w:rFonts w:cs="Arial"/>
                <w:szCs w:val="22"/>
              </w:rPr>
              <w:t xml:space="preserve">Porcentaje </w:t>
            </w:r>
          </w:p>
        </w:tc>
      </w:tr>
      <w:tr w:rsidR="00B31F3E" w:rsidRPr="008914EA" w14:paraId="22074070" w14:textId="77777777" w:rsidTr="00D533C9">
        <w:trPr>
          <w:jc w:val="center"/>
        </w:trPr>
        <w:tc>
          <w:tcPr>
            <w:tcW w:w="2988" w:type="dxa"/>
            <w:shd w:val="clear" w:color="auto" w:fill="auto"/>
            <w:vAlign w:val="center"/>
          </w:tcPr>
          <w:p w14:paraId="042A51D4" w14:textId="77777777" w:rsidR="00B31F3E" w:rsidRPr="008914EA" w:rsidRDefault="00B31F3E" w:rsidP="005C216F">
            <w:pPr>
              <w:rPr>
                <w:rFonts w:cs="Arial"/>
                <w:szCs w:val="22"/>
              </w:rPr>
            </w:pPr>
            <w:r>
              <w:rPr>
                <w:rFonts w:cs="Arial"/>
                <w:szCs w:val="22"/>
              </w:rPr>
              <w:t>Cumple</w:t>
            </w:r>
          </w:p>
        </w:tc>
        <w:tc>
          <w:tcPr>
            <w:tcW w:w="1408" w:type="dxa"/>
            <w:shd w:val="clear" w:color="auto" w:fill="A7D971"/>
            <w:vAlign w:val="center"/>
          </w:tcPr>
          <w:p w14:paraId="6691F214" w14:textId="23660629" w:rsidR="00B31F3E" w:rsidRPr="008914EA" w:rsidRDefault="005C216F" w:rsidP="005C216F">
            <w:pPr>
              <w:jc w:val="center"/>
              <w:rPr>
                <w:rFonts w:cs="Arial"/>
                <w:szCs w:val="22"/>
              </w:rPr>
            </w:pPr>
            <w:r>
              <w:rPr>
                <w:rFonts w:cs="Arial"/>
                <w:szCs w:val="22"/>
              </w:rPr>
              <w:t>29</w:t>
            </w:r>
          </w:p>
        </w:tc>
        <w:tc>
          <w:tcPr>
            <w:tcW w:w="1327" w:type="dxa"/>
            <w:shd w:val="clear" w:color="auto" w:fill="A7D971"/>
            <w:vAlign w:val="center"/>
          </w:tcPr>
          <w:p w14:paraId="0800CEB9" w14:textId="54E8B62A" w:rsidR="00B31F3E" w:rsidRPr="008914EA" w:rsidRDefault="005C216F" w:rsidP="005C216F">
            <w:pPr>
              <w:jc w:val="center"/>
              <w:rPr>
                <w:rFonts w:cs="Arial"/>
                <w:szCs w:val="22"/>
              </w:rPr>
            </w:pPr>
            <w:r>
              <w:rPr>
                <w:rFonts w:cs="Arial"/>
                <w:szCs w:val="22"/>
              </w:rPr>
              <w:t>54,7</w:t>
            </w:r>
            <w:r w:rsidR="00B31F3E" w:rsidRPr="008914EA">
              <w:rPr>
                <w:rFonts w:cs="Arial"/>
                <w:szCs w:val="22"/>
              </w:rPr>
              <w:t>%</w:t>
            </w:r>
          </w:p>
        </w:tc>
      </w:tr>
      <w:tr w:rsidR="00B31F3E" w:rsidRPr="008914EA" w14:paraId="229CEB80" w14:textId="77777777" w:rsidTr="00D533C9">
        <w:trPr>
          <w:jc w:val="center"/>
        </w:trPr>
        <w:tc>
          <w:tcPr>
            <w:tcW w:w="2988" w:type="dxa"/>
            <w:shd w:val="clear" w:color="auto" w:fill="auto"/>
            <w:vAlign w:val="center"/>
          </w:tcPr>
          <w:p w14:paraId="0B3FC921" w14:textId="77777777" w:rsidR="00B31F3E" w:rsidRPr="008914EA" w:rsidRDefault="00B31F3E" w:rsidP="005C216F">
            <w:pPr>
              <w:rPr>
                <w:rFonts w:cs="Arial"/>
                <w:szCs w:val="22"/>
              </w:rPr>
            </w:pPr>
            <w:r>
              <w:rPr>
                <w:rFonts w:cs="Arial"/>
                <w:szCs w:val="22"/>
              </w:rPr>
              <w:t>No Cumple</w:t>
            </w:r>
          </w:p>
        </w:tc>
        <w:tc>
          <w:tcPr>
            <w:tcW w:w="1408" w:type="dxa"/>
            <w:shd w:val="clear" w:color="auto" w:fill="FF9999"/>
            <w:vAlign w:val="center"/>
          </w:tcPr>
          <w:p w14:paraId="2913B28F" w14:textId="57A5987D" w:rsidR="00B31F3E" w:rsidRPr="008914EA" w:rsidRDefault="005C216F" w:rsidP="005C216F">
            <w:pPr>
              <w:jc w:val="center"/>
              <w:rPr>
                <w:rFonts w:cs="Arial"/>
                <w:szCs w:val="22"/>
              </w:rPr>
            </w:pPr>
            <w:r>
              <w:rPr>
                <w:rFonts w:cs="Arial"/>
                <w:szCs w:val="22"/>
              </w:rPr>
              <w:t>3</w:t>
            </w:r>
          </w:p>
        </w:tc>
        <w:tc>
          <w:tcPr>
            <w:tcW w:w="1327" w:type="dxa"/>
            <w:shd w:val="clear" w:color="auto" w:fill="FF9999"/>
            <w:vAlign w:val="center"/>
          </w:tcPr>
          <w:p w14:paraId="73B5DAEF" w14:textId="5792D2E7" w:rsidR="00B31F3E" w:rsidRPr="008914EA" w:rsidRDefault="005C216F" w:rsidP="005C216F">
            <w:pPr>
              <w:jc w:val="center"/>
              <w:rPr>
                <w:rFonts w:cs="Arial"/>
                <w:szCs w:val="22"/>
              </w:rPr>
            </w:pPr>
            <w:r>
              <w:rPr>
                <w:rFonts w:cs="Arial"/>
                <w:szCs w:val="22"/>
              </w:rPr>
              <w:t>5,7</w:t>
            </w:r>
            <w:r w:rsidR="00B31F3E" w:rsidRPr="008914EA">
              <w:rPr>
                <w:rFonts w:cs="Arial"/>
                <w:szCs w:val="22"/>
              </w:rPr>
              <w:t>%</w:t>
            </w:r>
          </w:p>
        </w:tc>
      </w:tr>
      <w:tr w:rsidR="00B31F3E" w:rsidRPr="008914EA" w14:paraId="7D1FBEBF" w14:textId="77777777" w:rsidTr="00D533C9">
        <w:trPr>
          <w:jc w:val="center"/>
        </w:trPr>
        <w:tc>
          <w:tcPr>
            <w:tcW w:w="2988" w:type="dxa"/>
            <w:shd w:val="clear" w:color="auto" w:fill="auto"/>
            <w:vAlign w:val="center"/>
          </w:tcPr>
          <w:p w14:paraId="79035DE5" w14:textId="77777777" w:rsidR="00B31F3E" w:rsidRPr="008914EA" w:rsidRDefault="00B31F3E" w:rsidP="005C216F">
            <w:pPr>
              <w:rPr>
                <w:rFonts w:cs="Arial"/>
                <w:szCs w:val="22"/>
              </w:rPr>
            </w:pPr>
            <w:r>
              <w:rPr>
                <w:rFonts w:cs="Arial"/>
                <w:szCs w:val="22"/>
              </w:rPr>
              <w:t>Cumple Parcialmente</w:t>
            </w:r>
          </w:p>
        </w:tc>
        <w:tc>
          <w:tcPr>
            <w:tcW w:w="1408" w:type="dxa"/>
            <w:shd w:val="clear" w:color="auto" w:fill="FFFF99"/>
            <w:vAlign w:val="center"/>
          </w:tcPr>
          <w:p w14:paraId="11361693" w14:textId="21DE0B6C" w:rsidR="00B31F3E" w:rsidRPr="00D533C9" w:rsidRDefault="005C216F" w:rsidP="005C216F">
            <w:pPr>
              <w:jc w:val="center"/>
              <w:rPr>
                <w:rFonts w:cs="Arial"/>
                <w:szCs w:val="22"/>
              </w:rPr>
            </w:pPr>
            <w:r w:rsidRPr="00D533C9">
              <w:rPr>
                <w:rFonts w:cs="Arial"/>
                <w:szCs w:val="22"/>
              </w:rPr>
              <w:t>2</w:t>
            </w:r>
            <w:r w:rsidR="00B31F3E" w:rsidRPr="00D533C9">
              <w:rPr>
                <w:rFonts w:cs="Arial"/>
                <w:szCs w:val="22"/>
              </w:rPr>
              <w:t>1</w:t>
            </w:r>
          </w:p>
        </w:tc>
        <w:tc>
          <w:tcPr>
            <w:tcW w:w="1327" w:type="dxa"/>
            <w:shd w:val="clear" w:color="auto" w:fill="FFFF99"/>
            <w:vAlign w:val="center"/>
          </w:tcPr>
          <w:p w14:paraId="630CCCF5" w14:textId="5EC465BB" w:rsidR="00B31F3E" w:rsidRPr="00D533C9" w:rsidRDefault="005C216F" w:rsidP="005C216F">
            <w:pPr>
              <w:jc w:val="center"/>
              <w:rPr>
                <w:rFonts w:cs="Arial"/>
                <w:szCs w:val="22"/>
              </w:rPr>
            </w:pPr>
            <w:r w:rsidRPr="00D533C9">
              <w:rPr>
                <w:rFonts w:cs="Arial"/>
                <w:szCs w:val="22"/>
              </w:rPr>
              <w:t>39,6</w:t>
            </w:r>
            <w:r w:rsidR="00B31F3E" w:rsidRPr="00D533C9">
              <w:rPr>
                <w:rFonts w:cs="Arial"/>
                <w:szCs w:val="22"/>
              </w:rPr>
              <w:t>%</w:t>
            </w:r>
          </w:p>
        </w:tc>
      </w:tr>
      <w:tr w:rsidR="00B31F3E" w:rsidRPr="008914EA" w14:paraId="6B2ACE1F" w14:textId="77777777" w:rsidTr="00D76687">
        <w:trPr>
          <w:jc w:val="center"/>
        </w:trPr>
        <w:tc>
          <w:tcPr>
            <w:tcW w:w="2988" w:type="dxa"/>
            <w:shd w:val="clear" w:color="auto" w:fill="auto"/>
            <w:vAlign w:val="center"/>
          </w:tcPr>
          <w:p w14:paraId="45E5AD3B" w14:textId="77777777" w:rsidR="00B31F3E" w:rsidRPr="009F1285" w:rsidRDefault="00B31F3E" w:rsidP="005C216F">
            <w:pPr>
              <w:rPr>
                <w:rFonts w:cs="Arial"/>
                <w:b/>
                <w:szCs w:val="22"/>
              </w:rPr>
            </w:pPr>
            <w:r w:rsidRPr="009F1285">
              <w:rPr>
                <w:rFonts w:cs="Arial"/>
                <w:b/>
                <w:szCs w:val="22"/>
              </w:rPr>
              <w:t>Total ítems verificados</w:t>
            </w:r>
          </w:p>
        </w:tc>
        <w:tc>
          <w:tcPr>
            <w:tcW w:w="1408" w:type="dxa"/>
            <w:shd w:val="clear" w:color="auto" w:fill="auto"/>
            <w:vAlign w:val="center"/>
          </w:tcPr>
          <w:p w14:paraId="1733966A" w14:textId="536A0227" w:rsidR="00B31F3E" w:rsidRPr="009F1285" w:rsidRDefault="005C216F" w:rsidP="005C216F">
            <w:pPr>
              <w:jc w:val="center"/>
              <w:rPr>
                <w:rFonts w:cs="Arial"/>
                <w:b/>
                <w:szCs w:val="22"/>
              </w:rPr>
            </w:pPr>
            <w:r>
              <w:rPr>
                <w:rFonts w:cs="Arial"/>
                <w:b/>
                <w:szCs w:val="22"/>
              </w:rPr>
              <w:t>53</w:t>
            </w:r>
          </w:p>
        </w:tc>
        <w:tc>
          <w:tcPr>
            <w:tcW w:w="1327" w:type="dxa"/>
            <w:shd w:val="clear" w:color="auto" w:fill="auto"/>
            <w:vAlign w:val="center"/>
          </w:tcPr>
          <w:p w14:paraId="311E1C27" w14:textId="77777777" w:rsidR="00B31F3E" w:rsidRPr="009F1285" w:rsidRDefault="00B31F3E" w:rsidP="005C216F">
            <w:pPr>
              <w:jc w:val="center"/>
              <w:rPr>
                <w:rFonts w:cs="Arial"/>
                <w:b/>
                <w:szCs w:val="22"/>
              </w:rPr>
            </w:pPr>
            <w:r w:rsidRPr="009F1285">
              <w:rPr>
                <w:rFonts w:cs="Arial"/>
                <w:b/>
                <w:szCs w:val="22"/>
              </w:rPr>
              <w:t>100%</w:t>
            </w:r>
          </w:p>
        </w:tc>
      </w:tr>
    </w:tbl>
    <w:p w14:paraId="549E2B4E" w14:textId="77777777" w:rsidR="00B31F3E" w:rsidRDefault="00B31F3E" w:rsidP="00931EEF">
      <w:pPr>
        <w:jc w:val="both"/>
        <w:rPr>
          <w:rFonts w:cs="Arial"/>
        </w:rPr>
      </w:pPr>
    </w:p>
    <w:p w14:paraId="4D1DFF60" w14:textId="45706ABF" w:rsidR="005C216F" w:rsidRDefault="005C216F" w:rsidP="00931EEF">
      <w:pPr>
        <w:jc w:val="both"/>
        <w:rPr>
          <w:rFonts w:cs="Arial"/>
          <w:color w:val="000000"/>
          <w:sz w:val="21"/>
          <w:szCs w:val="21"/>
        </w:rPr>
      </w:pPr>
      <w:r>
        <w:rPr>
          <w:rFonts w:cs="Arial"/>
        </w:rPr>
        <w:t>De manera general frente a los lineamientos dados por este numeral en la norma, es importante mencionar que el literal b indica “</w:t>
      </w:r>
      <w:r w:rsidRPr="005C216F">
        <w:rPr>
          <w:rFonts w:cs="Arial"/>
          <w:i/>
          <w:color w:val="000000"/>
          <w:sz w:val="21"/>
          <w:szCs w:val="21"/>
        </w:rPr>
        <w:t>En caso que el sujeto obligado encuentre una excepción de publicación de información, conforme con la normativa que le aplique, es importante que mencione expresamente las razones jurídicas por las cuáles no debe publicar la información, y es necesario informarlo en la sección correspondiente del menú de transparencia y acceso a la información</w:t>
      </w:r>
      <w:r>
        <w:rPr>
          <w:rFonts w:cs="Arial"/>
          <w:color w:val="000000"/>
          <w:sz w:val="21"/>
          <w:szCs w:val="21"/>
        </w:rPr>
        <w:t xml:space="preserve">”, no obstante en lo verificado no se observó que se </w:t>
      </w:r>
      <w:r w:rsidR="00D533C9">
        <w:rPr>
          <w:rFonts w:cs="Arial"/>
          <w:color w:val="000000"/>
          <w:sz w:val="21"/>
          <w:szCs w:val="21"/>
        </w:rPr>
        <w:t>informaran las excepciones</w:t>
      </w:r>
      <w:r>
        <w:rPr>
          <w:rFonts w:cs="Arial"/>
          <w:color w:val="000000"/>
          <w:sz w:val="21"/>
          <w:szCs w:val="21"/>
        </w:rPr>
        <w:t xml:space="preserve"> </w:t>
      </w:r>
      <w:r w:rsidR="00D533C9">
        <w:rPr>
          <w:rFonts w:cs="Arial"/>
          <w:color w:val="000000"/>
          <w:sz w:val="21"/>
          <w:szCs w:val="21"/>
        </w:rPr>
        <w:t xml:space="preserve">en la publicación </w:t>
      </w:r>
      <w:r>
        <w:rPr>
          <w:rFonts w:cs="Arial"/>
          <w:color w:val="000000"/>
          <w:sz w:val="21"/>
          <w:szCs w:val="21"/>
        </w:rPr>
        <w:t>de información.</w:t>
      </w:r>
    </w:p>
    <w:p w14:paraId="7EA786B5" w14:textId="77777777" w:rsidR="005C216F" w:rsidRDefault="005C216F" w:rsidP="00931EEF">
      <w:pPr>
        <w:jc w:val="both"/>
        <w:rPr>
          <w:rFonts w:cs="Arial"/>
          <w:color w:val="000000"/>
          <w:sz w:val="21"/>
          <w:szCs w:val="21"/>
        </w:rPr>
      </w:pPr>
    </w:p>
    <w:p w14:paraId="7BE7D36C" w14:textId="1B3B5286" w:rsidR="005C216F" w:rsidRDefault="005C216F" w:rsidP="00931EEF">
      <w:pPr>
        <w:jc w:val="both"/>
        <w:rPr>
          <w:rFonts w:cs="Arial"/>
          <w:color w:val="000000"/>
          <w:sz w:val="21"/>
          <w:szCs w:val="21"/>
        </w:rPr>
      </w:pPr>
      <w:r>
        <w:rPr>
          <w:rFonts w:cs="Arial"/>
          <w:color w:val="000000"/>
          <w:sz w:val="21"/>
          <w:szCs w:val="21"/>
        </w:rPr>
        <w:t>No se cumple con el literal d, ya que no se cuenta con un buscador al interior de la sección de transparencia y acceso a la información.</w:t>
      </w:r>
    </w:p>
    <w:p w14:paraId="5369C1C4" w14:textId="77777777" w:rsidR="005C216F" w:rsidRDefault="005C216F" w:rsidP="00931EEF">
      <w:pPr>
        <w:jc w:val="both"/>
        <w:rPr>
          <w:rFonts w:cs="Arial"/>
          <w:color w:val="000000"/>
          <w:sz w:val="21"/>
          <w:szCs w:val="21"/>
        </w:rPr>
      </w:pPr>
    </w:p>
    <w:p w14:paraId="4DD99BBF" w14:textId="491D5C64" w:rsidR="005C216F" w:rsidRDefault="005C216F" w:rsidP="00931EEF">
      <w:pPr>
        <w:jc w:val="both"/>
        <w:rPr>
          <w:rFonts w:cs="Arial"/>
          <w:color w:val="000000"/>
          <w:sz w:val="21"/>
          <w:szCs w:val="21"/>
        </w:rPr>
      </w:pPr>
      <w:r>
        <w:rPr>
          <w:rFonts w:cs="Arial"/>
          <w:color w:val="000000"/>
          <w:sz w:val="21"/>
          <w:szCs w:val="21"/>
        </w:rPr>
        <w:t>El literal e, no se cumple en todos los casos, ya que se evidenció ausencia de información correspondiente a la vigencia 2021.</w:t>
      </w:r>
    </w:p>
    <w:p w14:paraId="4B48C8F5" w14:textId="451A671A" w:rsidR="00F05D90" w:rsidRDefault="00F05D90" w:rsidP="00931EEF">
      <w:pPr>
        <w:jc w:val="both"/>
        <w:rPr>
          <w:rFonts w:cs="Arial"/>
        </w:rPr>
      </w:pPr>
    </w:p>
    <w:p w14:paraId="20F2342D" w14:textId="4478390F" w:rsidR="00F05D90" w:rsidRPr="004F204B" w:rsidRDefault="00F05D90" w:rsidP="00931EEF">
      <w:pPr>
        <w:jc w:val="both"/>
        <w:rPr>
          <w:rFonts w:cs="Arial"/>
          <w:i/>
          <w:u w:val="single"/>
        </w:rPr>
      </w:pPr>
      <w:r w:rsidRPr="004F204B">
        <w:rPr>
          <w:rFonts w:cs="Arial"/>
          <w:i/>
          <w:u w:val="single"/>
        </w:rPr>
        <w:t>2.4.3 Menú Atención y Servicios a la Ciudadanía:</w:t>
      </w:r>
    </w:p>
    <w:p w14:paraId="5331BBB5" w14:textId="2CCF57E9" w:rsidR="00A71985" w:rsidRDefault="00A71985" w:rsidP="00931EEF">
      <w:pPr>
        <w:jc w:val="both"/>
      </w:pPr>
    </w:p>
    <w:p w14:paraId="5640F866" w14:textId="77777777" w:rsidR="002D4DC9" w:rsidRDefault="00A71985" w:rsidP="00931EEF">
      <w:pPr>
        <w:pStyle w:val="Prrafodelista"/>
        <w:numPr>
          <w:ilvl w:val="0"/>
          <w:numId w:val="25"/>
        </w:numPr>
        <w:ind w:left="426"/>
        <w:jc w:val="both"/>
      </w:pPr>
      <w:r>
        <w:t xml:space="preserve">Trámites, Otros Procedimientos Administrativos y consultas de acceso a información pública. </w:t>
      </w:r>
    </w:p>
    <w:p w14:paraId="5AA7E830" w14:textId="77777777" w:rsidR="002D4DC9" w:rsidRDefault="002D4DC9" w:rsidP="002D4DC9">
      <w:pPr>
        <w:pStyle w:val="Prrafodelista"/>
        <w:ind w:left="426"/>
        <w:jc w:val="both"/>
      </w:pPr>
    </w:p>
    <w:p w14:paraId="776F044E" w14:textId="1586423D" w:rsidR="002D4DC9" w:rsidRDefault="00A71985" w:rsidP="002D4DC9">
      <w:pPr>
        <w:pStyle w:val="Prrafodelista"/>
        <w:ind w:left="426"/>
        <w:jc w:val="both"/>
      </w:pPr>
      <w:r>
        <w:t xml:space="preserve">Direcciona a través de la ruta señalada, desde el menú de atención y se identifica los seis (6) </w:t>
      </w:r>
      <w:r w:rsidR="002D4DC9">
        <w:t>trámites</w:t>
      </w:r>
      <w:r>
        <w:t xml:space="preserve"> de la Entidad y los servicios y otros procedimientos administrativos.</w:t>
      </w:r>
    </w:p>
    <w:p w14:paraId="2D4F14AA" w14:textId="77777777" w:rsidR="00D533C9" w:rsidRDefault="00D533C9" w:rsidP="002D4DC9">
      <w:pPr>
        <w:pStyle w:val="Prrafodelista"/>
        <w:ind w:left="426"/>
        <w:jc w:val="both"/>
      </w:pPr>
    </w:p>
    <w:p w14:paraId="05015E07" w14:textId="77777777" w:rsidR="002D4DC9" w:rsidRDefault="00E30F6B" w:rsidP="00931EEF">
      <w:pPr>
        <w:pStyle w:val="Prrafodelista"/>
        <w:numPr>
          <w:ilvl w:val="0"/>
          <w:numId w:val="25"/>
        </w:numPr>
        <w:ind w:left="426"/>
        <w:jc w:val="both"/>
      </w:pPr>
      <w:r>
        <w:lastRenderedPageBreak/>
        <w:t>Canal</w:t>
      </w:r>
      <w:r w:rsidR="002D4DC9">
        <w:t>es de atención y pida una cita</w:t>
      </w:r>
    </w:p>
    <w:p w14:paraId="0A531305" w14:textId="77777777" w:rsidR="002D4DC9" w:rsidRDefault="002D4DC9" w:rsidP="002D4DC9">
      <w:pPr>
        <w:pStyle w:val="Prrafodelista"/>
        <w:ind w:left="426"/>
        <w:jc w:val="both"/>
      </w:pPr>
    </w:p>
    <w:p w14:paraId="71036A46" w14:textId="27B96601" w:rsidR="002D4DC9" w:rsidRDefault="00F71CD8" w:rsidP="002D4DC9">
      <w:pPr>
        <w:pStyle w:val="Prrafodelista"/>
        <w:ind w:left="426"/>
        <w:jc w:val="both"/>
      </w:pPr>
      <w:r>
        <w:t>En el menú se encuentra el enlace, con las sedes del Instituto, con los datos de dirección,</w:t>
      </w:r>
      <w:r w:rsidR="002D4DC9">
        <w:t xml:space="preserve"> teléfono, horario de atención, canales habilitados, así como el link a trámites virtuales “a un clic del patrimonio”</w:t>
      </w:r>
    </w:p>
    <w:p w14:paraId="300D6250" w14:textId="77777777" w:rsidR="002D4DC9" w:rsidRDefault="002D4DC9" w:rsidP="002D4DC9">
      <w:pPr>
        <w:pStyle w:val="Prrafodelista"/>
        <w:ind w:left="426"/>
        <w:jc w:val="both"/>
      </w:pPr>
    </w:p>
    <w:p w14:paraId="05B11CC4" w14:textId="77777777" w:rsidR="002D4DC9" w:rsidRDefault="002D4DC9" w:rsidP="00931EEF">
      <w:pPr>
        <w:pStyle w:val="Prrafodelista"/>
        <w:numPr>
          <w:ilvl w:val="0"/>
          <w:numId w:val="25"/>
        </w:numPr>
        <w:ind w:left="426"/>
        <w:jc w:val="both"/>
      </w:pPr>
      <w:r>
        <w:t>PQRSD</w:t>
      </w:r>
      <w:r w:rsidR="00B53907">
        <w:t xml:space="preserve"> </w:t>
      </w:r>
    </w:p>
    <w:p w14:paraId="54BF976D" w14:textId="77777777" w:rsidR="002D4DC9" w:rsidRDefault="002D4DC9" w:rsidP="002D4DC9">
      <w:pPr>
        <w:pStyle w:val="Prrafodelista"/>
        <w:ind w:left="426"/>
        <w:jc w:val="both"/>
      </w:pPr>
    </w:p>
    <w:p w14:paraId="44B9AC53" w14:textId="6C5B222C" w:rsidR="002D4DC9" w:rsidRDefault="00B53907" w:rsidP="002D4DC9">
      <w:pPr>
        <w:pStyle w:val="Prrafodelista"/>
        <w:ind w:left="426"/>
        <w:jc w:val="both"/>
      </w:pPr>
      <w:r>
        <w:t>Dos enlaces contienen este sitio; el primero direcciona al Sistema Distrital de Peticiones ciud</w:t>
      </w:r>
      <w:r w:rsidR="002D4DC9">
        <w:t>adanas de la Alcaldía de Bogotá, el cual cumple con las condiciones técnicas dela normatividad.</w:t>
      </w:r>
    </w:p>
    <w:p w14:paraId="12BA2A6A" w14:textId="77777777" w:rsidR="002D4DC9" w:rsidRDefault="002D4DC9" w:rsidP="002D4DC9">
      <w:pPr>
        <w:pStyle w:val="Prrafodelista"/>
        <w:ind w:left="426"/>
        <w:jc w:val="both"/>
      </w:pPr>
    </w:p>
    <w:p w14:paraId="4FF6663F" w14:textId="2214CAF0" w:rsidR="00B53907" w:rsidRDefault="00B53907" w:rsidP="002D4DC9">
      <w:pPr>
        <w:pStyle w:val="Prrafodelista"/>
        <w:ind w:left="426"/>
        <w:jc w:val="both"/>
      </w:pPr>
      <w:r>
        <w:t xml:space="preserve">El segundo enlace se denomina solicitudes de información pública con identificación reservada –SIPIR, </w:t>
      </w:r>
      <w:r w:rsidR="002D4DC9">
        <w:t>en el cual redirecciona a</w:t>
      </w:r>
      <w:r>
        <w:t xml:space="preserve"> la</w:t>
      </w:r>
      <w:r w:rsidR="002D4DC9">
        <w:t xml:space="preserve"> página de la</w:t>
      </w:r>
      <w:r>
        <w:t xml:space="preserve"> Procuraduría General de la Nación. </w:t>
      </w:r>
    </w:p>
    <w:p w14:paraId="6244A862" w14:textId="5AAD9F68" w:rsidR="00615538" w:rsidRDefault="00615538" w:rsidP="00931EEF">
      <w:pPr>
        <w:jc w:val="both"/>
      </w:pPr>
    </w:p>
    <w:p w14:paraId="51C94713" w14:textId="1E0A6FEE" w:rsidR="00615538" w:rsidRPr="002D4DC9" w:rsidRDefault="00615538" w:rsidP="00615538">
      <w:pPr>
        <w:jc w:val="both"/>
        <w:rPr>
          <w:rFonts w:cs="Arial"/>
          <w:i/>
          <w:u w:val="single"/>
        </w:rPr>
      </w:pPr>
      <w:r w:rsidRPr="002D4DC9">
        <w:rPr>
          <w:rFonts w:cs="Arial"/>
          <w:i/>
          <w:u w:val="single"/>
        </w:rPr>
        <w:t>2.4.4 Menú Participa</w:t>
      </w:r>
    </w:p>
    <w:p w14:paraId="00CD4BDB" w14:textId="77777777" w:rsidR="002D4DC9" w:rsidRDefault="002D4DC9" w:rsidP="00615538">
      <w:pPr>
        <w:jc w:val="both"/>
      </w:pPr>
    </w:p>
    <w:p w14:paraId="3D63794B" w14:textId="7F3AE12D" w:rsidR="00615538" w:rsidRDefault="00615538" w:rsidP="00615538">
      <w:pPr>
        <w:jc w:val="both"/>
      </w:pPr>
      <w:r>
        <w:t>La página denomina el sitio participación ciudadana, y contiene información sobre la misionalidad Institucional, mesa de consejeros locales, proyectos vigentes y noticias de participación.</w:t>
      </w:r>
      <w:r w:rsidR="009A05C8">
        <w:t xml:space="preserve"> Para el sitio de participa, informa la Subdirección de Gestión Corporativa, que la información se encuentra en proceso de recopilación para su publicación. </w:t>
      </w:r>
    </w:p>
    <w:p w14:paraId="0B98ACAC" w14:textId="77777777" w:rsidR="00784CD4" w:rsidRDefault="00784CD4" w:rsidP="007E187A">
      <w:pPr>
        <w:jc w:val="both"/>
        <w:rPr>
          <w:rFonts w:cs="Arial"/>
        </w:rPr>
      </w:pPr>
    </w:p>
    <w:p w14:paraId="5EE3BA71" w14:textId="77777777" w:rsidR="002D4DC9" w:rsidRPr="007E187A" w:rsidRDefault="002D4DC9" w:rsidP="007E187A">
      <w:pPr>
        <w:jc w:val="both"/>
        <w:rPr>
          <w:rFonts w:cs="Arial"/>
          <w:b/>
        </w:rPr>
      </w:pPr>
    </w:p>
    <w:p w14:paraId="66E104CF" w14:textId="3205DC90" w:rsidR="007E187A" w:rsidRDefault="007E187A" w:rsidP="007E187A">
      <w:pPr>
        <w:pStyle w:val="Prrafodelista"/>
        <w:numPr>
          <w:ilvl w:val="0"/>
          <w:numId w:val="8"/>
        </w:numPr>
        <w:jc w:val="center"/>
        <w:rPr>
          <w:rFonts w:cs="Arial"/>
          <w:b/>
        </w:rPr>
      </w:pPr>
      <w:r w:rsidRPr="007E187A">
        <w:rPr>
          <w:rFonts w:cs="Arial"/>
          <w:b/>
        </w:rPr>
        <w:t>FORTALEZAS EVIDENCIADAS</w:t>
      </w:r>
    </w:p>
    <w:p w14:paraId="1B43FCAF" w14:textId="51CC00A9" w:rsidR="007E187A" w:rsidRPr="00247653" w:rsidRDefault="007E187A" w:rsidP="00247653">
      <w:pPr>
        <w:rPr>
          <w:rFonts w:cs="Arial"/>
          <w:b/>
        </w:rPr>
      </w:pPr>
    </w:p>
    <w:p w14:paraId="2A8495F7" w14:textId="6173C173" w:rsidR="00247653" w:rsidRPr="00125892" w:rsidRDefault="00247653" w:rsidP="00104FC3">
      <w:pPr>
        <w:pStyle w:val="Prrafodelista"/>
        <w:numPr>
          <w:ilvl w:val="0"/>
          <w:numId w:val="13"/>
        </w:numPr>
        <w:jc w:val="both"/>
        <w:rPr>
          <w:rFonts w:cs="Arial"/>
          <w:b/>
        </w:rPr>
      </w:pPr>
      <w:r>
        <w:rPr>
          <w:rFonts w:cs="Arial"/>
        </w:rPr>
        <w:t xml:space="preserve">La estructura general del </w:t>
      </w:r>
      <w:r w:rsidR="00A575EA">
        <w:rPr>
          <w:rFonts w:cs="Arial"/>
        </w:rPr>
        <w:t>menú de</w:t>
      </w:r>
      <w:r>
        <w:rPr>
          <w:rFonts w:cs="Arial"/>
        </w:rPr>
        <w:t xml:space="preserve"> transparencia</w:t>
      </w:r>
      <w:r w:rsidR="00A575EA">
        <w:rPr>
          <w:rFonts w:cs="Arial"/>
        </w:rPr>
        <w:t xml:space="preserve"> y acceso a la información</w:t>
      </w:r>
      <w:r>
        <w:rPr>
          <w:rFonts w:cs="Arial"/>
        </w:rPr>
        <w:t>, está ajus</w:t>
      </w:r>
      <w:r w:rsidR="005915D0">
        <w:rPr>
          <w:rFonts w:cs="Arial"/>
        </w:rPr>
        <w:t>tada</w:t>
      </w:r>
      <w:r>
        <w:rPr>
          <w:rFonts w:cs="Arial"/>
        </w:rPr>
        <w:t xml:space="preserve"> a la actualización que establece la </w:t>
      </w:r>
      <w:r w:rsidR="00A575EA">
        <w:rPr>
          <w:rFonts w:cs="Arial"/>
        </w:rPr>
        <w:t xml:space="preserve">norma, </w:t>
      </w:r>
      <w:r w:rsidR="0063139E">
        <w:rPr>
          <w:rFonts w:cs="Arial"/>
        </w:rPr>
        <w:t xml:space="preserve">y </w:t>
      </w:r>
      <w:r w:rsidR="00A575EA">
        <w:rPr>
          <w:rFonts w:cs="Arial"/>
        </w:rPr>
        <w:t>contiene los requisitos mínimos d</w:t>
      </w:r>
      <w:r w:rsidR="003A04E0">
        <w:rPr>
          <w:rFonts w:cs="Arial"/>
        </w:rPr>
        <w:t xml:space="preserve">e cumplimiento, </w:t>
      </w:r>
      <w:r w:rsidR="001A7DAA">
        <w:rPr>
          <w:rFonts w:cs="Arial"/>
        </w:rPr>
        <w:t>para la</w:t>
      </w:r>
      <w:r w:rsidR="00A575EA">
        <w:rPr>
          <w:rFonts w:cs="Arial"/>
        </w:rPr>
        <w:t xml:space="preserve"> mayoría de criterios evaluados. </w:t>
      </w:r>
    </w:p>
    <w:p w14:paraId="6284F1C7" w14:textId="1EAC5E9E" w:rsidR="00125892" w:rsidRPr="007B5A88" w:rsidRDefault="002052AE" w:rsidP="00125892">
      <w:pPr>
        <w:pStyle w:val="Prrafodelista"/>
        <w:numPr>
          <w:ilvl w:val="0"/>
          <w:numId w:val="13"/>
        </w:numPr>
        <w:jc w:val="both"/>
        <w:rPr>
          <w:rFonts w:cs="Arial"/>
          <w:b/>
        </w:rPr>
      </w:pPr>
      <w:r>
        <w:rPr>
          <w:rFonts w:cs="Arial"/>
        </w:rPr>
        <w:t>La información publicada</w:t>
      </w:r>
      <w:r w:rsidR="00BF5337">
        <w:rPr>
          <w:rFonts w:cs="Arial"/>
        </w:rPr>
        <w:t xml:space="preserve"> en el menú de transparencia y acceso a la información</w:t>
      </w:r>
      <w:r>
        <w:rPr>
          <w:rFonts w:cs="Arial"/>
        </w:rPr>
        <w:t xml:space="preserve">, es funcional, </w:t>
      </w:r>
      <w:r w:rsidR="002D4DC9">
        <w:rPr>
          <w:rFonts w:cs="Arial"/>
        </w:rPr>
        <w:t>práctica</w:t>
      </w:r>
      <w:r>
        <w:rPr>
          <w:rFonts w:cs="Arial"/>
        </w:rPr>
        <w:t xml:space="preserve"> y pun</w:t>
      </w:r>
      <w:r w:rsidR="008C2782">
        <w:rPr>
          <w:rFonts w:cs="Arial"/>
        </w:rPr>
        <w:t xml:space="preserve">tual, y permite identificar </w:t>
      </w:r>
      <w:r>
        <w:rPr>
          <w:rFonts w:cs="Arial"/>
        </w:rPr>
        <w:t xml:space="preserve">los principales aspectos de la Entidad, que todo ciudadano puede consultar con claridad. </w:t>
      </w:r>
    </w:p>
    <w:p w14:paraId="60B9C338" w14:textId="6E58BA0A" w:rsidR="007B5A88" w:rsidRPr="002052AE" w:rsidRDefault="007B5A88" w:rsidP="00125892">
      <w:pPr>
        <w:pStyle w:val="Prrafodelista"/>
        <w:numPr>
          <w:ilvl w:val="0"/>
          <w:numId w:val="13"/>
        </w:numPr>
        <w:jc w:val="both"/>
        <w:rPr>
          <w:rFonts w:cs="Arial"/>
          <w:b/>
        </w:rPr>
      </w:pPr>
      <w:r>
        <w:rPr>
          <w:rFonts w:cs="Arial"/>
        </w:rPr>
        <w:t>Se solicitó el ajuste de algunos contenidos del micrositio de transparencia posterior a la socialización del informe preliminar, lo cual evidencia un enfoque hacia la mejora continua por parte de las dependencias.</w:t>
      </w:r>
    </w:p>
    <w:p w14:paraId="06B1C593" w14:textId="33445A2F" w:rsidR="00807574" w:rsidRDefault="00F4632F" w:rsidP="00BF5337">
      <w:pPr>
        <w:jc w:val="both"/>
        <w:rPr>
          <w:rFonts w:cs="Arial"/>
          <w:b/>
        </w:rPr>
      </w:pPr>
      <w:r w:rsidRPr="00F4632F">
        <w:rPr>
          <w:rFonts w:cs="Arial"/>
        </w:rPr>
        <w:t xml:space="preserve"> </w:t>
      </w:r>
    </w:p>
    <w:p w14:paraId="0AF39474" w14:textId="77777777" w:rsidR="00807574" w:rsidRPr="00104FC3" w:rsidRDefault="00807574" w:rsidP="00104FC3">
      <w:pPr>
        <w:rPr>
          <w:rFonts w:cs="Arial"/>
          <w:b/>
        </w:rPr>
      </w:pPr>
    </w:p>
    <w:p w14:paraId="58737FF6" w14:textId="77777777" w:rsidR="007E187A" w:rsidRPr="007E187A" w:rsidRDefault="007E187A" w:rsidP="007E187A">
      <w:pPr>
        <w:pStyle w:val="Prrafodelista"/>
        <w:numPr>
          <w:ilvl w:val="0"/>
          <w:numId w:val="8"/>
        </w:numPr>
        <w:jc w:val="center"/>
        <w:rPr>
          <w:rFonts w:cs="Arial"/>
          <w:b/>
        </w:rPr>
      </w:pPr>
      <w:r w:rsidRPr="007E187A">
        <w:rPr>
          <w:rFonts w:cs="Arial"/>
          <w:b/>
        </w:rPr>
        <w:t>OBSERVACIONES</w:t>
      </w:r>
    </w:p>
    <w:p w14:paraId="26DEF2FD" w14:textId="2EE96B29" w:rsidR="00A76806" w:rsidRPr="00BF5337" w:rsidRDefault="00A76806" w:rsidP="00BF5337">
      <w:pPr>
        <w:rPr>
          <w:rFonts w:cs="Arial"/>
          <w:b/>
        </w:rPr>
      </w:pPr>
    </w:p>
    <w:p w14:paraId="70B07788" w14:textId="2BCCC873" w:rsidR="00BF5337" w:rsidRPr="00BF5337" w:rsidRDefault="00BF5337" w:rsidP="00BF5337">
      <w:pPr>
        <w:pStyle w:val="Prrafodelista"/>
        <w:numPr>
          <w:ilvl w:val="0"/>
          <w:numId w:val="10"/>
        </w:numPr>
        <w:jc w:val="both"/>
        <w:rPr>
          <w:rFonts w:cs="Arial"/>
        </w:rPr>
      </w:pPr>
      <w:r>
        <w:rPr>
          <w:rFonts w:cs="Arial"/>
        </w:rPr>
        <w:t>De acuerdo con el numeral 2.1 del Anexo 2,</w:t>
      </w:r>
      <w:r w:rsidRPr="00BF5337">
        <w:rPr>
          <w:rFonts w:cs="Arial"/>
        </w:rPr>
        <w:t xml:space="preserve"> </w:t>
      </w:r>
      <w:r>
        <w:rPr>
          <w:rFonts w:cs="Arial"/>
        </w:rPr>
        <w:t>l</w:t>
      </w:r>
      <w:r w:rsidRPr="00BF5337">
        <w:rPr>
          <w:rFonts w:cs="Arial"/>
        </w:rPr>
        <w:t xml:space="preserve">a página web Institucional, contiene la descripción que establece la norma, a excepción del acceso al Portal Único del Estado Colombiano </w:t>
      </w:r>
      <w:hyperlink r:id="rId12" w:history="1">
        <w:r w:rsidRPr="00BF5337">
          <w:rPr>
            <w:rStyle w:val="Hipervnculo"/>
            <w:rFonts w:cs="Arial"/>
          </w:rPr>
          <w:t>https://www.gov.co</w:t>
        </w:r>
      </w:hyperlink>
    </w:p>
    <w:p w14:paraId="23A81A9B" w14:textId="5C3BE520" w:rsidR="00BF5337" w:rsidRPr="00BF5337" w:rsidRDefault="00BF5337" w:rsidP="00BF5337">
      <w:pPr>
        <w:pStyle w:val="Prrafodelista"/>
        <w:numPr>
          <w:ilvl w:val="0"/>
          <w:numId w:val="10"/>
        </w:numPr>
        <w:jc w:val="both"/>
        <w:rPr>
          <w:rFonts w:cs="Arial"/>
        </w:rPr>
      </w:pPr>
      <w:r>
        <w:rPr>
          <w:rFonts w:cs="Arial"/>
        </w:rPr>
        <w:t>Teniendo en cuenta lo establecido en el numeral 2.2 del Anexo 2, e</w:t>
      </w:r>
      <w:r w:rsidRPr="00BF5337">
        <w:rPr>
          <w:rFonts w:cs="Arial"/>
        </w:rPr>
        <w:t>l pie de página contiene los requisitos de la norma, a excepción de la imagen del Portal Único del Estado Colombiano y el logo de la marca país CO - Colombia.</w:t>
      </w:r>
    </w:p>
    <w:p w14:paraId="0CF19621" w14:textId="4D8FFA5B" w:rsidR="00BF5337" w:rsidRDefault="009D5AB1" w:rsidP="00467C88">
      <w:pPr>
        <w:pStyle w:val="Prrafodelista"/>
        <w:numPr>
          <w:ilvl w:val="0"/>
          <w:numId w:val="10"/>
        </w:numPr>
        <w:jc w:val="both"/>
        <w:rPr>
          <w:rFonts w:cs="Arial"/>
        </w:rPr>
      </w:pPr>
      <w:r>
        <w:rPr>
          <w:rFonts w:cs="Arial"/>
        </w:rPr>
        <w:t xml:space="preserve">En relación con el menú destacado “Participa”, </w:t>
      </w:r>
      <w:r w:rsidRPr="009D5AB1">
        <w:rPr>
          <w:rFonts w:cs="Arial"/>
        </w:rPr>
        <w:t>la Subdirección de Gestió</w:t>
      </w:r>
      <w:r>
        <w:rPr>
          <w:rFonts w:cs="Arial"/>
        </w:rPr>
        <w:t>n Corporativa menciona</w:t>
      </w:r>
      <w:r w:rsidRPr="009D5AB1">
        <w:rPr>
          <w:rFonts w:cs="Arial"/>
        </w:rPr>
        <w:t xml:space="preserve"> que la información se encuentra en proceso de recopilación para su publicación.</w:t>
      </w:r>
    </w:p>
    <w:p w14:paraId="657FAC61" w14:textId="5F2A15B7" w:rsidR="00D533C9" w:rsidRDefault="00D533C9" w:rsidP="00467C88">
      <w:pPr>
        <w:pStyle w:val="Prrafodelista"/>
        <w:numPr>
          <w:ilvl w:val="0"/>
          <w:numId w:val="10"/>
        </w:numPr>
        <w:jc w:val="both"/>
        <w:rPr>
          <w:rFonts w:cs="Arial"/>
        </w:rPr>
      </w:pPr>
      <w:r>
        <w:rPr>
          <w:rFonts w:cs="Arial"/>
        </w:rPr>
        <w:t xml:space="preserve">Se cumple parcialmente con </w:t>
      </w:r>
      <w:r w:rsidRPr="00D533C9">
        <w:rPr>
          <w:rFonts w:cs="Arial"/>
        </w:rPr>
        <w:t xml:space="preserve">lo establecido en </w:t>
      </w:r>
      <w:r>
        <w:rPr>
          <w:rFonts w:cs="Arial"/>
        </w:rPr>
        <w:t xml:space="preserve">los ítems que se señalan a continuación respecto al numeral 2.4.2 de </w:t>
      </w:r>
      <w:r w:rsidRPr="00D533C9">
        <w:rPr>
          <w:rFonts w:cs="Arial"/>
        </w:rPr>
        <w:t>la Resolución 1519</w:t>
      </w:r>
      <w:r>
        <w:rPr>
          <w:rFonts w:cs="Arial"/>
        </w:rPr>
        <w:t xml:space="preserve"> de 2020:</w:t>
      </w:r>
    </w:p>
    <w:p w14:paraId="6C8FFE8B" w14:textId="03C28D12" w:rsidR="00D533C9" w:rsidRDefault="00D55D87" w:rsidP="00D55D87">
      <w:pPr>
        <w:pStyle w:val="Prrafodelista"/>
        <w:numPr>
          <w:ilvl w:val="0"/>
          <w:numId w:val="27"/>
        </w:numPr>
        <w:jc w:val="both"/>
        <w:rPr>
          <w:rFonts w:cs="Arial"/>
        </w:rPr>
      </w:pPr>
      <w:r>
        <w:rPr>
          <w:rFonts w:cs="Arial"/>
        </w:rPr>
        <w:lastRenderedPageBreak/>
        <w:t xml:space="preserve">Numeral 1.2 </w:t>
      </w:r>
      <w:r w:rsidRPr="00D55D87">
        <w:rPr>
          <w:rFonts w:cs="Arial"/>
        </w:rPr>
        <w:t xml:space="preserve">Estructura Orgánica </w:t>
      </w:r>
      <w:r>
        <w:rPr>
          <w:rFonts w:cs="Arial"/>
        </w:rPr>
        <w:t>–</w:t>
      </w:r>
      <w:r w:rsidRPr="00D55D87">
        <w:rPr>
          <w:rFonts w:cs="Arial"/>
        </w:rPr>
        <w:t xml:space="preserve"> Organigrama</w:t>
      </w:r>
      <w:r>
        <w:rPr>
          <w:rFonts w:cs="Arial"/>
        </w:rPr>
        <w:t xml:space="preserve">: </w:t>
      </w:r>
      <w:r w:rsidRPr="00D55D87">
        <w:rPr>
          <w:rFonts w:cs="Arial"/>
        </w:rPr>
        <w:t>Se evidencia la publicación del Organigrama de la Entidad. Al inicio del espacio se encuentra enlace a los actos administrativos de la estructura organizacional y funcional de la modificación de la planta de personal: El primero direcciona al acto administrativo de la estructura organizacional y funciones del Instituto. El segundo hace referencia a la modificación de la planta de personal, sin embargo, al abrir este documento genera error. Adicionalmente no incluye correo electrónico, información de nombres y cargos de las personas responsables de las áreas, como lo establece este numeral.</w:t>
      </w:r>
    </w:p>
    <w:p w14:paraId="117ACFDC" w14:textId="01A1F012" w:rsidR="00D55D87" w:rsidRDefault="00D55D87" w:rsidP="00D55D87">
      <w:pPr>
        <w:pStyle w:val="Prrafodelista"/>
        <w:numPr>
          <w:ilvl w:val="0"/>
          <w:numId w:val="27"/>
        </w:numPr>
        <w:jc w:val="both"/>
        <w:rPr>
          <w:rFonts w:cs="Arial"/>
        </w:rPr>
      </w:pPr>
      <w:r>
        <w:rPr>
          <w:rFonts w:cs="Arial"/>
        </w:rPr>
        <w:t xml:space="preserve">Numeral 1.3 </w:t>
      </w:r>
      <w:r w:rsidRPr="00D55D87">
        <w:rPr>
          <w:rFonts w:cs="Arial"/>
        </w:rPr>
        <w:t>Mapas y Cart</w:t>
      </w:r>
      <w:r>
        <w:rPr>
          <w:rFonts w:cs="Arial"/>
        </w:rPr>
        <w:t xml:space="preserve">as descriptivas de los procesos: </w:t>
      </w:r>
      <w:r w:rsidRPr="00D55D87">
        <w:rPr>
          <w:rFonts w:cs="Arial"/>
        </w:rPr>
        <w:t>Despliega el mapa de procesos y hay enlace de los procesos y procedimientos del Instituto. Se identifican los 16 procesos del SIG, y alrededor de 30 procedimientos relacionados. No obstante lo anterior, aún hace falta la publicación de los demás procedimientos que impactan directamente a la ciudadanía, como es el caso de Atención de PQRS y medición de satisfacción del ciudadano, entre otros.</w:t>
      </w:r>
      <w:r w:rsidR="001E256E">
        <w:rPr>
          <w:rFonts w:cs="Arial"/>
        </w:rPr>
        <w:t xml:space="preserve"> </w:t>
      </w:r>
      <w:r w:rsidR="001E256E" w:rsidRPr="002C5C11">
        <w:rPr>
          <w:rFonts w:cs="Arial"/>
          <w:color w:val="C45911" w:themeColor="accent2" w:themeShade="BF"/>
        </w:rPr>
        <w:t>Teniendo en cuenta la respuesta otorgada por la Oficina Asesora de Planeación, se observa solicitud de publicación mediante correo electrónico de 13 de mayo de 2021, aún no se evidencia en la página Web, adicionalmente, se encuentra fuera del alcance del seguimiento, por lo tanto se mantiene la observación.</w:t>
      </w:r>
    </w:p>
    <w:p w14:paraId="58572A0A" w14:textId="4F81425E" w:rsidR="00D55D87" w:rsidRDefault="00D55D87" w:rsidP="00D55D87">
      <w:pPr>
        <w:pStyle w:val="Prrafodelista"/>
        <w:numPr>
          <w:ilvl w:val="0"/>
          <w:numId w:val="27"/>
        </w:numPr>
        <w:jc w:val="both"/>
        <w:rPr>
          <w:rFonts w:cs="Arial"/>
        </w:rPr>
      </w:pPr>
      <w:r>
        <w:rPr>
          <w:rFonts w:cs="Arial"/>
        </w:rPr>
        <w:t xml:space="preserve">Numeral 1.4 </w:t>
      </w:r>
      <w:r w:rsidRPr="00D55D87">
        <w:rPr>
          <w:rFonts w:cs="Arial"/>
        </w:rPr>
        <w:t>Directorio Institucional incluyendo sedes, oficinas, sucursales, o regionales, y dependencias:</w:t>
      </w:r>
      <w:r>
        <w:rPr>
          <w:rFonts w:cs="Arial"/>
        </w:rPr>
        <w:t xml:space="preserve"> </w:t>
      </w:r>
      <w:r w:rsidRPr="00D55D87">
        <w:rPr>
          <w:rFonts w:cs="Arial"/>
        </w:rPr>
        <w:t>El link direcciona a "mecanismos de contacto", y en este despliega  "Espacios Físicos". Se identifican sedes y horarios  de la Entidad. Registra la Sede principal,  y otras sedes, y está Casa Fernández, Palomar del Príncipe, Casa Gemelas, Museo de Bogotá. Para cada uno contiene la dirección, la ciudad, teléfono, horario de atención y mapa de ubicación. No está registrada la nueva sede Casa Pardo,  que entró en funcionamiento desde marzo de 2021.</w:t>
      </w:r>
    </w:p>
    <w:p w14:paraId="2CDBF0CF" w14:textId="4275C322" w:rsidR="00D55D87" w:rsidRDefault="00D55D87" w:rsidP="00D55D87">
      <w:pPr>
        <w:pStyle w:val="Prrafodelista"/>
        <w:numPr>
          <w:ilvl w:val="0"/>
          <w:numId w:val="27"/>
        </w:numPr>
        <w:jc w:val="both"/>
        <w:rPr>
          <w:rFonts w:cs="Arial"/>
        </w:rPr>
      </w:pPr>
      <w:r>
        <w:rPr>
          <w:rFonts w:cs="Arial"/>
        </w:rPr>
        <w:t xml:space="preserve">Numeral 1.5 </w:t>
      </w:r>
      <w:r w:rsidRPr="00D55D87">
        <w:rPr>
          <w:rFonts w:cs="Arial"/>
        </w:rPr>
        <w:t>Directorio Institucional incluyendo sedes, oficinas, sucursales, o regionales, y dependencias:</w:t>
      </w:r>
      <w:r>
        <w:rPr>
          <w:rFonts w:cs="Arial"/>
        </w:rPr>
        <w:t xml:space="preserve"> En el directorio general </w:t>
      </w:r>
      <w:r w:rsidRPr="00D55D87">
        <w:rPr>
          <w:rFonts w:cs="Arial"/>
        </w:rPr>
        <w:t>hace falta la información correspondiente a la Jefe de Oficina Asesora Jurídica, de igual manera, se encuentra desactualizada la información de la Gerencia de Museo.</w:t>
      </w:r>
      <w:r>
        <w:rPr>
          <w:rFonts w:cs="Arial"/>
        </w:rPr>
        <w:t xml:space="preserve"> En el directorio de contratistas, </w:t>
      </w:r>
      <w:r w:rsidRPr="00D55D87">
        <w:rPr>
          <w:rFonts w:cs="Arial"/>
        </w:rPr>
        <w:t>se evidencia que no se detalla la formación académica (carrera profesional), únicamente se registra como profesional, tecnólogo, técnico, bachiller o primaria. En lo que respecta a escala salarial, el link incluido es el mismo para todos los contratistas registrados en la matriz y direcciona la contrato IDPC-PSP-001-2020.</w:t>
      </w:r>
    </w:p>
    <w:p w14:paraId="3ACBB436" w14:textId="691A6EF7" w:rsidR="00D55D87" w:rsidRDefault="00D55D87" w:rsidP="00CC05C8">
      <w:pPr>
        <w:pStyle w:val="Prrafodelista"/>
        <w:numPr>
          <w:ilvl w:val="0"/>
          <w:numId w:val="27"/>
        </w:numPr>
        <w:jc w:val="both"/>
        <w:rPr>
          <w:rFonts w:cs="Arial"/>
        </w:rPr>
      </w:pPr>
      <w:r>
        <w:rPr>
          <w:rFonts w:cs="Arial"/>
        </w:rPr>
        <w:t xml:space="preserve">Numeral 1.9 </w:t>
      </w:r>
      <w:r w:rsidR="00CC05C8" w:rsidRPr="00CC05C8">
        <w:rPr>
          <w:rFonts w:cs="Arial"/>
        </w:rPr>
        <w:t>Procedimientos</w:t>
      </w:r>
      <w:r w:rsidR="00CC05C8">
        <w:rPr>
          <w:rFonts w:cs="Arial"/>
        </w:rPr>
        <w:t xml:space="preserve">: </w:t>
      </w:r>
      <w:r w:rsidR="00CC05C8" w:rsidRPr="00CC05C8">
        <w:rPr>
          <w:rFonts w:cs="Arial"/>
        </w:rPr>
        <w:t>Se encuentra en el micrositio de transparencia como numeral 1.8. Despliega el mapa de procesos, y hay enlace de los procesos y procedimientos del Instituto. Se identifican los 16 procesos del SIG, y alrededor de 30 procedimientos relacionados. Aún hace falta la publicación de los demás procedimientos que impactan directamente a la ciudadanía, como es el caso de Atención de PQRS y medición de satisfacción del ciudadano, entre otros. No coincide el numeral, con el de la estructura de contenidos del menú de transparencia y acceso a la información incluida en el Anexo 2 de la Resolución 1519 de 2020.</w:t>
      </w:r>
      <w:r w:rsidR="001E256E" w:rsidRPr="001E256E">
        <w:rPr>
          <w:rFonts w:cs="Arial"/>
          <w:color w:val="C45911" w:themeColor="accent2" w:themeShade="BF"/>
        </w:rPr>
        <w:t xml:space="preserve"> </w:t>
      </w:r>
      <w:r w:rsidR="001E256E" w:rsidRPr="002C5C11">
        <w:rPr>
          <w:rFonts w:cs="Arial"/>
          <w:color w:val="C45911" w:themeColor="accent2" w:themeShade="BF"/>
        </w:rPr>
        <w:t>Teniendo en cuenta la respuesta otorgada por la Oficina Asesora de Planeación, se observa solicitud de publicación mediante correo electrónico de 13 de mayo de 2021, aún no se evidencia en la página Web, adicionalmente, se encuentra fuera del alcance del seguimiento, por lo tanto se mantiene la observación.</w:t>
      </w:r>
    </w:p>
    <w:p w14:paraId="6000C689" w14:textId="231E5C60" w:rsidR="00CC05C8" w:rsidRDefault="00CC05C8" w:rsidP="00CC05C8">
      <w:pPr>
        <w:pStyle w:val="Prrafodelista"/>
        <w:numPr>
          <w:ilvl w:val="0"/>
          <w:numId w:val="27"/>
        </w:numPr>
        <w:jc w:val="both"/>
        <w:rPr>
          <w:rFonts w:cs="Arial"/>
        </w:rPr>
      </w:pPr>
      <w:r>
        <w:rPr>
          <w:rFonts w:cs="Arial"/>
        </w:rPr>
        <w:t xml:space="preserve">Numeral 1.12 </w:t>
      </w:r>
      <w:r w:rsidRPr="00CC05C8">
        <w:rPr>
          <w:rFonts w:cs="Arial"/>
        </w:rPr>
        <w:t>Información sobre decision</w:t>
      </w:r>
      <w:r>
        <w:rPr>
          <w:rFonts w:cs="Arial"/>
        </w:rPr>
        <w:t xml:space="preserve">es que puede afectar al público: En el link </w:t>
      </w:r>
      <w:r w:rsidRPr="00CC05C8">
        <w:rPr>
          <w:rFonts w:cs="Arial"/>
        </w:rPr>
        <w:t>Encuestas de Satisfacción del Servicio en Línea: Aparecen dos enlaces, el primero "Encuesta de satisfacción a la ciudadanía", figura error, no está funcionando.</w:t>
      </w:r>
    </w:p>
    <w:p w14:paraId="5ECA9E60" w14:textId="3E78D4F8" w:rsidR="00CC05C8" w:rsidRDefault="00CC05C8" w:rsidP="00CC05C8">
      <w:pPr>
        <w:pStyle w:val="Prrafodelista"/>
        <w:numPr>
          <w:ilvl w:val="0"/>
          <w:numId w:val="27"/>
        </w:numPr>
        <w:jc w:val="both"/>
        <w:rPr>
          <w:rFonts w:cs="Arial"/>
        </w:rPr>
      </w:pPr>
      <w:r>
        <w:rPr>
          <w:rFonts w:cs="Arial"/>
        </w:rPr>
        <w:lastRenderedPageBreak/>
        <w:t xml:space="preserve">Numeral 2.1.1 </w:t>
      </w:r>
      <w:r w:rsidRPr="00CC05C8">
        <w:rPr>
          <w:rFonts w:cs="Arial"/>
        </w:rPr>
        <w:t>Leyes. De acuerd</w:t>
      </w:r>
      <w:r>
        <w:rPr>
          <w:rFonts w:cs="Arial"/>
        </w:rPr>
        <w:t>o con las leyes que le apliquen: En cuanto a Leyes, d</w:t>
      </w:r>
      <w:r w:rsidRPr="00CC05C8">
        <w:rPr>
          <w:rFonts w:cs="Arial"/>
        </w:rPr>
        <w:t>espliega las Leyes que le son aplicables, al año 2015. No hay registro de legislación posterior al 2015, tampoco se evidencia la Ley de Cultura.</w:t>
      </w:r>
    </w:p>
    <w:p w14:paraId="2C2AB7FD" w14:textId="37CE4CAB" w:rsidR="00CC05C8" w:rsidRDefault="00CC05C8" w:rsidP="00CC05C8">
      <w:pPr>
        <w:pStyle w:val="Prrafodelista"/>
        <w:numPr>
          <w:ilvl w:val="0"/>
          <w:numId w:val="27"/>
        </w:numPr>
        <w:jc w:val="both"/>
        <w:rPr>
          <w:rFonts w:cs="Arial"/>
        </w:rPr>
      </w:pPr>
      <w:r>
        <w:rPr>
          <w:rFonts w:cs="Arial"/>
        </w:rPr>
        <w:t xml:space="preserve">Literal a del numeral 2.1.2 </w:t>
      </w:r>
      <w:r w:rsidRPr="00CC05C8">
        <w:rPr>
          <w:rFonts w:cs="Arial"/>
        </w:rPr>
        <w:t>Políticas y lineamientos sectoriales</w:t>
      </w:r>
      <w:r>
        <w:rPr>
          <w:rFonts w:cs="Arial"/>
        </w:rPr>
        <w:t xml:space="preserve">: La política de Conflicto de intereses se encuentra desactualizada y las políticas de </w:t>
      </w:r>
      <w:r w:rsidRPr="00CC05C8">
        <w:rPr>
          <w:rFonts w:cs="Arial"/>
        </w:rPr>
        <w:t>Publicaciones</w:t>
      </w:r>
      <w:r>
        <w:rPr>
          <w:rFonts w:cs="Arial"/>
        </w:rPr>
        <w:t xml:space="preserve">, </w:t>
      </w:r>
      <w:r w:rsidRPr="00CC05C8">
        <w:rPr>
          <w:rFonts w:cs="Arial"/>
        </w:rPr>
        <w:t>Gestión de Talento Humano</w:t>
      </w:r>
      <w:r>
        <w:rPr>
          <w:rFonts w:cs="Arial"/>
        </w:rPr>
        <w:t xml:space="preserve"> y </w:t>
      </w:r>
      <w:r w:rsidRPr="00CC05C8">
        <w:rPr>
          <w:rFonts w:cs="Arial"/>
        </w:rPr>
        <w:t>de Seguridad y Salud en el Trabajo</w:t>
      </w:r>
      <w:r>
        <w:rPr>
          <w:rFonts w:cs="Arial"/>
        </w:rPr>
        <w:t>, a</w:t>
      </w:r>
      <w:r w:rsidRPr="00CC05C8">
        <w:rPr>
          <w:rFonts w:cs="Arial"/>
        </w:rPr>
        <w:t>l consultar</w:t>
      </w:r>
      <w:r>
        <w:rPr>
          <w:rFonts w:cs="Arial"/>
        </w:rPr>
        <w:t>las</w:t>
      </w:r>
      <w:r w:rsidRPr="00CC05C8">
        <w:rPr>
          <w:rFonts w:cs="Arial"/>
        </w:rPr>
        <w:t xml:space="preserve"> genera error. </w:t>
      </w:r>
    </w:p>
    <w:p w14:paraId="00601FA1" w14:textId="4063BC69" w:rsidR="00CC05C8" w:rsidRDefault="00CC05C8" w:rsidP="00CC05C8">
      <w:pPr>
        <w:pStyle w:val="Prrafodelista"/>
        <w:numPr>
          <w:ilvl w:val="0"/>
          <w:numId w:val="27"/>
        </w:numPr>
        <w:jc w:val="both"/>
        <w:rPr>
          <w:rFonts w:cs="Arial"/>
        </w:rPr>
      </w:pPr>
      <w:r>
        <w:rPr>
          <w:rFonts w:cs="Arial"/>
        </w:rPr>
        <w:t xml:space="preserve">Literal b del numeral 2.1.2 </w:t>
      </w:r>
      <w:r w:rsidRPr="00CC05C8">
        <w:rPr>
          <w:rFonts w:cs="Arial"/>
        </w:rPr>
        <w:t>Manuales</w:t>
      </w:r>
      <w:r>
        <w:rPr>
          <w:rFonts w:cs="Arial"/>
        </w:rPr>
        <w:t>: L</w:t>
      </w:r>
      <w:r w:rsidRPr="00CC05C8">
        <w:rPr>
          <w:rFonts w:cs="Arial"/>
        </w:rPr>
        <w:t>os enlaces de Manual de Políticas y procedimientos de datos personales, Supervisión e Interventoría, y  Cartera No tributaria, genera error y no permite su acceso.</w:t>
      </w:r>
    </w:p>
    <w:p w14:paraId="4D3FD4B9" w14:textId="1FF534BD" w:rsidR="00CC05C8" w:rsidRDefault="00CC05C8" w:rsidP="00CC05C8">
      <w:pPr>
        <w:pStyle w:val="Prrafodelista"/>
        <w:numPr>
          <w:ilvl w:val="0"/>
          <w:numId w:val="27"/>
        </w:numPr>
        <w:jc w:val="both"/>
        <w:rPr>
          <w:rFonts w:cs="Arial"/>
        </w:rPr>
      </w:pPr>
      <w:r>
        <w:rPr>
          <w:rFonts w:cs="Arial"/>
        </w:rPr>
        <w:t>Numeral 2.3.1 Proyectos normativos: Se cuenta con el p</w:t>
      </w:r>
      <w:r w:rsidRPr="00CC05C8">
        <w:rPr>
          <w:rFonts w:cs="Arial"/>
        </w:rPr>
        <w:t>royecto Acto Administra</w:t>
      </w:r>
      <w:r>
        <w:rPr>
          <w:rFonts w:cs="Arial"/>
        </w:rPr>
        <w:t>tivo, equiparación a estrato 1, s</w:t>
      </w:r>
      <w:r w:rsidRPr="00CC05C8">
        <w:rPr>
          <w:rFonts w:cs="Arial"/>
        </w:rPr>
        <w:t>in embargo</w:t>
      </w:r>
      <w:r>
        <w:rPr>
          <w:rFonts w:cs="Arial"/>
        </w:rPr>
        <w:t>,</w:t>
      </w:r>
      <w:r w:rsidRPr="00CC05C8">
        <w:rPr>
          <w:rFonts w:cs="Arial"/>
        </w:rPr>
        <w:t xml:space="preserve"> este no cuenta con los datos de contacto y plazo para que los interesados se pronuncien.</w:t>
      </w:r>
    </w:p>
    <w:p w14:paraId="1CF4EB56" w14:textId="69920DB4" w:rsidR="00CC05C8" w:rsidRDefault="00CC05C8" w:rsidP="00CC05C8">
      <w:pPr>
        <w:pStyle w:val="Prrafodelista"/>
        <w:numPr>
          <w:ilvl w:val="0"/>
          <w:numId w:val="27"/>
        </w:numPr>
        <w:jc w:val="both"/>
        <w:rPr>
          <w:rFonts w:cs="Arial"/>
        </w:rPr>
      </w:pPr>
      <w:r>
        <w:rPr>
          <w:rFonts w:cs="Arial"/>
        </w:rPr>
        <w:t xml:space="preserve">Numeral 3.3 </w:t>
      </w:r>
      <w:r w:rsidRPr="00CC05C8">
        <w:rPr>
          <w:rFonts w:cs="Arial"/>
        </w:rPr>
        <w:t>Publicación de la ejecución de los contratos</w:t>
      </w:r>
      <w:r>
        <w:rPr>
          <w:rFonts w:cs="Arial"/>
        </w:rPr>
        <w:t xml:space="preserve">: </w:t>
      </w:r>
      <w:r w:rsidRPr="00CC05C8">
        <w:rPr>
          <w:rFonts w:cs="Arial"/>
        </w:rPr>
        <w:t>El informe del mes de abril de 2021, no está diligenciado desde el porcentaje de ejecución en adelante. Los meses de febrero y marzo, no están diligenciados totalmente, y el mes de enero de 2021, no se puede consultar figura error.</w:t>
      </w:r>
    </w:p>
    <w:p w14:paraId="23249CB7" w14:textId="1BF3725D" w:rsidR="00CC05C8" w:rsidRDefault="00CC05C8" w:rsidP="0060093E">
      <w:pPr>
        <w:pStyle w:val="Prrafodelista"/>
        <w:numPr>
          <w:ilvl w:val="0"/>
          <w:numId w:val="27"/>
        </w:numPr>
        <w:jc w:val="both"/>
        <w:rPr>
          <w:rFonts w:cs="Arial"/>
        </w:rPr>
      </w:pPr>
      <w:r>
        <w:rPr>
          <w:rFonts w:cs="Arial"/>
        </w:rPr>
        <w:t xml:space="preserve">Numeral 4.1 </w:t>
      </w:r>
      <w:r w:rsidRPr="00CC05C8">
        <w:rPr>
          <w:rFonts w:cs="Arial"/>
        </w:rPr>
        <w:t xml:space="preserve">Presupuesto general </w:t>
      </w:r>
      <w:r>
        <w:rPr>
          <w:rFonts w:cs="Arial"/>
        </w:rPr>
        <w:t xml:space="preserve">de ingresos, gastos e inversión: </w:t>
      </w:r>
      <w:r w:rsidR="0060093E" w:rsidRPr="0060093E">
        <w:rPr>
          <w:rFonts w:cs="Arial"/>
        </w:rPr>
        <w:t xml:space="preserve">No se observa el anexo de las rentas o ingresos, tasas y frecuencias de cobro en formato abierto para consulta de los interesados, ni las modificaciones realizadas al </w:t>
      </w:r>
      <w:r w:rsidR="0060093E">
        <w:rPr>
          <w:rFonts w:cs="Arial"/>
        </w:rPr>
        <w:t>presupuesto de la vigencia 2021</w:t>
      </w:r>
      <w:r w:rsidRPr="00CC05C8">
        <w:rPr>
          <w:rFonts w:cs="Arial"/>
        </w:rPr>
        <w:t>.</w:t>
      </w:r>
    </w:p>
    <w:p w14:paraId="65770EAF" w14:textId="264592F9" w:rsidR="0060093E" w:rsidRDefault="0060093E" w:rsidP="0060093E">
      <w:pPr>
        <w:pStyle w:val="Prrafodelista"/>
        <w:numPr>
          <w:ilvl w:val="0"/>
          <w:numId w:val="27"/>
        </w:numPr>
        <w:jc w:val="both"/>
        <w:rPr>
          <w:rFonts w:cs="Arial"/>
        </w:rPr>
      </w:pPr>
      <w:r>
        <w:rPr>
          <w:rFonts w:cs="Arial"/>
        </w:rPr>
        <w:t xml:space="preserve">Numeral 4.2 </w:t>
      </w:r>
      <w:r w:rsidRPr="0060093E">
        <w:rPr>
          <w:rFonts w:cs="Arial"/>
        </w:rPr>
        <w:t>Ejecución Presupuestal</w:t>
      </w:r>
      <w:r>
        <w:rPr>
          <w:rFonts w:cs="Arial"/>
        </w:rPr>
        <w:t xml:space="preserve">: </w:t>
      </w:r>
      <w:r w:rsidRPr="0060093E">
        <w:rPr>
          <w:rFonts w:cs="Arial"/>
        </w:rPr>
        <w:t>No se evidencia registro de la Ejecución presupuestal del año 2021.</w:t>
      </w:r>
    </w:p>
    <w:p w14:paraId="5E906F51" w14:textId="5EB0A8BB" w:rsidR="004F500C" w:rsidRDefault="0060093E" w:rsidP="004F500C">
      <w:pPr>
        <w:pStyle w:val="Prrafodelista"/>
        <w:numPr>
          <w:ilvl w:val="0"/>
          <w:numId w:val="27"/>
        </w:numPr>
        <w:jc w:val="both"/>
        <w:rPr>
          <w:rFonts w:cs="Arial"/>
          <w:color w:val="C45911" w:themeColor="accent2" w:themeShade="BF"/>
        </w:rPr>
      </w:pPr>
      <w:r w:rsidRPr="004F500C">
        <w:rPr>
          <w:rFonts w:cs="Arial"/>
        </w:rPr>
        <w:t>Numeral 4.3 Plan de Acción: No se evidencia la publicación de la ejecución de metas, objetivos, indicadores de gestión y/o desempeño correspondiente al primer trimestre de la vigencia 2021.</w:t>
      </w:r>
      <w:r w:rsidR="003A2F79" w:rsidRPr="004F500C">
        <w:rPr>
          <w:rFonts w:cs="Arial"/>
        </w:rPr>
        <w:t xml:space="preserve"> </w:t>
      </w:r>
      <w:r w:rsidR="003A2F79" w:rsidRPr="004F500C">
        <w:rPr>
          <w:rFonts w:cs="Arial"/>
          <w:color w:val="C45911" w:themeColor="accent2" w:themeShade="BF"/>
        </w:rPr>
        <w:t xml:space="preserve">Teniendo en cuenta la respuesta otorgada por la Oficina Asesora de Planeación, se </w:t>
      </w:r>
      <w:r w:rsidR="00387EAA" w:rsidRPr="004F500C">
        <w:rPr>
          <w:rFonts w:cs="Arial"/>
          <w:color w:val="C45911" w:themeColor="accent2" w:themeShade="BF"/>
        </w:rPr>
        <w:t xml:space="preserve">observa </w:t>
      </w:r>
      <w:r w:rsidR="003A2F79" w:rsidRPr="004F500C">
        <w:rPr>
          <w:rFonts w:cs="Arial"/>
          <w:color w:val="C45911" w:themeColor="accent2" w:themeShade="BF"/>
        </w:rPr>
        <w:t>solicit</w:t>
      </w:r>
      <w:r w:rsidR="00387EAA" w:rsidRPr="004F500C">
        <w:rPr>
          <w:rFonts w:cs="Arial"/>
          <w:color w:val="C45911" w:themeColor="accent2" w:themeShade="BF"/>
        </w:rPr>
        <w:t>ud de</w:t>
      </w:r>
      <w:r w:rsidR="003A2F79" w:rsidRPr="004F500C">
        <w:rPr>
          <w:rFonts w:cs="Arial"/>
          <w:color w:val="C45911" w:themeColor="accent2" w:themeShade="BF"/>
        </w:rPr>
        <w:t xml:space="preserve"> publicación mediante correo electrónico de 13 de mayo de 2021, </w:t>
      </w:r>
      <w:r w:rsidR="004F500C" w:rsidRPr="004F500C">
        <w:rPr>
          <w:rFonts w:cs="Arial"/>
          <w:color w:val="C45911" w:themeColor="accent2" w:themeShade="BF"/>
        </w:rPr>
        <w:t>aún no se evidencia en la página Web, adicionalmente, se encuentra fuera del alcance del seguimiento, por lo tanto se mantiene la observación</w:t>
      </w:r>
      <w:r w:rsidR="004F500C">
        <w:rPr>
          <w:rFonts w:cs="Arial"/>
          <w:color w:val="C45911" w:themeColor="accent2" w:themeShade="BF"/>
        </w:rPr>
        <w:t>.</w:t>
      </w:r>
    </w:p>
    <w:p w14:paraId="269BCB8B" w14:textId="3A45F70F" w:rsidR="0060093E" w:rsidRPr="004F500C" w:rsidRDefault="0060093E" w:rsidP="004F500C">
      <w:pPr>
        <w:pStyle w:val="Prrafodelista"/>
        <w:numPr>
          <w:ilvl w:val="0"/>
          <w:numId w:val="27"/>
        </w:numPr>
        <w:jc w:val="both"/>
        <w:rPr>
          <w:rFonts w:cs="Arial"/>
          <w:color w:val="C45911" w:themeColor="accent2" w:themeShade="BF"/>
        </w:rPr>
      </w:pPr>
      <w:r w:rsidRPr="004F500C">
        <w:rPr>
          <w:rFonts w:cs="Arial"/>
        </w:rPr>
        <w:t>Numeral 4.4 Proyectos de Inversión: No se evidencia la publicación del avance de ejecución de los proyectos de inversión correspondiente al primer trimestre de la vigencia 2021.</w:t>
      </w:r>
      <w:r w:rsidR="005B37B6" w:rsidRPr="004F500C">
        <w:rPr>
          <w:rFonts w:cs="Arial"/>
        </w:rPr>
        <w:t xml:space="preserve"> </w:t>
      </w:r>
      <w:r w:rsidR="005B37B6" w:rsidRPr="004F500C">
        <w:rPr>
          <w:rFonts w:cs="Arial"/>
          <w:color w:val="C45911" w:themeColor="accent2" w:themeShade="BF"/>
        </w:rPr>
        <w:t>Teniendo en cuenta la respuesta otorgada por la Oficina Asesora de Planeación, se observa solicitud de publicación mediante correo electrónico de 12 de mayo de 2021, la cual se encuentra publicada, no obstante, se encuentra fuera del alcance del seguimiento, por lo tanto se mantiene la observación</w:t>
      </w:r>
      <w:r w:rsidR="004F500C">
        <w:rPr>
          <w:rFonts w:cs="Arial"/>
          <w:color w:val="C45911" w:themeColor="accent2" w:themeShade="BF"/>
        </w:rPr>
        <w:t>.</w:t>
      </w:r>
    </w:p>
    <w:p w14:paraId="0ADD5A9F" w14:textId="6F5EAA17" w:rsidR="0060093E" w:rsidRDefault="0060093E" w:rsidP="004F500C">
      <w:pPr>
        <w:pStyle w:val="Prrafodelista"/>
        <w:numPr>
          <w:ilvl w:val="0"/>
          <w:numId w:val="27"/>
        </w:numPr>
        <w:jc w:val="both"/>
        <w:rPr>
          <w:rFonts w:cs="Arial"/>
        </w:rPr>
      </w:pPr>
      <w:r>
        <w:rPr>
          <w:rFonts w:cs="Arial"/>
        </w:rPr>
        <w:t>Punto Informe</w:t>
      </w:r>
      <w:r w:rsidRPr="0060093E">
        <w:rPr>
          <w:rFonts w:cs="Arial"/>
        </w:rPr>
        <w:t xml:space="preserve"> de rendición de cuentas</w:t>
      </w:r>
      <w:r>
        <w:rPr>
          <w:rFonts w:cs="Arial"/>
        </w:rPr>
        <w:t xml:space="preserve"> del numeral 4.7: </w:t>
      </w:r>
      <w:r w:rsidRPr="0060093E">
        <w:rPr>
          <w:rFonts w:cs="Arial"/>
        </w:rPr>
        <w:t>Se encuentra dentro del contenido del enlace, los informes de rendición de cuentas ante la Contraloría por vigencias desde el año 2016  a enero de 2020. Al consultar, el reporte de enero de 2020, genera error. Faltan los informes mensuales de febrero a diciembre de 2020 y de enero a abril de 2021, así como el anual de 2021.</w:t>
      </w:r>
      <w:r w:rsidR="004F500C">
        <w:rPr>
          <w:rFonts w:cs="Arial"/>
        </w:rPr>
        <w:t xml:space="preserve"> </w:t>
      </w:r>
      <w:r w:rsidR="004F500C" w:rsidRPr="004F500C">
        <w:rPr>
          <w:rFonts w:cs="Arial"/>
          <w:color w:val="C45911" w:themeColor="accent2" w:themeShade="BF"/>
        </w:rPr>
        <w:t>Teniendo en cuenta la respuesta otorgada por la Oficina Asesora de Planeación, se observa solicitud de publicación mediante correo electrónico de 13 de mayo de 2021, aún no se evidencia en la página Web, adicionalmente, se encuentra fuera del alcance del seguimiento, por lo tanto se mantiene la observación.</w:t>
      </w:r>
    </w:p>
    <w:p w14:paraId="0CB2B900" w14:textId="44B57AD2" w:rsidR="0060093E" w:rsidRDefault="0060093E" w:rsidP="0060093E">
      <w:pPr>
        <w:pStyle w:val="Prrafodelista"/>
        <w:numPr>
          <w:ilvl w:val="0"/>
          <w:numId w:val="27"/>
        </w:numPr>
        <w:jc w:val="both"/>
        <w:rPr>
          <w:rFonts w:cs="Arial"/>
        </w:rPr>
      </w:pPr>
      <w:r>
        <w:rPr>
          <w:rFonts w:cs="Arial"/>
        </w:rPr>
        <w:t xml:space="preserve">Punto </w:t>
      </w:r>
      <w:r w:rsidRPr="0060093E">
        <w:rPr>
          <w:rFonts w:cs="Arial"/>
        </w:rPr>
        <w:t>Informe de rendición de cuentas a la ciudadanía</w:t>
      </w:r>
      <w:r>
        <w:rPr>
          <w:rFonts w:cs="Arial"/>
        </w:rPr>
        <w:t xml:space="preserve"> del numeral 4.7: </w:t>
      </w:r>
      <w:r w:rsidRPr="0060093E">
        <w:rPr>
          <w:rFonts w:cs="Arial"/>
        </w:rPr>
        <w:t>No se evidencia el informe de rendición de cuentas de la vigencia 2020.</w:t>
      </w:r>
      <w:r w:rsidR="004F500C">
        <w:rPr>
          <w:rFonts w:cs="Arial"/>
        </w:rPr>
        <w:t xml:space="preserve"> </w:t>
      </w:r>
      <w:r w:rsidR="009A17D1" w:rsidRPr="004F500C">
        <w:rPr>
          <w:rFonts w:cs="Arial"/>
          <w:color w:val="C45911" w:themeColor="accent2" w:themeShade="BF"/>
        </w:rPr>
        <w:t xml:space="preserve">Teniendo en cuenta la respuesta otorgada por la Oficina Asesora de Planeación, se observa solicitud de publicación mediante correo electrónico de 13 de mayo de 2021, aún no </w:t>
      </w:r>
      <w:r w:rsidR="009A17D1" w:rsidRPr="004F500C">
        <w:rPr>
          <w:rFonts w:cs="Arial"/>
          <w:color w:val="C45911" w:themeColor="accent2" w:themeShade="BF"/>
        </w:rPr>
        <w:lastRenderedPageBreak/>
        <w:t>se evidencia en la página Web, adicionalmente, se encuentra fuera del alcance del seguimiento, por lo tanto se mantiene la observación.</w:t>
      </w:r>
    </w:p>
    <w:p w14:paraId="24A2829B" w14:textId="79180BC0" w:rsidR="0060093E" w:rsidRDefault="0060093E" w:rsidP="002C5C11">
      <w:pPr>
        <w:pStyle w:val="Prrafodelista"/>
        <w:numPr>
          <w:ilvl w:val="0"/>
          <w:numId w:val="27"/>
        </w:numPr>
        <w:jc w:val="both"/>
        <w:rPr>
          <w:rFonts w:cs="Arial"/>
        </w:rPr>
      </w:pPr>
      <w:r>
        <w:rPr>
          <w:rFonts w:cs="Arial"/>
        </w:rPr>
        <w:t xml:space="preserve">Punto </w:t>
      </w:r>
      <w:r w:rsidRPr="0060093E">
        <w:rPr>
          <w:rFonts w:cs="Arial"/>
        </w:rPr>
        <w:t>Planes de mejoramiento</w:t>
      </w:r>
      <w:r>
        <w:rPr>
          <w:rFonts w:cs="Arial"/>
        </w:rPr>
        <w:t xml:space="preserve"> del numeral 4.7: </w:t>
      </w:r>
      <w:r w:rsidRPr="0060093E">
        <w:rPr>
          <w:rFonts w:cs="Arial"/>
        </w:rPr>
        <w:t>No se evidencia la publicación del Plan de Mejoramiento Institucional 2021, ni los de procesos correspondientes a las auditorías internas de la vigencia 2020, diferentes a la de Atención al Ciudadano.</w:t>
      </w:r>
      <w:r w:rsidR="002C5C11">
        <w:rPr>
          <w:rFonts w:cs="Arial"/>
        </w:rPr>
        <w:t xml:space="preserve"> </w:t>
      </w:r>
      <w:r w:rsidR="002C5C11" w:rsidRPr="002C5C11">
        <w:rPr>
          <w:rFonts w:cs="Arial"/>
          <w:color w:val="C45911" w:themeColor="accent2" w:themeShade="BF"/>
        </w:rPr>
        <w:t>Teniendo en cuenta la respuesta otorgada por la Oficina Asesora de Planeación, se observa solicitud de publicación mediante correo electrónico de 13 de mayo de 2021, aún no se evidencia en la página Web, adicionalmente, se encuentra fuera del alcance del seguimiento, por lo tanto se mantiene la observación.</w:t>
      </w:r>
    </w:p>
    <w:p w14:paraId="58A64256" w14:textId="315967E9" w:rsidR="0060093E" w:rsidRDefault="0060093E" w:rsidP="0060093E">
      <w:pPr>
        <w:pStyle w:val="Prrafodelista"/>
        <w:numPr>
          <w:ilvl w:val="0"/>
          <w:numId w:val="27"/>
        </w:numPr>
        <w:jc w:val="both"/>
        <w:rPr>
          <w:rFonts w:cs="Arial"/>
        </w:rPr>
      </w:pPr>
      <w:r>
        <w:rPr>
          <w:rFonts w:cs="Arial"/>
        </w:rPr>
        <w:t xml:space="preserve">Numeral 5 Trámites: </w:t>
      </w:r>
      <w:r w:rsidRPr="0060093E">
        <w:rPr>
          <w:rFonts w:cs="Arial"/>
        </w:rPr>
        <w:t>Se encuentran publicados 6 trámites que corresponden a los actuales de la Entidad. Consultados cada uno, no contienen  la norma  que los sustenta, como tampoco los procedimientos de atención correspondientes, de conformidad con la evaluación que establece la matriz de cumplimiento y sostenibilidad.</w:t>
      </w:r>
    </w:p>
    <w:p w14:paraId="4DF43660" w14:textId="0AF17544" w:rsidR="0060093E" w:rsidRDefault="0060093E" w:rsidP="0060093E">
      <w:pPr>
        <w:pStyle w:val="Prrafodelista"/>
        <w:numPr>
          <w:ilvl w:val="0"/>
          <w:numId w:val="27"/>
        </w:numPr>
        <w:jc w:val="both"/>
        <w:rPr>
          <w:rFonts w:cs="Arial"/>
        </w:rPr>
      </w:pPr>
      <w:r>
        <w:rPr>
          <w:rFonts w:cs="Arial"/>
        </w:rPr>
        <w:t xml:space="preserve">Numeral 6 Participa: </w:t>
      </w:r>
      <w:r w:rsidRPr="0060093E">
        <w:rPr>
          <w:rFonts w:cs="Arial"/>
        </w:rPr>
        <w:t>De acuerdo con lo informado por la Subdirección de Gestión Corporativa en su respuesta, la información se encuentra en proceso de recopilación para su publicación.</w:t>
      </w:r>
    </w:p>
    <w:p w14:paraId="6C2C5D75" w14:textId="10B10B61" w:rsidR="0060093E" w:rsidRPr="00CC05C8" w:rsidRDefault="0060093E" w:rsidP="0060093E">
      <w:pPr>
        <w:pStyle w:val="Prrafodelista"/>
        <w:numPr>
          <w:ilvl w:val="0"/>
          <w:numId w:val="27"/>
        </w:numPr>
        <w:jc w:val="both"/>
        <w:rPr>
          <w:rFonts w:cs="Arial"/>
        </w:rPr>
      </w:pPr>
      <w:r>
        <w:rPr>
          <w:rFonts w:cs="Arial"/>
        </w:rPr>
        <w:t xml:space="preserve">Numeral 7.2 </w:t>
      </w:r>
      <w:r w:rsidRPr="0060093E">
        <w:rPr>
          <w:rFonts w:cs="Arial"/>
        </w:rPr>
        <w:t>Sección de Datos Abiertos</w:t>
      </w:r>
      <w:r>
        <w:rPr>
          <w:rFonts w:cs="Arial"/>
        </w:rPr>
        <w:t xml:space="preserve">: </w:t>
      </w:r>
      <w:r w:rsidRPr="0060093E">
        <w:rPr>
          <w:rFonts w:cs="Arial"/>
        </w:rPr>
        <w:t>Es importante mencionar que en la página de datos del Distrito únicamente se encuentra el Índice de Información Clasificada y Reservada y Registro de activos de Información desactualizados, ya que corresponde a la vigencia 2018.</w:t>
      </w:r>
    </w:p>
    <w:p w14:paraId="7297433D" w14:textId="77777777" w:rsidR="00DE0492" w:rsidRDefault="00DE0492" w:rsidP="00D533C9">
      <w:pPr>
        <w:pStyle w:val="Prrafodelista"/>
        <w:ind w:left="360"/>
        <w:jc w:val="both"/>
        <w:rPr>
          <w:rFonts w:cs="Arial"/>
        </w:rPr>
      </w:pPr>
    </w:p>
    <w:p w14:paraId="11376D5A" w14:textId="77777777" w:rsidR="007E187A" w:rsidRPr="007E187A" w:rsidRDefault="007E187A" w:rsidP="007E187A">
      <w:pPr>
        <w:pStyle w:val="Prrafodelista"/>
        <w:rPr>
          <w:rFonts w:cs="Arial"/>
          <w:b/>
        </w:rPr>
      </w:pPr>
    </w:p>
    <w:p w14:paraId="53F88F30" w14:textId="77777777" w:rsidR="007E187A" w:rsidRPr="007E187A" w:rsidRDefault="007E187A" w:rsidP="007E187A">
      <w:pPr>
        <w:pStyle w:val="Prrafodelista"/>
        <w:numPr>
          <w:ilvl w:val="0"/>
          <w:numId w:val="8"/>
        </w:numPr>
        <w:jc w:val="center"/>
        <w:rPr>
          <w:rFonts w:cs="Arial"/>
          <w:b/>
        </w:rPr>
      </w:pPr>
      <w:r w:rsidRPr="007E187A">
        <w:rPr>
          <w:rFonts w:cs="Arial"/>
          <w:b/>
        </w:rPr>
        <w:t>NO CONFORMIDADES DETECTADAS</w:t>
      </w:r>
    </w:p>
    <w:p w14:paraId="30F28651" w14:textId="46CE229F" w:rsidR="007E187A" w:rsidRDefault="007E187A" w:rsidP="007E187A">
      <w:pPr>
        <w:pStyle w:val="Prrafodelista"/>
        <w:rPr>
          <w:rFonts w:cs="Arial"/>
          <w:b/>
        </w:rPr>
      </w:pPr>
    </w:p>
    <w:p w14:paraId="6D33F150" w14:textId="77777777" w:rsidR="00937D34" w:rsidRPr="00937D34" w:rsidRDefault="00BF5337" w:rsidP="00937D34">
      <w:pPr>
        <w:pStyle w:val="Prrafodelista"/>
        <w:numPr>
          <w:ilvl w:val="0"/>
          <w:numId w:val="28"/>
        </w:numPr>
        <w:ind w:left="426"/>
        <w:jc w:val="both"/>
        <w:rPr>
          <w:rFonts w:cs="Arial"/>
        </w:rPr>
      </w:pPr>
      <w:r w:rsidRPr="00937D34">
        <w:rPr>
          <w:rFonts w:cs="Arial"/>
        </w:rPr>
        <w:t xml:space="preserve">Incumplimiento del numeral 2.3 del Anexo 2 de la Resolución 1519 de 2020, ya que no se </w:t>
      </w:r>
      <w:r w:rsidR="00937D34" w:rsidRPr="00937D34">
        <w:rPr>
          <w:rFonts w:cs="Arial"/>
        </w:rPr>
        <w:t xml:space="preserve">evidenció </w:t>
      </w:r>
      <w:r w:rsidR="00937D34" w:rsidRPr="00937D34">
        <w:rPr>
          <w:rFonts w:cs="Arial"/>
          <w:color w:val="000000"/>
          <w:sz w:val="21"/>
          <w:szCs w:val="21"/>
        </w:rPr>
        <w:t> la publicación en el pie de página o footer, de los documentos aprobados que hagan referencia a las siguientes políticas:</w:t>
      </w:r>
      <w:r w:rsidRPr="00937D34">
        <w:rPr>
          <w:rFonts w:cs="Arial"/>
        </w:rPr>
        <w:t xml:space="preserve"> </w:t>
      </w:r>
    </w:p>
    <w:p w14:paraId="15C74D1D" w14:textId="77777777" w:rsidR="00937D34" w:rsidRDefault="00BF5337" w:rsidP="00937D34">
      <w:pPr>
        <w:pStyle w:val="Prrafodelista"/>
        <w:numPr>
          <w:ilvl w:val="0"/>
          <w:numId w:val="27"/>
        </w:numPr>
        <w:ind w:left="851"/>
        <w:jc w:val="both"/>
        <w:rPr>
          <w:rFonts w:cs="Arial"/>
        </w:rPr>
      </w:pPr>
      <w:r w:rsidRPr="00937D34">
        <w:rPr>
          <w:rFonts w:cs="Arial"/>
        </w:rPr>
        <w:t>Términos y condiciones</w:t>
      </w:r>
    </w:p>
    <w:p w14:paraId="60C6A6C9" w14:textId="77777777" w:rsidR="00937D34" w:rsidRDefault="00BF5337" w:rsidP="00937D34">
      <w:pPr>
        <w:pStyle w:val="Prrafodelista"/>
        <w:numPr>
          <w:ilvl w:val="0"/>
          <w:numId w:val="27"/>
        </w:numPr>
        <w:ind w:left="851"/>
        <w:jc w:val="both"/>
        <w:rPr>
          <w:rFonts w:cs="Arial"/>
        </w:rPr>
      </w:pPr>
      <w:r w:rsidRPr="00937D34">
        <w:rPr>
          <w:rFonts w:cs="Arial"/>
        </w:rPr>
        <w:t>Política de privacidad y tratamiento de datos personales.</w:t>
      </w:r>
    </w:p>
    <w:p w14:paraId="4DA1520E" w14:textId="3FF96042" w:rsidR="00937D34" w:rsidRDefault="00BF5337" w:rsidP="00937D34">
      <w:pPr>
        <w:pStyle w:val="Prrafodelista"/>
        <w:numPr>
          <w:ilvl w:val="0"/>
          <w:numId w:val="27"/>
        </w:numPr>
        <w:ind w:left="851"/>
        <w:jc w:val="both"/>
        <w:rPr>
          <w:rFonts w:cs="Arial"/>
        </w:rPr>
      </w:pPr>
      <w:r w:rsidRPr="00937D34">
        <w:rPr>
          <w:rFonts w:cs="Arial"/>
        </w:rPr>
        <w:t xml:space="preserve">Política de derechos de autor </w:t>
      </w:r>
    </w:p>
    <w:p w14:paraId="00D1DD36" w14:textId="40D5AFD0" w:rsidR="00BF5337" w:rsidRDefault="00BF5337" w:rsidP="00937D34">
      <w:pPr>
        <w:pStyle w:val="Prrafodelista"/>
        <w:numPr>
          <w:ilvl w:val="0"/>
          <w:numId w:val="27"/>
        </w:numPr>
        <w:ind w:left="851"/>
        <w:jc w:val="both"/>
        <w:rPr>
          <w:rFonts w:cs="Arial"/>
        </w:rPr>
      </w:pPr>
      <w:r w:rsidRPr="00937D34">
        <w:rPr>
          <w:rFonts w:cs="Arial"/>
        </w:rPr>
        <w:t>Otras que correspondan conforme con la normativa vigente en el pie de página de la Entidad.</w:t>
      </w:r>
    </w:p>
    <w:p w14:paraId="7DD6CDFD" w14:textId="0418AF47" w:rsidR="009D5AB1" w:rsidRPr="009D5AB1" w:rsidRDefault="009D5AB1" w:rsidP="009D5AB1">
      <w:pPr>
        <w:pStyle w:val="Prrafodelista"/>
        <w:numPr>
          <w:ilvl w:val="0"/>
          <w:numId w:val="28"/>
        </w:numPr>
        <w:ind w:left="426"/>
        <w:jc w:val="both"/>
      </w:pPr>
      <w:r>
        <w:rPr>
          <w:rFonts w:cs="Arial"/>
        </w:rPr>
        <w:t xml:space="preserve">Incumplimiento de los literales d y e del numeral 2.4.1 </w:t>
      </w:r>
      <w:r w:rsidRPr="00937D34">
        <w:rPr>
          <w:rFonts w:cs="Arial"/>
        </w:rPr>
        <w:t>del Anexo 2 de la Resolución 1519 de 2020</w:t>
      </w:r>
      <w:r>
        <w:rPr>
          <w:rFonts w:cs="Arial"/>
        </w:rPr>
        <w:t xml:space="preserve">, ya que alguna información publicada no permite </w:t>
      </w:r>
      <w:r>
        <w:t>realizar búsquedas en su interior, particularmente en la normatividad. De igual manera, n</w:t>
      </w:r>
      <w:r w:rsidRPr="009D5AB1">
        <w:t>ingún documento cuenta con fecha de publicación en la página Web.</w:t>
      </w:r>
    </w:p>
    <w:p w14:paraId="3E59739B" w14:textId="68124463" w:rsidR="00D533C9" w:rsidRDefault="00304C65" w:rsidP="00D533C9">
      <w:pPr>
        <w:pStyle w:val="Prrafodelista"/>
        <w:numPr>
          <w:ilvl w:val="0"/>
          <w:numId w:val="28"/>
        </w:numPr>
        <w:ind w:left="426"/>
        <w:jc w:val="both"/>
        <w:rPr>
          <w:rFonts w:cs="Arial"/>
        </w:rPr>
      </w:pPr>
      <w:r w:rsidRPr="00D533C9">
        <w:rPr>
          <w:rFonts w:cs="Arial"/>
        </w:rPr>
        <w:t xml:space="preserve">No se cumplió </w:t>
      </w:r>
      <w:r w:rsidR="00D533C9">
        <w:rPr>
          <w:rFonts w:cs="Arial"/>
        </w:rPr>
        <w:t xml:space="preserve">con </w:t>
      </w:r>
      <w:r w:rsidRPr="00D533C9">
        <w:rPr>
          <w:rFonts w:cs="Arial"/>
        </w:rPr>
        <w:t xml:space="preserve">lo establecido en </w:t>
      </w:r>
      <w:r w:rsidR="00D533C9">
        <w:rPr>
          <w:rFonts w:cs="Arial"/>
        </w:rPr>
        <w:t xml:space="preserve">los ítems que se señalan a continuación respecto al numeral 2.4.2 de </w:t>
      </w:r>
      <w:r w:rsidRPr="00D533C9">
        <w:rPr>
          <w:rFonts w:cs="Arial"/>
        </w:rPr>
        <w:t>la R</w:t>
      </w:r>
      <w:r w:rsidR="007808CA" w:rsidRPr="00D533C9">
        <w:rPr>
          <w:rFonts w:cs="Arial"/>
        </w:rPr>
        <w:t>esolución 1519</w:t>
      </w:r>
      <w:r w:rsidR="00D533C9">
        <w:rPr>
          <w:rFonts w:cs="Arial"/>
        </w:rPr>
        <w:t xml:space="preserve"> de 2020:</w:t>
      </w:r>
    </w:p>
    <w:p w14:paraId="1FD6738B" w14:textId="25384EC4" w:rsidR="00D533C9" w:rsidRDefault="00D533C9" w:rsidP="00D533C9">
      <w:pPr>
        <w:pStyle w:val="Prrafodelista"/>
        <w:numPr>
          <w:ilvl w:val="0"/>
          <w:numId w:val="27"/>
        </w:numPr>
        <w:ind w:left="851"/>
        <w:jc w:val="both"/>
        <w:rPr>
          <w:rFonts w:cs="Arial"/>
        </w:rPr>
      </w:pPr>
      <w:r>
        <w:rPr>
          <w:rFonts w:cs="Arial"/>
        </w:rPr>
        <w:t xml:space="preserve">Literal b, ya que no se observó que </w:t>
      </w:r>
      <w:r w:rsidRPr="00D533C9">
        <w:rPr>
          <w:rFonts w:cs="Arial"/>
        </w:rPr>
        <w:t>se informaran las excepciones en la publicación de información.</w:t>
      </w:r>
    </w:p>
    <w:p w14:paraId="42301E5A" w14:textId="47023053" w:rsidR="00D533C9" w:rsidRPr="00D533C9" w:rsidRDefault="00D533C9" w:rsidP="00D533C9">
      <w:pPr>
        <w:pStyle w:val="Prrafodelista"/>
        <w:numPr>
          <w:ilvl w:val="0"/>
          <w:numId w:val="27"/>
        </w:numPr>
        <w:ind w:left="851"/>
        <w:jc w:val="both"/>
        <w:rPr>
          <w:rFonts w:cs="Arial"/>
        </w:rPr>
      </w:pPr>
      <w:r>
        <w:rPr>
          <w:rFonts w:cs="Arial"/>
        </w:rPr>
        <w:t xml:space="preserve">Literal d, dado </w:t>
      </w:r>
      <w:r w:rsidRPr="00D533C9">
        <w:rPr>
          <w:rFonts w:cs="Arial"/>
        </w:rPr>
        <w:t>que no se cuenta con un buscador al interior de la sección de transparencia y acceso a la información.</w:t>
      </w:r>
    </w:p>
    <w:p w14:paraId="712878AA" w14:textId="77777777" w:rsidR="00D533C9" w:rsidRDefault="00D533C9" w:rsidP="00D533C9">
      <w:pPr>
        <w:pStyle w:val="Prrafodelista"/>
        <w:numPr>
          <w:ilvl w:val="0"/>
          <w:numId w:val="27"/>
        </w:numPr>
        <w:ind w:left="851"/>
        <w:jc w:val="both"/>
        <w:rPr>
          <w:rFonts w:cs="Arial"/>
        </w:rPr>
      </w:pPr>
      <w:r>
        <w:rPr>
          <w:rFonts w:cs="Arial"/>
        </w:rPr>
        <w:t>L</w:t>
      </w:r>
      <w:r w:rsidRPr="00D533C9">
        <w:rPr>
          <w:rFonts w:cs="Arial"/>
        </w:rPr>
        <w:t xml:space="preserve">iteral e, </w:t>
      </w:r>
      <w:r>
        <w:rPr>
          <w:rFonts w:cs="Arial"/>
        </w:rPr>
        <w:t>teniendo en cuenta</w:t>
      </w:r>
      <w:r w:rsidRPr="00D533C9">
        <w:rPr>
          <w:rFonts w:cs="Arial"/>
        </w:rPr>
        <w:t xml:space="preserve"> que </w:t>
      </w:r>
      <w:r>
        <w:rPr>
          <w:rFonts w:cs="Arial"/>
        </w:rPr>
        <w:t xml:space="preserve">en algunos casos </w:t>
      </w:r>
      <w:r w:rsidRPr="00D533C9">
        <w:rPr>
          <w:rFonts w:cs="Arial"/>
        </w:rPr>
        <w:t>se evidenció ausencia de información correspondiente a la vigencia 2021.</w:t>
      </w:r>
    </w:p>
    <w:p w14:paraId="6CA5BCF6" w14:textId="57732BEF" w:rsidR="00D533C9" w:rsidRPr="00D533C9" w:rsidRDefault="00D533C9" w:rsidP="00D533C9">
      <w:pPr>
        <w:pStyle w:val="Prrafodelista"/>
        <w:numPr>
          <w:ilvl w:val="0"/>
          <w:numId w:val="27"/>
        </w:numPr>
        <w:ind w:left="851"/>
        <w:jc w:val="both"/>
        <w:rPr>
          <w:rFonts w:cs="Arial"/>
        </w:rPr>
      </w:pPr>
      <w:r w:rsidRPr="00D533C9">
        <w:rPr>
          <w:rFonts w:cs="Arial"/>
        </w:rPr>
        <w:t>En cuanto a la Estructura de Contenidos del Menú de Transparencia y Acceso a la Información, de los 53 ítems evaluados, 3 no cumplen con los requisitos que corresponden a 1.8 Servicio al Público, 1.14 Publicación de Hojas de Vida y 3.5 Formatos o modelos de contratos o pliegos tipo.</w:t>
      </w:r>
    </w:p>
    <w:p w14:paraId="46275A19" w14:textId="77777777" w:rsidR="009758F4" w:rsidRDefault="009758F4" w:rsidP="009758F4">
      <w:pPr>
        <w:jc w:val="both"/>
      </w:pPr>
    </w:p>
    <w:p w14:paraId="38F6BCBE" w14:textId="473392E8" w:rsidR="00304C65" w:rsidRPr="00A74EEE" w:rsidRDefault="00304C65" w:rsidP="00A74EEE">
      <w:pPr>
        <w:rPr>
          <w:rFonts w:cs="Arial"/>
          <w:b/>
        </w:rPr>
      </w:pPr>
    </w:p>
    <w:p w14:paraId="631792E0" w14:textId="77777777" w:rsidR="007E187A" w:rsidRPr="007E187A" w:rsidRDefault="007E187A" w:rsidP="007E187A">
      <w:pPr>
        <w:pStyle w:val="Prrafodelista"/>
        <w:numPr>
          <w:ilvl w:val="0"/>
          <w:numId w:val="8"/>
        </w:numPr>
        <w:jc w:val="center"/>
        <w:rPr>
          <w:rFonts w:cs="Arial"/>
          <w:b/>
        </w:rPr>
      </w:pPr>
      <w:r w:rsidRPr="007E187A">
        <w:rPr>
          <w:rFonts w:cs="Arial"/>
          <w:b/>
        </w:rPr>
        <w:t>CONCLUSIÓN GENERAL</w:t>
      </w:r>
    </w:p>
    <w:p w14:paraId="020F95E5" w14:textId="6B002D91" w:rsidR="007E187A" w:rsidRPr="001E7B28" w:rsidRDefault="007E187A" w:rsidP="001E7B28">
      <w:pPr>
        <w:rPr>
          <w:rFonts w:cs="Arial"/>
          <w:b/>
        </w:rPr>
      </w:pPr>
    </w:p>
    <w:p w14:paraId="1C89E2E3" w14:textId="3FD79442" w:rsidR="00205492" w:rsidRDefault="00CE4BD0" w:rsidP="00EB78F7">
      <w:pPr>
        <w:pStyle w:val="Prrafodelista"/>
        <w:ind w:left="0"/>
        <w:jc w:val="both"/>
        <w:rPr>
          <w:rFonts w:cs="Arial"/>
        </w:rPr>
      </w:pPr>
      <w:r>
        <w:rPr>
          <w:rFonts w:cs="Arial"/>
        </w:rPr>
        <w:t>S</w:t>
      </w:r>
      <w:r w:rsidR="00C52127">
        <w:rPr>
          <w:rFonts w:cs="Arial"/>
        </w:rPr>
        <w:t>e evidenció avance</w:t>
      </w:r>
      <w:r w:rsidR="00001E0A">
        <w:rPr>
          <w:rFonts w:cs="Arial"/>
        </w:rPr>
        <w:t>s</w:t>
      </w:r>
      <w:r w:rsidR="00C52127">
        <w:rPr>
          <w:rFonts w:cs="Arial"/>
        </w:rPr>
        <w:t xml:space="preserve"> en la </w:t>
      </w:r>
      <w:r w:rsidR="00BD564F">
        <w:rPr>
          <w:rFonts w:cs="Arial"/>
        </w:rPr>
        <w:t>estructura</w:t>
      </w:r>
      <w:r w:rsidR="00C52127">
        <w:rPr>
          <w:rFonts w:cs="Arial"/>
        </w:rPr>
        <w:t xml:space="preserve"> de la página web Institucional,</w:t>
      </w:r>
      <w:r w:rsidR="00205492">
        <w:rPr>
          <w:rFonts w:cs="Arial"/>
        </w:rPr>
        <w:t xml:space="preserve"> ya que cumple con los criterios normativos aplicables, de diseño, contenido, fácil acceso y consulta de la información publicada. </w:t>
      </w:r>
    </w:p>
    <w:p w14:paraId="5B650DB8" w14:textId="77777777" w:rsidR="00205492" w:rsidRDefault="00205492" w:rsidP="00EB78F7">
      <w:pPr>
        <w:pStyle w:val="Prrafodelista"/>
        <w:ind w:left="0"/>
        <w:jc w:val="both"/>
        <w:rPr>
          <w:rFonts w:cs="Arial"/>
        </w:rPr>
      </w:pPr>
    </w:p>
    <w:p w14:paraId="379DE392" w14:textId="13BA3F65" w:rsidR="001F0705" w:rsidRDefault="00205492" w:rsidP="0060093E">
      <w:pPr>
        <w:pStyle w:val="Prrafodelista"/>
        <w:ind w:left="0"/>
        <w:jc w:val="both"/>
        <w:rPr>
          <w:rFonts w:cs="Arial"/>
        </w:rPr>
      </w:pPr>
      <w:r>
        <w:rPr>
          <w:rFonts w:cs="Arial"/>
        </w:rPr>
        <w:t>Sobre el</w:t>
      </w:r>
      <w:r w:rsidR="00C52127">
        <w:rPr>
          <w:rFonts w:cs="Arial"/>
        </w:rPr>
        <w:t xml:space="preserve"> </w:t>
      </w:r>
      <w:r w:rsidR="0060093E">
        <w:rPr>
          <w:rFonts w:cs="Arial"/>
        </w:rPr>
        <w:t>micro</w:t>
      </w:r>
      <w:r>
        <w:rPr>
          <w:rFonts w:cs="Arial"/>
        </w:rPr>
        <w:t>sitio</w:t>
      </w:r>
      <w:r w:rsidR="00C52127">
        <w:rPr>
          <w:rFonts w:cs="Arial"/>
        </w:rPr>
        <w:t xml:space="preserve"> de transparencia y acceso a la información pública</w:t>
      </w:r>
      <w:r w:rsidR="00CE4BD0">
        <w:rPr>
          <w:rFonts w:cs="Arial"/>
        </w:rPr>
        <w:t xml:space="preserve">, </w:t>
      </w:r>
      <w:r>
        <w:rPr>
          <w:rFonts w:cs="Arial"/>
        </w:rPr>
        <w:t xml:space="preserve">se observa que se encuentra </w:t>
      </w:r>
      <w:r w:rsidR="00CE4BD0">
        <w:rPr>
          <w:rFonts w:cs="Arial"/>
        </w:rPr>
        <w:t>ajustada a los lineamientos de actualización que estableció la normatividad</w:t>
      </w:r>
      <w:r w:rsidR="00C52127">
        <w:rPr>
          <w:rFonts w:cs="Arial"/>
        </w:rPr>
        <w:t xml:space="preserve">. </w:t>
      </w:r>
      <w:r w:rsidR="00CE4BD0">
        <w:rPr>
          <w:rFonts w:cs="Arial"/>
        </w:rPr>
        <w:t>Sin embargo, s</w:t>
      </w:r>
      <w:r>
        <w:rPr>
          <w:rFonts w:cs="Arial"/>
        </w:rPr>
        <w:t>e identificaron varios enlaces, sin</w:t>
      </w:r>
      <w:r w:rsidR="00001E0A">
        <w:rPr>
          <w:rFonts w:cs="Arial"/>
        </w:rPr>
        <w:t xml:space="preserve"> funciona</w:t>
      </w:r>
      <w:r w:rsidR="00CE4BD0">
        <w:rPr>
          <w:rFonts w:cs="Arial"/>
        </w:rPr>
        <w:t xml:space="preserve">r, sin direccionar a ningún </w:t>
      </w:r>
      <w:r>
        <w:rPr>
          <w:rFonts w:cs="Arial"/>
        </w:rPr>
        <w:t>lado o con contenidos incompletos o vacíos.</w:t>
      </w:r>
      <w:r w:rsidR="00001E0A">
        <w:rPr>
          <w:rFonts w:cs="Arial"/>
        </w:rPr>
        <w:t xml:space="preserve"> </w:t>
      </w:r>
      <w:r w:rsidR="00C52127">
        <w:rPr>
          <w:rFonts w:cs="Arial"/>
        </w:rPr>
        <w:t xml:space="preserve"> Esta situación es contraria </w:t>
      </w:r>
      <w:r w:rsidR="007A408F">
        <w:rPr>
          <w:rFonts w:cs="Arial"/>
        </w:rPr>
        <w:t xml:space="preserve">a los lineamientos normativos sobre </w:t>
      </w:r>
      <w:r w:rsidR="00C52127">
        <w:rPr>
          <w:rFonts w:cs="Arial"/>
        </w:rPr>
        <w:t>la información pública</w:t>
      </w:r>
      <w:r w:rsidR="007A408F">
        <w:rPr>
          <w:rFonts w:cs="Arial"/>
        </w:rPr>
        <w:t xml:space="preserve"> y actualizada</w:t>
      </w:r>
      <w:r w:rsidR="00C52127">
        <w:rPr>
          <w:rFonts w:cs="Arial"/>
        </w:rPr>
        <w:t xml:space="preserve"> que todo sujeto obligado debe cumplir.</w:t>
      </w:r>
    </w:p>
    <w:p w14:paraId="6B1EBC50" w14:textId="77777777" w:rsidR="0060093E" w:rsidRPr="00DE0492" w:rsidRDefault="0060093E" w:rsidP="0060093E">
      <w:pPr>
        <w:pStyle w:val="Prrafodelista"/>
        <w:ind w:left="0"/>
        <w:jc w:val="both"/>
        <w:rPr>
          <w:rFonts w:cs="Arial"/>
        </w:rPr>
      </w:pPr>
    </w:p>
    <w:p w14:paraId="69F2C031" w14:textId="77777777" w:rsidR="00C52127" w:rsidRPr="00C52127" w:rsidRDefault="00C52127" w:rsidP="007E187A">
      <w:pPr>
        <w:pStyle w:val="Prrafodelista"/>
        <w:rPr>
          <w:rFonts w:cs="Arial"/>
        </w:rPr>
      </w:pPr>
    </w:p>
    <w:p w14:paraId="40B0DB8E" w14:textId="57D5CC1C" w:rsidR="007E187A" w:rsidRDefault="007E187A" w:rsidP="007E187A">
      <w:pPr>
        <w:pStyle w:val="Prrafodelista"/>
        <w:numPr>
          <w:ilvl w:val="0"/>
          <w:numId w:val="8"/>
        </w:numPr>
        <w:jc w:val="center"/>
        <w:rPr>
          <w:rFonts w:cs="Arial"/>
          <w:b/>
        </w:rPr>
      </w:pPr>
      <w:r w:rsidRPr="007E187A">
        <w:rPr>
          <w:rFonts w:cs="Arial"/>
          <w:b/>
        </w:rPr>
        <w:t>RECOMENDACIONES</w:t>
      </w:r>
    </w:p>
    <w:p w14:paraId="5BE3A004" w14:textId="658ADD59" w:rsidR="007E187A" w:rsidRPr="007E187A" w:rsidRDefault="007E187A" w:rsidP="007E187A">
      <w:pPr>
        <w:jc w:val="both"/>
        <w:rPr>
          <w:rFonts w:cs="Arial"/>
          <w:b/>
        </w:rPr>
      </w:pPr>
    </w:p>
    <w:p w14:paraId="67AC01B4" w14:textId="7211B368" w:rsidR="0060093E" w:rsidRDefault="0060093E" w:rsidP="00AF76AB">
      <w:pPr>
        <w:pStyle w:val="Prrafodelista"/>
        <w:numPr>
          <w:ilvl w:val="0"/>
          <w:numId w:val="11"/>
        </w:numPr>
        <w:jc w:val="both"/>
        <w:rPr>
          <w:rFonts w:cs="Arial"/>
        </w:rPr>
      </w:pPr>
      <w:r>
        <w:rPr>
          <w:rFonts w:cs="Arial"/>
        </w:rPr>
        <w:t xml:space="preserve">Incluir los lineamientos referentes al Portal </w:t>
      </w:r>
      <w:r w:rsidRPr="00BF5337">
        <w:rPr>
          <w:rFonts w:cs="Arial"/>
        </w:rPr>
        <w:t xml:space="preserve">Único del Estado Colombiano </w:t>
      </w:r>
      <w:hyperlink r:id="rId13" w:history="1">
        <w:r w:rsidRPr="00BF5337">
          <w:rPr>
            <w:rStyle w:val="Hipervnculo"/>
            <w:rFonts w:cs="Arial"/>
          </w:rPr>
          <w:t>https://www.gov.co</w:t>
        </w:r>
      </w:hyperlink>
      <w:r>
        <w:rPr>
          <w:rFonts w:cs="Arial"/>
        </w:rPr>
        <w:t xml:space="preserve"> en el encabezado y pie de página como se indica en la norma.</w:t>
      </w:r>
    </w:p>
    <w:p w14:paraId="775424B9" w14:textId="3E793824" w:rsidR="0060093E" w:rsidRDefault="0060093E" w:rsidP="00AF76AB">
      <w:pPr>
        <w:pStyle w:val="Prrafodelista"/>
        <w:numPr>
          <w:ilvl w:val="0"/>
          <w:numId w:val="11"/>
        </w:numPr>
        <w:jc w:val="both"/>
        <w:rPr>
          <w:rFonts w:cs="Arial"/>
        </w:rPr>
      </w:pPr>
      <w:r>
        <w:rPr>
          <w:rFonts w:cs="Arial"/>
        </w:rPr>
        <w:t>Continuar con la actualización del menú destacado “Participa”, con el fin de dar cumplimiento a lo establecido en la normatividad vigente.</w:t>
      </w:r>
    </w:p>
    <w:p w14:paraId="1DFF91EA" w14:textId="27DC1C5F" w:rsidR="0060093E" w:rsidRDefault="0060093E" w:rsidP="00AF76AB">
      <w:pPr>
        <w:pStyle w:val="Prrafodelista"/>
        <w:numPr>
          <w:ilvl w:val="0"/>
          <w:numId w:val="11"/>
        </w:numPr>
        <w:jc w:val="both"/>
        <w:rPr>
          <w:rFonts w:cs="Arial"/>
        </w:rPr>
      </w:pPr>
      <w:r>
        <w:rPr>
          <w:rFonts w:cs="Arial"/>
        </w:rPr>
        <w:t>Actualizar el pie de página de acuerdo con lo establecido en el numeral 2.3 del anexo 2 de la Resolución 1519 de 2020.</w:t>
      </w:r>
    </w:p>
    <w:p w14:paraId="423921FB" w14:textId="799CA540" w:rsidR="0060093E" w:rsidRPr="0060093E" w:rsidRDefault="0060093E" w:rsidP="00AF76AB">
      <w:pPr>
        <w:pStyle w:val="Prrafodelista"/>
        <w:numPr>
          <w:ilvl w:val="0"/>
          <w:numId w:val="11"/>
        </w:numPr>
        <w:jc w:val="both"/>
        <w:rPr>
          <w:rFonts w:cs="Arial"/>
        </w:rPr>
      </w:pPr>
      <w:r>
        <w:rPr>
          <w:rFonts w:cs="Arial"/>
        </w:rPr>
        <w:t xml:space="preserve">Garantizar que toda la información publicada permita </w:t>
      </w:r>
      <w:r>
        <w:t>realizar búsquedas en su interior</w:t>
      </w:r>
    </w:p>
    <w:p w14:paraId="097C6E88" w14:textId="6DCB69E8" w:rsidR="0060093E" w:rsidRDefault="0060093E" w:rsidP="00AF76AB">
      <w:pPr>
        <w:pStyle w:val="Prrafodelista"/>
        <w:numPr>
          <w:ilvl w:val="0"/>
          <w:numId w:val="11"/>
        </w:numPr>
        <w:jc w:val="both"/>
        <w:rPr>
          <w:rFonts w:cs="Arial"/>
        </w:rPr>
      </w:pPr>
      <w:r>
        <w:t xml:space="preserve">Incluir para cada documento las fechas de publicación en la página Web </w:t>
      </w:r>
    </w:p>
    <w:p w14:paraId="0296B13A" w14:textId="3091D5AB" w:rsidR="00FE2C2A" w:rsidRPr="0060093E" w:rsidRDefault="0060093E" w:rsidP="00FE2C2A">
      <w:pPr>
        <w:pStyle w:val="Prrafodelista"/>
        <w:numPr>
          <w:ilvl w:val="0"/>
          <w:numId w:val="11"/>
        </w:numPr>
        <w:jc w:val="both"/>
        <w:rPr>
          <w:rFonts w:cs="Arial"/>
        </w:rPr>
      </w:pPr>
      <w:r>
        <w:rPr>
          <w:rFonts w:cs="Arial"/>
        </w:rPr>
        <w:t>Actualiz</w:t>
      </w:r>
      <w:r w:rsidR="00882D88">
        <w:rPr>
          <w:rFonts w:cs="Arial"/>
        </w:rPr>
        <w:t>ar</w:t>
      </w:r>
      <w:r>
        <w:rPr>
          <w:rFonts w:cs="Arial"/>
        </w:rPr>
        <w:t xml:space="preserve"> y adecuar</w:t>
      </w:r>
      <w:r w:rsidR="00882D88">
        <w:rPr>
          <w:rFonts w:cs="Arial"/>
        </w:rPr>
        <w:t xml:space="preserve"> la </w:t>
      </w:r>
      <w:r w:rsidR="00AF76AB">
        <w:rPr>
          <w:rFonts w:cs="Arial"/>
        </w:rPr>
        <w:t xml:space="preserve">información publicada en el micrositio de trasparencia de la página web, </w:t>
      </w:r>
      <w:r w:rsidR="00882D88">
        <w:rPr>
          <w:rFonts w:cs="Arial"/>
        </w:rPr>
        <w:t>de tal forma que cumplan con la totalidad de los</w:t>
      </w:r>
      <w:r w:rsidR="00FE2C2A">
        <w:rPr>
          <w:rFonts w:cs="Arial"/>
        </w:rPr>
        <w:t xml:space="preserve"> nuevos contenidos exigidos en la </w:t>
      </w:r>
      <w:r w:rsidR="00882D88">
        <w:rPr>
          <w:rFonts w:cs="Arial"/>
        </w:rPr>
        <w:t>normatividad,</w:t>
      </w:r>
      <w:r w:rsidR="00FE2C2A">
        <w:rPr>
          <w:rFonts w:cs="Arial"/>
        </w:rPr>
        <w:t xml:space="preserve"> para permitir un fácil acceso y consulta de la información de la Entidad.</w:t>
      </w:r>
    </w:p>
    <w:p w14:paraId="6EF6214E" w14:textId="438C5629" w:rsidR="00882D88" w:rsidRDefault="00882D88" w:rsidP="00FE2C2A">
      <w:pPr>
        <w:pStyle w:val="Prrafodelista"/>
        <w:numPr>
          <w:ilvl w:val="0"/>
          <w:numId w:val="11"/>
        </w:numPr>
        <w:jc w:val="both"/>
        <w:rPr>
          <w:rFonts w:cs="Arial"/>
        </w:rPr>
      </w:pPr>
      <w:r>
        <w:rPr>
          <w:rFonts w:cs="Arial"/>
        </w:rPr>
        <w:t>Gara</w:t>
      </w:r>
      <w:r w:rsidR="00451C17">
        <w:rPr>
          <w:rFonts w:cs="Arial"/>
        </w:rPr>
        <w:t>ntizar la actualización y la</w:t>
      </w:r>
      <w:r w:rsidR="001F0705">
        <w:rPr>
          <w:rFonts w:cs="Arial"/>
        </w:rPr>
        <w:t xml:space="preserve"> disponibilidad</w:t>
      </w:r>
      <w:r>
        <w:rPr>
          <w:rFonts w:cs="Arial"/>
        </w:rPr>
        <w:t xml:space="preserve"> </w:t>
      </w:r>
      <w:r w:rsidR="00451C17">
        <w:rPr>
          <w:rFonts w:cs="Arial"/>
        </w:rPr>
        <w:t xml:space="preserve">permanente </w:t>
      </w:r>
      <w:r>
        <w:rPr>
          <w:rFonts w:cs="Arial"/>
        </w:rPr>
        <w:t>de la información a publicar del Instituto, mediante una evaluación periódica, y con exigencias en las diferentes áreas</w:t>
      </w:r>
      <w:r w:rsidR="0077635A">
        <w:rPr>
          <w:rFonts w:cs="Arial"/>
        </w:rPr>
        <w:t xml:space="preserve"> responsables</w:t>
      </w:r>
      <w:r>
        <w:rPr>
          <w:rFonts w:cs="Arial"/>
        </w:rPr>
        <w:t xml:space="preserve">, </w:t>
      </w:r>
      <w:r w:rsidR="003C72F4">
        <w:rPr>
          <w:rFonts w:cs="Arial"/>
        </w:rPr>
        <w:t>por el</w:t>
      </w:r>
      <w:r>
        <w:rPr>
          <w:rFonts w:cs="Arial"/>
        </w:rPr>
        <w:t xml:space="preserve"> cumplimiento normativo</w:t>
      </w:r>
      <w:r w:rsidR="003C72F4">
        <w:rPr>
          <w:rFonts w:cs="Arial"/>
        </w:rPr>
        <w:t xml:space="preserve"> aplicable</w:t>
      </w:r>
      <w:r w:rsidR="00125892">
        <w:rPr>
          <w:rFonts w:cs="Arial"/>
        </w:rPr>
        <w:t>; caso contrario, la Entidad se expone a sanciones de tipo administrativo.</w:t>
      </w:r>
    </w:p>
    <w:p w14:paraId="094F8701" w14:textId="77777777" w:rsidR="00882D88" w:rsidRPr="00882D88" w:rsidRDefault="00882D88" w:rsidP="00882D88">
      <w:pPr>
        <w:pStyle w:val="Prrafodelista"/>
        <w:rPr>
          <w:rFonts w:cs="Arial"/>
        </w:rPr>
      </w:pPr>
    </w:p>
    <w:p w14:paraId="37033953" w14:textId="77777777" w:rsidR="007E187A" w:rsidRPr="007E187A" w:rsidRDefault="007E187A" w:rsidP="007E187A">
      <w:pPr>
        <w:jc w:val="both"/>
        <w:rPr>
          <w:rFonts w:cs="Arial"/>
          <w:b/>
        </w:rPr>
      </w:pPr>
    </w:p>
    <w:p w14:paraId="5BD31159" w14:textId="59DB32FE" w:rsidR="00B036B5" w:rsidRDefault="00B036B5" w:rsidP="00B036B5">
      <w:pPr>
        <w:jc w:val="both"/>
      </w:pPr>
    </w:p>
    <w:sectPr w:rsidR="00B036B5" w:rsidSect="002F1F7E">
      <w:headerReference w:type="default" r:id="rId14"/>
      <w:footerReference w:type="default" r:id="rId15"/>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E405F" w14:textId="77777777" w:rsidR="00535C5C" w:rsidRDefault="00535C5C" w:rsidP="00106E49">
      <w:r>
        <w:separator/>
      </w:r>
    </w:p>
  </w:endnote>
  <w:endnote w:type="continuationSeparator" w:id="0">
    <w:p w14:paraId="31EA2C18" w14:textId="77777777" w:rsidR="00535C5C" w:rsidRDefault="00535C5C" w:rsidP="0010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Cuerpo en alf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de3of9">
    <w:panose1 w:val="00000000000000000000"/>
    <w:charset w:val="00"/>
    <w:family w:val="auto"/>
    <w:pitch w:val="variable"/>
    <w:sig w:usb0="00000003" w:usb1="00000000" w:usb2="00000000" w:usb3="00000000" w:csb0="00000001" w:csb1="00000000"/>
  </w:font>
  <w:font w:name="Andale Sans UI">
    <w:panose1 w:val="00000000000000000000"/>
    <w:charset w:val="00"/>
    <w:family w:val="roman"/>
    <w:notTrueType/>
    <w:pitch w:val="default"/>
  </w:font>
  <w:font w:name="Lucidasans, '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5C216F" w14:paraId="4649E5C5" w14:textId="77777777" w:rsidTr="00455B38">
      <w:tc>
        <w:tcPr>
          <w:tcW w:w="2942" w:type="dxa"/>
        </w:tcPr>
        <w:p w14:paraId="5B4A80BF" w14:textId="260E9B2A" w:rsidR="005C216F" w:rsidRPr="00455B38" w:rsidRDefault="005C216F" w:rsidP="001D2412">
          <w:pPr>
            <w:pStyle w:val="Piedepgina"/>
            <w:rPr>
              <w:sz w:val="18"/>
              <w:szCs w:val="18"/>
            </w:rPr>
          </w:pPr>
          <w:r>
            <w:rPr>
              <w:sz w:val="18"/>
              <w:szCs w:val="18"/>
            </w:rPr>
            <w:t>Versión 03</w:t>
          </w:r>
          <w:r w:rsidRPr="00455B38">
            <w:rPr>
              <w:sz w:val="18"/>
              <w:szCs w:val="18"/>
            </w:rPr>
            <w:t xml:space="preserve">   3</w:t>
          </w:r>
          <w:r>
            <w:rPr>
              <w:sz w:val="18"/>
              <w:szCs w:val="18"/>
            </w:rPr>
            <w:t>1</w:t>
          </w:r>
          <w:r w:rsidRPr="00455B38">
            <w:rPr>
              <w:sz w:val="18"/>
              <w:szCs w:val="18"/>
            </w:rPr>
            <w:t>/</w:t>
          </w:r>
          <w:r>
            <w:rPr>
              <w:sz w:val="18"/>
              <w:szCs w:val="18"/>
            </w:rPr>
            <w:t>12</w:t>
          </w:r>
          <w:r w:rsidRPr="00455B38">
            <w:rPr>
              <w:sz w:val="18"/>
              <w:szCs w:val="18"/>
            </w:rPr>
            <w:t>/2020</w:t>
          </w:r>
        </w:p>
      </w:tc>
      <w:tc>
        <w:tcPr>
          <w:tcW w:w="2943" w:type="dxa"/>
        </w:tcPr>
        <w:p w14:paraId="543A11A7" w14:textId="77777777" w:rsidR="005C216F" w:rsidRDefault="005C216F">
          <w:pPr>
            <w:pStyle w:val="Piedepgina"/>
          </w:pPr>
        </w:p>
      </w:tc>
      <w:tc>
        <w:tcPr>
          <w:tcW w:w="2943" w:type="dxa"/>
        </w:tcPr>
        <w:p w14:paraId="52C40D95" w14:textId="77777777" w:rsidR="005C216F" w:rsidRDefault="005C216F">
          <w:pPr>
            <w:pStyle w:val="Piedepgina"/>
          </w:pPr>
        </w:p>
      </w:tc>
    </w:tr>
  </w:tbl>
  <w:p w14:paraId="5B4AE9E1" w14:textId="77777777" w:rsidR="005C216F" w:rsidRPr="00455B38" w:rsidRDefault="005C216F" w:rsidP="00455B38">
    <w:pPr>
      <w:pStyle w:val="Piedepgina"/>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83733" w14:textId="77777777" w:rsidR="00535C5C" w:rsidRDefault="00535C5C" w:rsidP="00106E49">
      <w:r>
        <w:separator/>
      </w:r>
    </w:p>
  </w:footnote>
  <w:footnote w:type="continuationSeparator" w:id="0">
    <w:p w14:paraId="4BE13429" w14:textId="77777777" w:rsidR="00535C5C" w:rsidRDefault="00535C5C" w:rsidP="00106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ayout w:type="fixed"/>
      <w:tblLook w:val="04A0" w:firstRow="1" w:lastRow="0" w:firstColumn="1" w:lastColumn="0" w:noHBand="0" w:noVBand="1"/>
    </w:tblPr>
    <w:tblGrid>
      <w:gridCol w:w="1412"/>
      <w:gridCol w:w="4395"/>
      <w:gridCol w:w="3021"/>
    </w:tblGrid>
    <w:tr w:rsidR="005C216F" w14:paraId="17F55E8E" w14:textId="77777777" w:rsidTr="00F1402C">
      <w:trPr>
        <w:trHeight w:val="268"/>
      </w:trPr>
      <w:tc>
        <w:tcPr>
          <w:tcW w:w="800" w:type="pct"/>
          <w:vMerge w:val="restart"/>
          <w:vAlign w:val="center"/>
        </w:tcPr>
        <w:p w14:paraId="7FFF3766" w14:textId="301B7BC8" w:rsidR="005C216F" w:rsidRDefault="005C216F" w:rsidP="00455B38">
          <w:pPr>
            <w:pStyle w:val="Encabezado"/>
            <w:jc w:val="center"/>
          </w:pPr>
          <w:r>
            <w:rPr>
              <w:noProof/>
              <w:lang w:eastAsia="es-CO"/>
            </w:rPr>
            <w:drawing>
              <wp:inline distT="0" distB="0" distL="0" distR="0" wp14:anchorId="296869BF" wp14:editId="0EE6423E">
                <wp:extent cx="775970" cy="672465"/>
                <wp:effectExtent l="0" t="0" r="0" b="635"/>
                <wp:docPr id="6" name="image1.jpg" descr="Descripción: IDPCBYN"/>
                <wp:cNvGraphicFramePr/>
                <a:graphic xmlns:a="http://schemas.openxmlformats.org/drawingml/2006/main">
                  <a:graphicData uri="http://schemas.openxmlformats.org/drawingml/2006/picture">
                    <pic:pic xmlns:pic="http://schemas.openxmlformats.org/drawingml/2006/picture">
                      <pic:nvPicPr>
                        <pic:cNvPr id="0" name="image1.jpg" descr="Descripción: IDPCBYN"/>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75970" cy="672465"/>
                        </a:xfrm>
                        <a:prstGeom prst="rect">
                          <a:avLst/>
                        </a:prstGeom>
                        <a:ln/>
                      </pic:spPr>
                    </pic:pic>
                  </a:graphicData>
                </a:graphic>
              </wp:inline>
            </w:drawing>
          </w:r>
        </w:p>
      </w:tc>
      <w:tc>
        <w:tcPr>
          <w:tcW w:w="2489" w:type="pct"/>
          <w:vAlign w:val="center"/>
        </w:tcPr>
        <w:p w14:paraId="7CFD37E4" w14:textId="6B6BB5CD" w:rsidR="005C216F" w:rsidRPr="002F1F7E" w:rsidRDefault="005C216F" w:rsidP="00455B38">
          <w:pPr>
            <w:pStyle w:val="Encabezado"/>
            <w:jc w:val="center"/>
            <w:rPr>
              <w:b/>
              <w:bCs/>
              <w:sz w:val="18"/>
              <w:szCs w:val="18"/>
            </w:rPr>
          </w:pPr>
          <w:r w:rsidRPr="002F1F7E">
            <w:rPr>
              <w:b/>
              <w:bCs/>
              <w:sz w:val="18"/>
              <w:szCs w:val="18"/>
            </w:rPr>
            <w:t>INSTITUTO DISTRITAL DE PATRIMONIO CULTURAL</w:t>
          </w:r>
        </w:p>
      </w:tc>
      <w:tc>
        <w:tcPr>
          <w:tcW w:w="1711" w:type="pct"/>
          <w:vMerge w:val="restart"/>
          <w:vAlign w:val="center"/>
        </w:tcPr>
        <w:p w14:paraId="22B738FF" w14:textId="77777777" w:rsidR="005C216F" w:rsidRPr="00C2554A" w:rsidRDefault="005C216F" w:rsidP="00455B38">
          <w:pPr>
            <w:pStyle w:val="Encabezamiento"/>
            <w:jc w:val="right"/>
            <w:rPr>
              <w:rFonts w:ascii="Code3of9" w:eastAsia="Andale Sans UI" w:hAnsi="Code3of9" w:cs="Lucidasans, 'Times New Roman'"/>
              <w:sz w:val="28"/>
              <w:szCs w:val="28"/>
              <w:lang w:val="en-US"/>
            </w:rPr>
          </w:pPr>
          <w:r w:rsidRPr="00C2554A">
            <w:rPr>
              <w:rFonts w:ascii="Code3of9" w:eastAsia="Andale Sans UI" w:hAnsi="Code3of9" w:cs="Lucidasans, 'Times New Roman'"/>
              <w:sz w:val="28"/>
              <w:szCs w:val="28"/>
              <w:lang w:val="en-US"/>
            </w:rPr>
            <w:t>*20211200081093*</w:t>
          </w:r>
        </w:p>
        <w:p w14:paraId="6A124EDA" w14:textId="375563B4" w:rsidR="005C216F" w:rsidRDefault="005C216F" w:rsidP="00455B38">
          <w:pPr>
            <w:pStyle w:val="Sinespaciado"/>
            <w:jc w:val="right"/>
            <w:rPr>
              <w:rFonts w:ascii="Times New Roman" w:eastAsia="Times New Roman" w:hAnsi="Times New Roman" w:cs="Times New Roman"/>
              <w:sz w:val="16"/>
              <w:szCs w:val="16"/>
              <w:lang w:val="en-US"/>
            </w:rPr>
          </w:pPr>
          <w:r w:rsidRPr="00645334">
            <w:rPr>
              <w:rFonts w:ascii="Arial" w:eastAsia="Times New Roman" w:hAnsi="Arial" w:cs="Arial"/>
              <w:sz w:val="16"/>
              <w:szCs w:val="16"/>
              <w:lang w:val="en-US"/>
            </w:rPr>
            <w:t>Radicado:</w:t>
          </w:r>
          <w:r>
            <w:rPr>
              <w:rFonts w:ascii="Times New Roman" w:eastAsia="Times New Roman" w:hAnsi="Times New Roman" w:cs="Times New Roman"/>
              <w:sz w:val="16"/>
              <w:szCs w:val="16"/>
              <w:lang w:val="en-US"/>
            </w:rPr>
            <w:t xml:space="preserve"> </w:t>
          </w:r>
          <w:r>
            <w:rPr>
              <w:rFonts w:ascii="Arial" w:eastAsia="Times New Roman" w:hAnsi="Arial" w:cs="Times New Roman"/>
              <w:b/>
              <w:bCs/>
              <w:sz w:val="20"/>
              <w:szCs w:val="20"/>
              <w:lang w:val="en-US"/>
            </w:rPr>
            <w:t>20211200081093</w:t>
          </w:r>
        </w:p>
        <w:p w14:paraId="5B67E539" w14:textId="77777777" w:rsidR="005C216F" w:rsidRDefault="005C216F" w:rsidP="00455B38">
          <w:pPr>
            <w:pStyle w:val="Sinespaciado"/>
            <w:jc w:val="right"/>
            <w:rPr>
              <w:rFonts w:ascii="Arial" w:eastAsia="Times New Roman" w:hAnsi="Arial" w:cs="Times New Roman"/>
              <w:sz w:val="20"/>
              <w:szCs w:val="20"/>
              <w:lang w:val="en-US"/>
            </w:rPr>
          </w:pPr>
          <w:r w:rsidRPr="00645334">
            <w:rPr>
              <w:rFonts w:ascii="Arial" w:eastAsia="Times New Roman" w:hAnsi="Arial" w:cs="Times New Roman"/>
              <w:sz w:val="16"/>
              <w:szCs w:val="16"/>
              <w:lang w:val="en-US"/>
            </w:rPr>
            <w:t xml:space="preserve">Fecha: </w:t>
          </w:r>
          <w:r>
            <w:rPr>
              <w:rFonts w:ascii="Arial" w:eastAsia="Times New Roman" w:hAnsi="Arial" w:cs="Times New Roman"/>
              <w:sz w:val="20"/>
              <w:szCs w:val="20"/>
              <w:lang w:val="en-US"/>
            </w:rPr>
            <w:t>14-05-2021</w:t>
          </w:r>
        </w:p>
        <w:p w14:paraId="19561F24" w14:textId="3E3FD596" w:rsidR="005C216F" w:rsidRDefault="005C216F" w:rsidP="00455B38">
          <w:pPr>
            <w:pStyle w:val="Encabezado"/>
            <w:jc w:val="right"/>
          </w:pPr>
          <w:r w:rsidRPr="006C56C7">
            <w:rPr>
              <w:rFonts w:cs="Arial"/>
              <w:sz w:val="18"/>
              <w:szCs w:val="18"/>
              <w:lang w:val="en-US"/>
            </w:rPr>
            <w:t xml:space="preserve">Pág. </w:t>
          </w:r>
          <w:r w:rsidRPr="006C56C7">
            <w:rPr>
              <w:rFonts w:cs="Arial"/>
              <w:sz w:val="18"/>
              <w:szCs w:val="18"/>
              <w:lang w:val="en-US"/>
            </w:rPr>
            <w:fldChar w:fldCharType="begin"/>
          </w:r>
          <w:r w:rsidRPr="006C56C7">
            <w:rPr>
              <w:rFonts w:cs="Arial"/>
              <w:sz w:val="18"/>
              <w:szCs w:val="18"/>
            </w:rPr>
            <w:instrText>PAGE</w:instrText>
          </w:r>
          <w:r w:rsidRPr="006C56C7">
            <w:rPr>
              <w:rFonts w:cs="Arial"/>
              <w:sz w:val="18"/>
              <w:szCs w:val="18"/>
            </w:rPr>
            <w:fldChar w:fldCharType="separate"/>
          </w:r>
          <w:r w:rsidR="000B3C85">
            <w:rPr>
              <w:rFonts w:cs="Arial"/>
              <w:noProof/>
              <w:sz w:val="18"/>
              <w:szCs w:val="18"/>
            </w:rPr>
            <w:t>1</w:t>
          </w:r>
          <w:r w:rsidRPr="006C56C7">
            <w:rPr>
              <w:rFonts w:cs="Arial"/>
              <w:sz w:val="18"/>
              <w:szCs w:val="18"/>
            </w:rPr>
            <w:fldChar w:fldCharType="end"/>
          </w:r>
          <w:r w:rsidRPr="006C56C7">
            <w:rPr>
              <w:rFonts w:cs="Arial"/>
              <w:sz w:val="18"/>
              <w:szCs w:val="18"/>
              <w:lang w:val="en-US"/>
            </w:rPr>
            <w:t xml:space="preserve"> de </w:t>
          </w:r>
          <w:r w:rsidRPr="006C56C7">
            <w:rPr>
              <w:rFonts w:cs="Arial"/>
              <w:sz w:val="18"/>
              <w:szCs w:val="18"/>
              <w:lang w:val="en-US"/>
            </w:rPr>
            <w:fldChar w:fldCharType="begin"/>
          </w:r>
          <w:r w:rsidRPr="006C56C7">
            <w:rPr>
              <w:rFonts w:cs="Arial"/>
              <w:sz w:val="18"/>
              <w:szCs w:val="18"/>
            </w:rPr>
            <w:instrText>NUMPAGES</w:instrText>
          </w:r>
          <w:r w:rsidRPr="006C56C7">
            <w:rPr>
              <w:rFonts w:cs="Arial"/>
              <w:sz w:val="18"/>
              <w:szCs w:val="18"/>
            </w:rPr>
            <w:fldChar w:fldCharType="separate"/>
          </w:r>
          <w:r w:rsidR="000B3C85">
            <w:rPr>
              <w:rFonts w:cs="Arial"/>
              <w:noProof/>
              <w:sz w:val="18"/>
              <w:szCs w:val="18"/>
            </w:rPr>
            <w:t>10</w:t>
          </w:r>
          <w:r w:rsidRPr="006C56C7">
            <w:rPr>
              <w:rFonts w:cs="Arial"/>
              <w:sz w:val="18"/>
              <w:szCs w:val="18"/>
            </w:rPr>
            <w:fldChar w:fldCharType="end"/>
          </w:r>
        </w:p>
      </w:tc>
    </w:tr>
    <w:tr w:rsidR="005C216F" w14:paraId="08F8725E" w14:textId="77777777" w:rsidTr="00F1402C">
      <w:trPr>
        <w:trHeight w:val="343"/>
      </w:trPr>
      <w:tc>
        <w:tcPr>
          <w:tcW w:w="800" w:type="pct"/>
          <w:vMerge/>
          <w:vAlign w:val="center"/>
        </w:tcPr>
        <w:p w14:paraId="657EB559" w14:textId="77777777" w:rsidR="005C216F" w:rsidRDefault="005C216F" w:rsidP="00455B38">
          <w:pPr>
            <w:pStyle w:val="Encabezado"/>
            <w:jc w:val="center"/>
          </w:pPr>
        </w:p>
      </w:tc>
      <w:tc>
        <w:tcPr>
          <w:tcW w:w="2489" w:type="pct"/>
          <w:vAlign w:val="center"/>
        </w:tcPr>
        <w:p w14:paraId="48FFF810" w14:textId="1FEBDBD4" w:rsidR="005C216F" w:rsidRPr="002F1F7E" w:rsidRDefault="005C216F" w:rsidP="00455B38">
          <w:pPr>
            <w:pStyle w:val="Encabezado"/>
            <w:jc w:val="center"/>
            <w:rPr>
              <w:b/>
              <w:bCs/>
              <w:sz w:val="18"/>
              <w:szCs w:val="18"/>
            </w:rPr>
          </w:pPr>
          <w:r>
            <w:rPr>
              <w:b/>
              <w:bCs/>
              <w:sz w:val="18"/>
              <w:szCs w:val="18"/>
            </w:rPr>
            <w:t>PROCESO DE SEGUIMIENTO Y EVALUACIÓN</w:t>
          </w:r>
        </w:p>
      </w:tc>
      <w:tc>
        <w:tcPr>
          <w:tcW w:w="1711" w:type="pct"/>
          <w:vMerge/>
          <w:vAlign w:val="center"/>
        </w:tcPr>
        <w:p w14:paraId="1EDC6AC3" w14:textId="77777777" w:rsidR="005C216F" w:rsidRDefault="005C216F" w:rsidP="00455B38">
          <w:pPr>
            <w:pStyle w:val="Encabezado"/>
            <w:jc w:val="center"/>
          </w:pPr>
        </w:p>
      </w:tc>
    </w:tr>
    <w:tr w:rsidR="005C216F" w14:paraId="3DC35361" w14:textId="77777777" w:rsidTr="00F1402C">
      <w:tc>
        <w:tcPr>
          <w:tcW w:w="800" w:type="pct"/>
          <w:vMerge/>
          <w:vAlign w:val="center"/>
        </w:tcPr>
        <w:p w14:paraId="581663E7" w14:textId="77777777" w:rsidR="005C216F" w:rsidRDefault="005C216F" w:rsidP="00455B38">
          <w:pPr>
            <w:pStyle w:val="Encabezado"/>
            <w:jc w:val="center"/>
          </w:pPr>
        </w:p>
      </w:tc>
      <w:tc>
        <w:tcPr>
          <w:tcW w:w="2489" w:type="pct"/>
          <w:vAlign w:val="center"/>
        </w:tcPr>
        <w:p w14:paraId="6E036EAE" w14:textId="216961A6" w:rsidR="005C216F" w:rsidRPr="002F1F7E" w:rsidRDefault="005C216F" w:rsidP="00455B38">
          <w:pPr>
            <w:pStyle w:val="Encabezado"/>
            <w:jc w:val="center"/>
            <w:rPr>
              <w:b/>
              <w:bCs/>
              <w:sz w:val="18"/>
              <w:szCs w:val="18"/>
            </w:rPr>
          </w:pPr>
          <w:r w:rsidRPr="0045782D">
            <w:rPr>
              <w:b/>
              <w:bCs/>
              <w:sz w:val="18"/>
              <w:szCs w:val="18"/>
            </w:rPr>
            <w:t>INFORME DE SEGUIMIENTO Y/O EVALUACIÓN</w:t>
          </w:r>
        </w:p>
      </w:tc>
      <w:tc>
        <w:tcPr>
          <w:tcW w:w="1711" w:type="pct"/>
          <w:vMerge/>
          <w:vAlign w:val="center"/>
        </w:tcPr>
        <w:p w14:paraId="14B9FA48" w14:textId="77777777" w:rsidR="005C216F" w:rsidRDefault="005C216F" w:rsidP="00455B38">
          <w:pPr>
            <w:pStyle w:val="Encabezado"/>
            <w:jc w:val="center"/>
          </w:pPr>
        </w:p>
      </w:tc>
    </w:tr>
  </w:tbl>
  <w:p w14:paraId="1D78BD1D" w14:textId="77777777" w:rsidR="005C216F" w:rsidRDefault="005C21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32EED"/>
    <w:multiLevelType w:val="hybridMultilevel"/>
    <w:tmpl w:val="06880EC8"/>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4120BD"/>
    <w:multiLevelType w:val="hybridMultilevel"/>
    <w:tmpl w:val="6A524BE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95A565D"/>
    <w:multiLevelType w:val="hybridMultilevel"/>
    <w:tmpl w:val="E38866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0493DA0"/>
    <w:multiLevelType w:val="hybridMultilevel"/>
    <w:tmpl w:val="092416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4A45E8A"/>
    <w:multiLevelType w:val="hybridMultilevel"/>
    <w:tmpl w:val="45FC2A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99E5477"/>
    <w:multiLevelType w:val="hybridMultilevel"/>
    <w:tmpl w:val="EAA41738"/>
    <w:lvl w:ilvl="0" w:tplc="8FF8A8F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EB93DEF"/>
    <w:multiLevelType w:val="hybridMultilevel"/>
    <w:tmpl w:val="79AE9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162E47"/>
    <w:multiLevelType w:val="hybridMultilevel"/>
    <w:tmpl w:val="8C8E9312"/>
    <w:lvl w:ilvl="0" w:tplc="AF64FBF2">
      <w:start w:val="2"/>
      <w:numFmt w:val="bullet"/>
      <w:lvlText w:val="-"/>
      <w:lvlJc w:val="left"/>
      <w:pPr>
        <w:ind w:left="720" w:hanging="360"/>
      </w:pPr>
      <w:rPr>
        <w:rFonts w:ascii="Arial" w:eastAsiaTheme="minorHAnsi" w:hAnsi="Arial" w:cs="Arial" w:hint="default"/>
      </w:rPr>
    </w:lvl>
    <w:lvl w:ilvl="1" w:tplc="A3F69982">
      <w:start w:val="1"/>
      <w:numFmt w:val="bullet"/>
      <w:lvlText w:val="•"/>
      <w:lvlJc w:val="left"/>
      <w:pPr>
        <w:ind w:left="1785" w:hanging="705"/>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1EE42D2"/>
    <w:multiLevelType w:val="hybridMultilevel"/>
    <w:tmpl w:val="8B36F9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2E244AD"/>
    <w:multiLevelType w:val="hybridMultilevel"/>
    <w:tmpl w:val="C164A3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8F13E2F"/>
    <w:multiLevelType w:val="hybridMultilevel"/>
    <w:tmpl w:val="8BCE025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9093D4B"/>
    <w:multiLevelType w:val="hybridMultilevel"/>
    <w:tmpl w:val="C81EBA96"/>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BD2192A"/>
    <w:multiLevelType w:val="hybridMultilevel"/>
    <w:tmpl w:val="86D8A85E"/>
    <w:lvl w:ilvl="0" w:tplc="99D06FCC">
      <w:start w:val="1"/>
      <w:numFmt w:val="bullet"/>
      <w:lvlText w:val=""/>
      <w:lvlJc w:val="left"/>
      <w:pPr>
        <w:ind w:left="720" w:hanging="360"/>
      </w:pPr>
      <w:rPr>
        <w:rFonts w:ascii="Wingdings" w:hAnsi="Wingdings"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BF44D42"/>
    <w:multiLevelType w:val="hybridMultilevel"/>
    <w:tmpl w:val="6A246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D966F4F"/>
    <w:multiLevelType w:val="hybridMultilevel"/>
    <w:tmpl w:val="511286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0930A9B"/>
    <w:multiLevelType w:val="hybridMultilevel"/>
    <w:tmpl w:val="FB8CC5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A4B74F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E362FDA"/>
    <w:multiLevelType w:val="hybridMultilevel"/>
    <w:tmpl w:val="0C9E8C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445F8A"/>
    <w:multiLevelType w:val="hybridMultilevel"/>
    <w:tmpl w:val="79AE9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8E34C2"/>
    <w:multiLevelType w:val="multilevel"/>
    <w:tmpl w:val="7E50419A"/>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A605BDB"/>
    <w:multiLevelType w:val="hybridMultilevel"/>
    <w:tmpl w:val="002E26D6"/>
    <w:lvl w:ilvl="0" w:tplc="AF64FBF2">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6192485"/>
    <w:multiLevelType w:val="hybridMultilevel"/>
    <w:tmpl w:val="558429C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F5E312D"/>
    <w:multiLevelType w:val="hybridMultilevel"/>
    <w:tmpl w:val="AF1C6F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1DA78E0"/>
    <w:multiLevelType w:val="hybridMultilevel"/>
    <w:tmpl w:val="77B6F72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3FA09B7"/>
    <w:multiLevelType w:val="hybridMultilevel"/>
    <w:tmpl w:val="FF0C2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8540465"/>
    <w:multiLevelType w:val="hybridMultilevel"/>
    <w:tmpl w:val="8B026A26"/>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F6A68D1"/>
    <w:multiLevelType w:val="hybridMultilevel"/>
    <w:tmpl w:val="D5D6106C"/>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F9E30E2"/>
    <w:multiLevelType w:val="hybridMultilevel"/>
    <w:tmpl w:val="FC5E3FD4"/>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6"/>
  </w:num>
  <w:num w:numId="4">
    <w:abstractNumId w:val="11"/>
  </w:num>
  <w:num w:numId="5">
    <w:abstractNumId w:val="27"/>
  </w:num>
  <w:num w:numId="6">
    <w:abstractNumId w:val="0"/>
  </w:num>
  <w:num w:numId="7">
    <w:abstractNumId w:val="14"/>
  </w:num>
  <w:num w:numId="8">
    <w:abstractNumId w:val="19"/>
  </w:num>
  <w:num w:numId="9">
    <w:abstractNumId w:val="12"/>
  </w:num>
  <w:num w:numId="10">
    <w:abstractNumId w:val="6"/>
  </w:num>
  <w:num w:numId="11">
    <w:abstractNumId w:val="23"/>
  </w:num>
  <w:num w:numId="12">
    <w:abstractNumId w:val="18"/>
  </w:num>
  <w:num w:numId="13">
    <w:abstractNumId w:val="17"/>
  </w:num>
  <w:num w:numId="14">
    <w:abstractNumId w:val="13"/>
  </w:num>
  <w:num w:numId="15">
    <w:abstractNumId w:val="4"/>
  </w:num>
  <w:num w:numId="16">
    <w:abstractNumId w:val="2"/>
  </w:num>
  <w:num w:numId="17">
    <w:abstractNumId w:val="8"/>
  </w:num>
  <w:num w:numId="18">
    <w:abstractNumId w:val="9"/>
  </w:num>
  <w:num w:numId="19">
    <w:abstractNumId w:val="24"/>
  </w:num>
  <w:num w:numId="20">
    <w:abstractNumId w:val="1"/>
  </w:num>
  <w:num w:numId="21">
    <w:abstractNumId w:val="15"/>
  </w:num>
  <w:num w:numId="22">
    <w:abstractNumId w:val="3"/>
  </w:num>
  <w:num w:numId="23">
    <w:abstractNumId w:val="20"/>
  </w:num>
  <w:num w:numId="24">
    <w:abstractNumId w:val="16"/>
  </w:num>
  <w:num w:numId="25">
    <w:abstractNumId w:val="21"/>
  </w:num>
  <w:num w:numId="26">
    <w:abstractNumId w:val="5"/>
  </w:num>
  <w:num w:numId="27">
    <w:abstractNumId w:val="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2C5"/>
    <w:rsid w:val="00001E0A"/>
    <w:rsid w:val="00003B87"/>
    <w:rsid w:val="00006EBC"/>
    <w:rsid w:val="00014E3D"/>
    <w:rsid w:val="00016817"/>
    <w:rsid w:val="00021ACC"/>
    <w:rsid w:val="00027A0D"/>
    <w:rsid w:val="00033035"/>
    <w:rsid w:val="00037FBA"/>
    <w:rsid w:val="0004363A"/>
    <w:rsid w:val="00056C6B"/>
    <w:rsid w:val="00066907"/>
    <w:rsid w:val="00076B5B"/>
    <w:rsid w:val="000804B7"/>
    <w:rsid w:val="000855C4"/>
    <w:rsid w:val="000871CF"/>
    <w:rsid w:val="0009216A"/>
    <w:rsid w:val="00095CBD"/>
    <w:rsid w:val="00097C7B"/>
    <w:rsid w:val="000A2352"/>
    <w:rsid w:val="000A28FA"/>
    <w:rsid w:val="000A4F21"/>
    <w:rsid w:val="000B3C85"/>
    <w:rsid w:val="000B5814"/>
    <w:rsid w:val="000C7028"/>
    <w:rsid w:val="000F118E"/>
    <w:rsid w:val="00104FC3"/>
    <w:rsid w:val="0010634E"/>
    <w:rsid w:val="00106E49"/>
    <w:rsid w:val="0011190D"/>
    <w:rsid w:val="00123C99"/>
    <w:rsid w:val="00125892"/>
    <w:rsid w:val="00127B55"/>
    <w:rsid w:val="00164BB1"/>
    <w:rsid w:val="00172F30"/>
    <w:rsid w:val="00176234"/>
    <w:rsid w:val="001879B9"/>
    <w:rsid w:val="00194CB4"/>
    <w:rsid w:val="001A0DEA"/>
    <w:rsid w:val="001A7DAA"/>
    <w:rsid w:val="001D2412"/>
    <w:rsid w:val="001D2BA7"/>
    <w:rsid w:val="001D7959"/>
    <w:rsid w:val="001E256E"/>
    <w:rsid w:val="001E7B28"/>
    <w:rsid w:val="001F0705"/>
    <w:rsid w:val="001F2718"/>
    <w:rsid w:val="001F30DC"/>
    <w:rsid w:val="001F32F9"/>
    <w:rsid w:val="001F392C"/>
    <w:rsid w:val="001F5B5D"/>
    <w:rsid w:val="001F688D"/>
    <w:rsid w:val="001F7174"/>
    <w:rsid w:val="002006F7"/>
    <w:rsid w:val="00200BF5"/>
    <w:rsid w:val="002048E8"/>
    <w:rsid w:val="002052AE"/>
    <w:rsid w:val="00205492"/>
    <w:rsid w:val="00212F93"/>
    <w:rsid w:val="00241D44"/>
    <w:rsid w:val="00247653"/>
    <w:rsid w:val="0026324B"/>
    <w:rsid w:val="00263B79"/>
    <w:rsid w:val="00267646"/>
    <w:rsid w:val="00270C54"/>
    <w:rsid w:val="00275432"/>
    <w:rsid w:val="00276F4E"/>
    <w:rsid w:val="00287A78"/>
    <w:rsid w:val="002A420A"/>
    <w:rsid w:val="002C5036"/>
    <w:rsid w:val="002C56BA"/>
    <w:rsid w:val="002C5C11"/>
    <w:rsid w:val="002D4DC9"/>
    <w:rsid w:val="002D6052"/>
    <w:rsid w:val="002E0810"/>
    <w:rsid w:val="002E7DA7"/>
    <w:rsid w:val="002F190E"/>
    <w:rsid w:val="002F1F7E"/>
    <w:rsid w:val="002F3C6E"/>
    <w:rsid w:val="002F72BA"/>
    <w:rsid w:val="00303C15"/>
    <w:rsid w:val="00304C65"/>
    <w:rsid w:val="00322D0B"/>
    <w:rsid w:val="003274E6"/>
    <w:rsid w:val="0034657C"/>
    <w:rsid w:val="0035024E"/>
    <w:rsid w:val="003534CD"/>
    <w:rsid w:val="003553A3"/>
    <w:rsid w:val="00355632"/>
    <w:rsid w:val="003614C7"/>
    <w:rsid w:val="0036639D"/>
    <w:rsid w:val="00387EAA"/>
    <w:rsid w:val="003909BB"/>
    <w:rsid w:val="003A04E0"/>
    <w:rsid w:val="003A2F79"/>
    <w:rsid w:val="003A3CC0"/>
    <w:rsid w:val="003A7972"/>
    <w:rsid w:val="003C72F4"/>
    <w:rsid w:val="003F1C05"/>
    <w:rsid w:val="00406C1A"/>
    <w:rsid w:val="00424FAE"/>
    <w:rsid w:val="00427815"/>
    <w:rsid w:val="00436734"/>
    <w:rsid w:val="00437003"/>
    <w:rsid w:val="00437B2C"/>
    <w:rsid w:val="00446703"/>
    <w:rsid w:val="00451C17"/>
    <w:rsid w:val="004543FB"/>
    <w:rsid w:val="00455B38"/>
    <w:rsid w:val="0045782D"/>
    <w:rsid w:val="00460BAA"/>
    <w:rsid w:val="004621C6"/>
    <w:rsid w:val="00467C88"/>
    <w:rsid w:val="004767B8"/>
    <w:rsid w:val="004825B6"/>
    <w:rsid w:val="004B6ECC"/>
    <w:rsid w:val="004B7F4B"/>
    <w:rsid w:val="004D0B16"/>
    <w:rsid w:val="004D2F23"/>
    <w:rsid w:val="004D4B24"/>
    <w:rsid w:val="004D5FCB"/>
    <w:rsid w:val="004D7D08"/>
    <w:rsid w:val="004E0D1F"/>
    <w:rsid w:val="004F204B"/>
    <w:rsid w:val="004F500C"/>
    <w:rsid w:val="00500AFD"/>
    <w:rsid w:val="00501EAF"/>
    <w:rsid w:val="00510C12"/>
    <w:rsid w:val="00511CDF"/>
    <w:rsid w:val="005238BC"/>
    <w:rsid w:val="00524CEF"/>
    <w:rsid w:val="00535C5C"/>
    <w:rsid w:val="0053639C"/>
    <w:rsid w:val="00541CA1"/>
    <w:rsid w:val="00562FC0"/>
    <w:rsid w:val="00577949"/>
    <w:rsid w:val="005860F8"/>
    <w:rsid w:val="00586520"/>
    <w:rsid w:val="005915D0"/>
    <w:rsid w:val="005955C5"/>
    <w:rsid w:val="005A1629"/>
    <w:rsid w:val="005B37B6"/>
    <w:rsid w:val="005C216F"/>
    <w:rsid w:val="005D3EDD"/>
    <w:rsid w:val="005E342B"/>
    <w:rsid w:val="005F1E3F"/>
    <w:rsid w:val="005F2D4F"/>
    <w:rsid w:val="005F31D7"/>
    <w:rsid w:val="005F3CE2"/>
    <w:rsid w:val="0060093E"/>
    <w:rsid w:val="00601EF5"/>
    <w:rsid w:val="00604B1A"/>
    <w:rsid w:val="006068CA"/>
    <w:rsid w:val="00615538"/>
    <w:rsid w:val="006169E8"/>
    <w:rsid w:val="006203C2"/>
    <w:rsid w:val="00621C48"/>
    <w:rsid w:val="00625C13"/>
    <w:rsid w:val="0063139E"/>
    <w:rsid w:val="006363D5"/>
    <w:rsid w:val="00643BBD"/>
    <w:rsid w:val="006535D3"/>
    <w:rsid w:val="006560F7"/>
    <w:rsid w:val="00664CC3"/>
    <w:rsid w:val="00667BDA"/>
    <w:rsid w:val="00673BA4"/>
    <w:rsid w:val="0068102B"/>
    <w:rsid w:val="0068345B"/>
    <w:rsid w:val="006856F9"/>
    <w:rsid w:val="006933D2"/>
    <w:rsid w:val="006A5240"/>
    <w:rsid w:val="006A55CF"/>
    <w:rsid w:val="006B3A8B"/>
    <w:rsid w:val="006B69C2"/>
    <w:rsid w:val="006D49C8"/>
    <w:rsid w:val="006D53BD"/>
    <w:rsid w:val="006E590C"/>
    <w:rsid w:val="006F79F3"/>
    <w:rsid w:val="00703683"/>
    <w:rsid w:val="0070696F"/>
    <w:rsid w:val="00715BA0"/>
    <w:rsid w:val="0072527E"/>
    <w:rsid w:val="0074405F"/>
    <w:rsid w:val="007454F7"/>
    <w:rsid w:val="0075280B"/>
    <w:rsid w:val="00753CE6"/>
    <w:rsid w:val="0076082E"/>
    <w:rsid w:val="0077635A"/>
    <w:rsid w:val="007808CA"/>
    <w:rsid w:val="00782CFB"/>
    <w:rsid w:val="00784CD4"/>
    <w:rsid w:val="0079367D"/>
    <w:rsid w:val="007941BB"/>
    <w:rsid w:val="007A408F"/>
    <w:rsid w:val="007B2F57"/>
    <w:rsid w:val="007B56AF"/>
    <w:rsid w:val="007B5A88"/>
    <w:rsid w:val="007C01F7"/>
    <w:rsid w:val="007C563F"/>
    <w:rsid w:val="007D430F"/>
    <w:rsid w:val="007E168A"/>
    <w:rsid w:val="007E187A"/>
    <w:rsid w:val="007E1BB4"/>
    <w:rsid w:val="007E2315"/>
    <w:rsid w:val="007E2820"/>
    <w:rsid w:val="007F0886"/>
    <w:rsid w:val="007F25B3"/>
    <w:rsid w:val="00807574"/>
    <w:rsid w:val="00812354"/>
    <w:rsid w:val="00822561"/>
    <w:rsid w:val="008233BE"/>
    <w:rsid w:val="00825C2A"/>
    <w:rsid w:val="008265CA"/>
    <w:rsid w:val="00842D44"/>
    <w:rsid w:val="00844A3B"/>
    <w:rsid w:val="00864588"/>
    <w:rsid w:val="00871E5C"/>
    <w:rsid w:val="00874985"/>
    <w:rsid w:val="00882D88"/>
    <w:rsid w:val="008839FA"/>
    <w:rsid w:val="00886188"/>
    <w:rsid w:val="008C2782"/>
    <w:rsid w:val="008C3372"/>
    <w:rsid w:val="008D0B9E"/>
    <w:rsid w:val="008D22B8"/>
    <w:rsid w:val="008E0569"/>
    <w:rsid w:val="008E5688"/>
    <w:rsid w:val="008F1AF7"/>
    <w:rsid w:val="00901100"/>
    <w:rsid w:val="0091046F"/>
    <w:rsid w:val="009114FF"/>
    <w:rsid w:val="009120A7"/>
    <w:rsid w:val="00913A32"/>
    <w:rsid w:val="00915D9A"/>
    <w:rsid w:val="00917E81"/>
    <w:rsid w:val="0092422C"/>
    <w:rsid w:val="00924639"/>
    <w:rsid w:val="0092474A"/>
    <w:rsid w:val="00931EEF"/>
    <w:rsid w:val="00936730"/>
    <w:rsid w:val="00937D34"/>
    <w:rsid w:val="0094174C"/>
    <w:rsid w:val="00955685"/>
    <w:rsid w:val="00960BB1"/>
    <w:rsid w:val="009632CA"/>
    <w:rsid w:val="009758F4"/>
    <w:rsid w:val="009856AF"/>
    <w:rsid w:val="009955E2"/>
    <w:rsid w:val="009A05C8"/>
    <w:rsid w:val="009A152C"/>
    <w:rsid w:val="009A17D1"/>
    <w:rsid w:val="009A3BCF"/>
    <w:rsid w:val="009A3E1D"/>
    <w:rsid w:val="009A72EE"/>
    <w:rsid w:val="009A7E9A"/>
    <w:rsid w:val="009B1141"/>
    <w:rsid w:val="009C5226"/>
    <w:rsid w:val="009D5637"/>
    <w:rsid w:val="009D5AB1"/>
    <w:rsid w:val="009D62EB"/>
    <w:rsid w:val="00A07153"/>
    <w:rsid w:val="00A11868"/>
    <w:rsid w:val="00A17971"/>
    <w:rsid w:val="00A17F7E"/>
    <w:rsid w:val="00A241BF"/>
    <w:rsid w:val="00A27CB5"/>
    <w:rsid w:val="00A351AC"/>
    <w:rsid w:val="00A47C91"/>
    <w:rsid w:val="00A549AF"/>
    <w:rsid w:val="00A575EA"/>
    <w:rsid w:val="00A66A1E"/>
    <w:rsid w:val="00A71985"/>
    <w:rsid w:val="00A73796"/>
    <w:rsid w:val="00A74645"/>
    <w:rsid w:val="00A74EEE"/>
    <w:rsid w:val="00A75259"/>
    <w:rsid w:val="00A76806"/>
    <w:rsid w:val="00AB4162"/>
    <w:rsid w:val="00AC29FE"/>
    <w:rsid w:val="00AD28D5"/>
    <w:rsid w:val="00AD5550"/>
    <w:rsid w:val="00AD5687"/>
    <w:rsid w:val="00AE4C67"/>
    <w:rsid w:val="00AF76AB"/>
    <w:rsid w:val="00B011B5"/>
    <w:rsid w:val="00B036B5"/>
    <w:rsid w:val="00B04A0B"/>
    <w:rsid w:val="00B31949"/>
    <w:rsid w:val="00B31F3E"/>
    <w:rsid w:val="00B53907"/>
    <w:rsid w:val="00B56226"/>
    <w:rsid w:val="00B871F1"/>
    <w:rsid w:val="00B945A0"/>
    <w:rsid w:val="00BA5252"/>
    <w:rsid w:val="00BA7D39"/>
    <w:rsid w:val="00BB2E3E"/>
    <w:rsid w:val="00BD564F"/>
    <w:rsid w:val="00BD56E1"/>
    <w:rsid w:val="00BE1826"/>
    <w:rsid w:val="00BE4ACA"/>
    <w:rsid w:val="00BE60CE"/>
    <w:rsid w:val="00BF5337"/>
    <w:rsid w:val="00C214A1"/>
    <w:rsid w:val="00C23380"/>
    <w:rsid w:val="00C2690A"/>
    <w:rsid w:val="00C32E98"/>
    <w:rsid w:val="00C417BD"/>
    <w:rsid w:val="00C51111"/>
    <w:rsid w:val="00C516A1"/>
    <w:rsid w:val="00C52127"/>
    <w:rsid w:val="00C54279"/>
    <w:rsid w:val="00C57A46"/>
    <w:rsid w:val="00C67235"/>
    <w:rsid w:val="00C71265"/>
    <w:rsid w:val="00C82EA5"/>
    <w:rsid w:val="00C87ABC"/>
    <w:rsid w:val="00C930ED"/>
    <w:rsid w:val="00C96E58"/>
    <w:rsid w:val="00CA08B5"/>
    <w:rsid w:val="00CC05C8"/>
    <w:rsid w:val="00CC6840"/>
    <w:rsid w:val="00CD4722"/>
    <w:rsid w:val="00CE0D24"/>
    <w:rsid w:val="00CE4BD0"/>
    <w:rsid w:val="00CF345C"/>
    <w:rsid w:val="00D109D9"/>
    <w:rsid w:val="00D5126C"/>
    <w:rsid w:val="00D533C9"/>
    <w:rsid w:val="00D54AD6"/>
    <w:rsid w:val="00D55D87"/>
    <w:rsid w:val="00D74B1D"/>
    <w:rsid w:val="00D76687"/>
    <w:rsid w:val="00D77F4B"/>
    <w:rsid w:val="00D8314A"/>
    <w:rsid w:val="00D85B8B"/>
    <w:rsid w:val="00D90DD6"/>
    <w:rsid w:val="00D932C5"/>
    <w:rsid w:val="00D9419E"/>
    <w:rsid w:val="00DA1A3A"/>
    <w:rsid w:val="00DA2E55"/>
    <w:rsid w:val="00DA2EF6"/>
    <w:rsid w:val="00DB3374"/>
    <w:rsid w:val="00DC5796"/>
    <w:rsid w:val="00DE0492"/>
    <w:rsid w:val="00DE328D"/>
    <w:rsid w:val="00DF658B"/>
    <w:rsid w:val="00E13310"/>
    <w:rsid w:val="00E27B26"/>
    <w:rsid w:val="00E30F6B"/>
    <w:rsid w:val="00E33A66"/>
    <w:rsid w:val="00E53124"/>
    <w:rsid w:val="00E60E2A"/>
    <w:rsid w:val="00E86A2F"/>
    <w:rsid w:val="00E93025"/>
    <w:rsid w:val="00EB78F7"/>
    <w:rsid w:val="00ED35DA"/>
    <w:rsid w:val="00ED4039"/>
    <w:rsid w:val="00EE040B"/>
    <w:rsid w:val="00EE0BE0"/>
    <w:rsid w:val="00EE1D31"/>
    <w:rsid w:val="00EE4FB9"/>
    <w:rsid w:val="00F029A8"/>
    <w:rsid w:val="00F02E7E"/>
    <w:rsid w:val="00F05D90"/>
    <w:rsid w:val="00F05F58"/>
    <w:rsid w:val="00F07E49"/>
    <w:rsid w:val="00F1402C"/>
    <w:rsid w:val="00F43E44"/>
    <w:rsid w:val="00F44367"/>
    <w:rsid w:val="00F4632F"/>
    <w:rsid w:val="00F528FB"/>
    <w:rsid w:val="00F5759E"/>
    <w:rsid w:val="00F60EFF"/>
    <w:rsid w:val="00F66871"/>
    <w:rsid w:val="00F66C98"/>
    <w:rsid w:val="00F71CD8"/>
    <w:rsid w:val="00F739AD"/>
    <w:rsid w:val="00F73BAE"/>
    <w:rsid w:val="00F73FDB"/>
    <w:rsid w:val="00F84B55"/>
    <w:rsid w:val="00F979F3"/>
    <w:rsid w:val="00FB5767"/>
    <w:rsid w:val="00FB61E7"/>
    <w:rsid w:val="00FC4DFB"/>
    <w:rsid w:val="00FC780E"/>
    <w:rsid w:val="00FD2DF8"/>
    <w:rsid w:val="00FD4C09"/>
    <w:rsid w:val="00FD52AD"/>
    <w:rsid w:val="00FE2733"/>
    <w:rsid w:val="00FE2C2A"/>
    <w:rsid w:val="00FF1516"/>
    <w:rsid w:val="00FF53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0631E"/>
  <w15:chartTrackingRefBased/>
  <w15:docId w15:val="{89E199FD-06CC-D245-8FF6-92C4FF14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Cuerpo en alfa"/>
        <w:sz w:val="22"/>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B036B5"/>
    <w:pPr>
      <w:widowControl w:val="0"/>
      <w:autoSpaceDE w:val="0"/>
      <w:autoSpaceDN w:val="0"/>
      <w:ind w:left="837" w:hanging="360"/>
      <w:outlineLvl w:val="0"/>
    </w:pPr>
    <w:rPr>
      <w:rFonts w:eastAsia="Arial" w:cs="Arial"/>
      <w:b/>
      <w:bCs/>
      <w:sz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E49"/>
    <w:pPr>
      <w:tabs>
        <w:tab w:val="center" w:pos="4419"/>
        <w:tab w:val="right" w:pos="8838"/>
      </w:tabs>
    </w:pPr>
  </w:style>
  <w:style w:type="character" w:customStyle="1" w:styleId="EncabezadoCar">
    <w:name w:val="Encabezado Car"/>
    <w:basedOn w:val="Fuentedeprrafopredeter"/>
    <w:link w:val="Encabezado"/>
    <w:qFormat/>
    <w:rsid w:val="00106E49"/>
  </w:style>
  <w:style w:type="paragraph" w:styleId="Piedepgina">
    <w:name w:val="footer"/>
    <w:basedOn w:val="Normal"/>
    <w:link w:val="PiedepginaCar"/>
    <w:uiPriority w:val="99"/>
    <w:unhideWhenUsed/>
    <w:rsid w:val="00106E49"/>
    <w:pPr>
      <w:tabs>
        <w:tab w:val="center" w:pos="4419"/>
        <w:tab w:val="right" w:pos="8838"/>
      </w:tabs>
    </w:pPr>
  </w:style>
  <w:style w:type="character" w:customStyle="1" w:styleId="PiedepginaCar">
    <w:name w:val="Pie de página Car"/>
    <w:basedOn w:val="Fuentedeprrafopredeter"/>
    <w:link w:val="Piedepgina"/>
    <w:uiPriority w:val="99"/>
    <w:rsid w:val="00106E49"/>
  </w:style>
  <w:style w:type="table" w:styleId="Tablaconcuadrcula">
    <w:name w:val="Table Grid"/>
    <w:basedOn w:val="Tablanormal"/>
    <w:uiPriority w:val="39"/>
    <w:rsid w:val="00106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abezamiento">
    <w:name w:val="Encabezamiento"/>
    <w:basedOn w:val="Normal"/>
    <w:qFormat/>
    <w:rsid w:val="002F1F7E"/>
    <w:pPr>
      <w:widowControl w:val="0"/>
      <w:tabs>
        <w:tab w:val="center" w:pos="4252"/>
        <w:tab w:val="right" w:pos="8504"/>
      </w:tabs>
      <w:suppressAutoHyphens/>
      <w:spacing w:line="100" w:lineRule="atLeast"/>
    </w:pPr>
    <w:rPr>
      <w:rFonts w:ascii="Times New Roman" w:eastAsia="Arial Unicode MS" w:hAnsi="Times New Roman" w:cs="Tahoma"/>
      <w:color w:val="00000A"/>
      <w:sz w:val="24"/>
      <w:lang w:val="es-ES" w:eastAsia="es-CO"/>
    </w:rPr>
  </w:style>
  <w:style w:type="paragraph" w:styleId="Sinespaciado">
    <w:name w:val="No Spacing"/>
    <w:qFormat/>
    <w:rsid w:val="002F1F7E"/>
    <w:pPr>
      <w:suppressAutoHyphens/>
      <w:spacing w:line="100" w:lineRule="atLeast"/>
    </w:pPr>
    <w:rPr>
      <w:rFonts w:ascii="Calibri" w:eastAsia="Arial Unicode MS" w:hAnsi="Calibri" w:cs="Mangal"/>
      <w:color w:val="00000A"/>
      <w:szCs w:val="22"/>
      <w:lang w:eastAsia="es-CO"/>
    </w:rPr>
  </w:style>
  <w:style w:type="character" w:customStyle="1" w:styleId="Ttulo1Car">
    <w:name w:val="Título 1 Car"/>
    <w:basedOn w:val="Fuentedeprrafopredeter"/>
    <w:link w:val="Ttulo1"/>
    <w:uiPriority w:val="1"/>
    <w:rsid w:val="00B036B5"/>
    <w:rPr>
      <w:rFonts w:eastAsia="Arial" w:cs="Arial"/>
      <w:b/>
      <w:bCs/>
      <w:sz w:val="24"/>
      <w:lang w:val="es-ES" w:eastAsia="es-ES" w:bidi="es-ES"/>
    </w:rPr>
  </w:style>
  <w:style w:type="paragraph" w:styleId="Prrafodelista">
    <w:name w:val="List Paragraph"/>
    <w:basedOn w:val="Normal"/>
    <w:uiPriority w:val="34"/>
    <w:qFormat/>
    <w:rsid w:val="00B036B5"/>
    <w:pPr>
      <w:ind w:left="720"/>
      <w:contextualSpacing/>
    </w:pPr>
  </w:style>
  <w:style w:type="table" w:styleId="Tabladecuadrcula4-nfasis6">
    <w:name w:val="Grid Table 4 Accent 6"/>
    <w:basedOn w:val="Tablanormal"/>
    <w:uiPriority w:val="49"/>
    <w:rsid w:val="00B036B5"/>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vnculo">
    <w:name w:val="Hyperlink"/>
    <w:uiPriority w:val="99"/>
    <w:rsid w:val="007C563F"/>
    <w:rPr>
      <w:color w:val="000080"/>
      <w:u w:val="single"/>
    </w:rPr>
  </w:style>
  <w:style w:type="character" w:styleId="Refdecomentario">
    <w:name w:val="annotation reference"/>
    <w:basedOn w:val="Fuentedeprrafopredeter"/>
    <w:uiPriority w:val="99"/>
    <w:semiHidden/>
    <w:unhideWhenUsed/>
    <w:rsid w:val="00016817"/>
    <w:rPr>
      <w:sz w:val="16"/>
      <w:szCs w:val="16"/>
    </w:rPr>
  </w:style>
  <w:style w:type="paragraph" w:styleId="Textocomentario">
    <w:name w:val="annotation text"/>
    <w:basedOn w:val="Normal"/>
    <w:link w:val="TextocomentarioCar"/>
    <w:uiPriority w:val="99"/>
    <w:unhideWhenUsed/>
    <w:rsid w:val="00016817"/>
    <w:rPr>
      <w:sz w:val="20"/>
      <w:szCs w:val="20"/>
    </w:rPr>
  </w:style>
  <w:style w:type="character" w:customStyle="1" w:styleId="TextocomentarioCar">
    <w:name w:val="Texto comentario Car"/>
    <w:basedOn w:val="Fuentedeprrafopredeter"/>
    <w:link w:val="Textocomentario"/>
    <w:uiPriority w:val="99"/>
    <w:rsid w:val="00016817"/>
    <w:rPr>
      <w:sz w:val="20"/>
      <w:szCs w:val="20"/>
    </w:rPr>
  </w:style>
  <w:style w:type="paragraph" w:styleId="Asuntodelcomentario">
    <w:name w:val="annotation subject"/>
    <w:basedOn w:val="Textocomentario"/>
    <w:next w:val="Textocomentario"/>
    <w:link w:val="AsuntodelcomentarioCar"/>
    <w:uiPriority w:val="99"/>
    <w:semiHidden/>
    <w:unhideWhenUsed/>
    <w:rsid w:val="00016817"/>
    <w:rPr>
      <w:b/>
      <w:bCs/>
    </w:rPr>
  </w:style>
  <w:style w:type="character" w:customStyle="1" w:styleId="AsuntodelcomentarioCar">
    <w:name w:val="Asunto del comentario Car"/>
    <w:basedOn w:val="TextocomentarioCar"/>
    <w:link w:val="Asuntodelcomentario"/>
    <w:uiPriority w:val="99"/>
    <w:semiHidden/>
    <w:rsid w:val="00016817"/>
    <w:rPr>
      <w:b/>
      <w:bCs/>
      <w:sz w:val="20"/>
      <w:szCs w:val="20"/>
    </w:rPr>
  </w:style>
  <w:style w:type="paragraph" w:styleId="Textodeglobo">
    <w:name w:val="Balloon Text"/>
    <w:basedOn w:val="Normal"/>
    <w:link w:val="TextodegloboCar"/>
    <w:uiPriority w:val="99"/>
    <w:semiHidden/>
    <w:unhideWhenUsed/>
    <w:rsid w:val="000168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6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0549">
      <w:bodyDiv w:val="1"/>
      <w:marLeft w:val="0"/>
      <w:marRight w:val="0"/>
      <w:marTop w:val="0"/>
      <w:marBottom w:val="0"/>
      <w:divBdr>
        <w:top w:val="none" w:sz="0" w:space="0" w:color="auto"/>
        <w:left w:val="none" w:sz="0" w:space="0" w:color="auto"/>
        <w:bottom w:val="none" w:sz="0" w:space="0" w:color="auto"/>
        <w:right w:val="none" w:sz="0" w:space="0" w:color="auto"/>
      </w:divBdr>
      <w:divsChild>
        <w:div w:id="2128232869">
          <w:marLeft w:val="0"/>
          <w:marRight w:val="0"/>
          <w:marTop w:val="0"/>
          <w:marBottom w:val="0"/>
          <w:divBdr>
            <w:top w:val="none" w:sz="0" w:space="0" w:color="auto"/>
            <w:left w:val="none" w:sz="0" w:space="0" w:color="auto"/>
            <w:bottom w:val="none" w:sz="0" w:space="0" w:color="auto"/>
            <w:right w:val="none" w:sz="0" w:space="0" w:color="auto"/>
          </w:divBdr>
          <w:divsChild>
            <w:div w:id="162260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co" TargetMode="External"/><Relationship Id="rId13" Type="http://schemas.openxmlformats.org/officeDocument/2006/relationships/hyperlink" Target="https://www.gov.co" TargetMode="External"/><Relationship Id="rId3" Type="http://schemas.openxmlformats.org/officeDocument/2006/relationships/settings" Target="settings.xml"/><Relationship Id="rId7" Type="http://schemas.openxmlformats.org/officeDocument/2006/relationships/hyperlink" Target="https://idpc.gov.co/transparencia-y-acceso-a-la-informacion-publica-ley-1712-del-6-de-marzo-de-2014" TargetMode="External"/><Relationship Id="rId12" Type="http://schemas.openxmlformats.org/officeDocument/2006/relationships/hyperlink" Target="https://www.gov.c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co"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3728</Words>
  <Characters>20510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Informe de seguimiento o evaluación</vt:lpstr>
    </vt:vector>
  </TitlesOfParts>
  <Manager>SGDEA</Manager>
  <Company>Instituto Distrital de Patrimonio Cultural</Company>
  <LinksUpToDate>false</LinksUpToDate>
  <CharactersWithSpaces>24190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seguimiento o evaluación</dc:title>
  <dc:subject>Informe de seguimiento o evaluación</dc:subject>
  <dc:creator>Seguimiento y evaluación</dc:creator>
  <cp:keywords/>
  <dc:description/>
  <cp:lastModifiedBy>INES</cp:lastModifiedBy>
  <cp:revision>2</cp:revision>
  <cp:lastPrinted>2021-05-12T23:39:00Z</cp:lastPrinted>
  <dcterms:created xsi:type="dcterms:W3CDTF">2021-05-14T17:49:00Z</dcterms:created>
  <dcterms:modified xsi:type="dcterms:W3CDTF">2021-05-14T17:49:00Z</dcterms:modified>
  <cp:category/>
  <cp:version>4</cp:version>
</cp:coreProperties>
</file>