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25"/>
        <w:gridCol w:w="834"/>
        <w:gridCol w:w="833"/>
        <w:gridCol w:w="833"/>
        <w:gridCol w:w="833"/>
        <w:gridCol w:w="833"/>
        <w:gridCol w:w="837"/>
      </w:tblGrid>
      <w:tr w:rsidR="00D15FF7" w:rsidRPr="00D15FF7" w14:paraId="0A3D8AC3" w14:textId="77777777" w:rsidTr="007E187A"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12923681" w14:textId="558DB7A2" w:rsidR="0045782D" w:rsidRPr="00D15FF7" w:rsidRDefault="0045782D" w:rsidP="0045782D">
            <w:pPr>
              <w:jc w:val="both"/>
              <w:rPr>
                <w:b/>
                <w:sz w:val="20"/>
                <w:szCs w:val="22"/>
              </w:rPr>
            </w:pPr>
            <w:bookmarkStart w:id="0" w:name="_GoBack"/>
            <w:bookmarkEnd w:id="0"/>
            <w:r w:rsidRPr="00D15FF7">
              <w:rPr>
                <w:rFonts w:cs="Arial"/>
                <w:b/>
                <w:sz w:val="20"/>
                <w:szCs w:val="22"/>
              </w:rPr>
              <w:t>FECHA DE EMISIÓN DEL INFORME</w:t>
            </w:r>
          </w:p>
        </w:tc>
        <w:tc>
          <w:tcPr>
            <w:tcW w:w="472" w:type="pct"/>
            <w:shd w:val="clear" w:color="auto" w:fill="F2F2F2" w:themeFill="background1" w:themeFillShade="F2"/>
            <w:vAlign w:val="center"/>
          </w:tcPr>
          <w:p w14:paraId="14398F64" w14:textId="707D4FA8" w:rsidR="0045782D" w:rsidRPr="00D15FF7" w:rsidRDefault="0045782D" w:rsidP="00B036B5">
            <w:pPr>
              <w:jc w:val="center"/>
              <w:rPr>
                <w:b/>
              </w:rPr>
            </w:pPr>
            <w:r w:rsidRPr="00D15FF7">
              <w:rPr>
                <w:b/>
              </w:rPr>
              <w:t>DÍA</w:t>
            </w:r>
          </w:p>
        </w:tc>
        <w:tc>
          <w:tcPr>
            <w:tcW w:w="472" w:type="pct"/>
            <w:vAlign w:val="center"/>
          </w:tcPr>
          <w:p w14:paraId="7F3EAFB0" w14:textId="00243B66" w:rsidR="0045782D" w:rsidRPr="00D15FF7" w:rsidRDefault="00EE7CFB" w:rsidP="00B036B5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72" w:type="pct"/>
            <w:shd w:val="clear" w:color="auto" w:fill="F2F2F2" w:themeFill="background1" w:themeFillShade="F2"/>
            <w:vAlign w:val="center"/>
          </w:tcPr>
          <w:p w14:paraId="22E6F444" w14:textId="06ABE94D" w:rsidR="0045782D" w:rsidRPr="00D15FF7" w:rsidRDefault="0045782D" w:rsidP="00B036B5">
            <w:pPr>
              <w:jc w:val="center"/>
              <w:rPr>
                <w:b/>
              </w:rPr>
            </w:pPr>
            <w:r w:rsidRPr="00D15FF7">
              <w:rPr>
                <w:b/>
              </w:rPr>
              <w:t>MES</w:t>
            </w:r>
          </w:p>
        </w:tc>
        <w:tc>
          <w:tcPr>
            <w:tcW w:w="472" w:type="pct"/>
            <w:vAlign w:val="center"/>
          </w:tcPr>
          <w:p w14:paraId="11359BF7" w14:textId="3A6283A8" w:rsidR="0045782D" w:rsidRPr="00D15FF7" w:rsidRDefault="00D15FF7" w:rsidP="00B036B5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472" w:type="pct"/>
            <w:shd w:val="clear" w:color="auto" w:fill="F2F2F2" w:themeFill="background1" w:themeFillShade="F2"/>
            <w:vAlign w:val="center"/>
          </w:tcPr>
          <w:p w14:paraId="50ACFC3D" w14:textId="553771D2" w:rsidR="0045782D" w:rsidRPr="00D15FF7" w:rsidRDefault="0045782D" w:rsidP="00B036B5">
            <w:pPr>
              <w:jc w:val="center"/>
              <w:rPr>
                <w:b/>
              </w:rPr>
            </w:pPr>
            <w:r w:rsidRPr="00D15FF7">
              <w:rPr>
                <w:b/>
              </w:rPr>
              <w:t>AÑO</w:t>
            </w:r>
          </w:p>
        </w:tc>
        <w:tc>
          <w:tcPr>
            <w:tcW w:w="474" w:type="pct"/>
            <w:vAlign w:val="center"/>
          </w:tcPr>
          <w:p w14:paraId="0E41B807" w14:textId="6B514CEC" w:rsidR="0045782D" w:rsidRPr="00D15FF7" w:rsidRDefault="00D15FF7" w:rsidP="00B036B5">
            <w:pPr>
              <w:jc w:val="center"/>
            </w:pPr>
            <w:r>
              <w:t>2021</w:t>
            </w:r>
          </w:p>
        </w:tc>
      </w:tr>
      <w:tr w:rsidR="0045782D" w14:paraId="149B1566" w14:textId="77777777" w:rsidTr="00D15FF7">
        <w:trPr>
          <w:trHeight w:val="1134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2AB28578" w14:textId="53990E23" w:rsidR="0045782D" w:rsidRPr="00AD5687" w:rsidRDefault="0045782D" w:rsidP="0045782D">
            <w:pPr>
              <w:jc w:val="both"/>
              <w:rPr>
                <w:b/>
                <w:sz w:val="20"/>
                <w:szCs w:val="22"/>
              </w:rPr>
            </w:pPr>
            <w:r w:rsidRPr="00AD5687">
              <w:rPr>
                <w:rFonts w:cs="Arial"/>
                <w:b/>
                <w:sz w:val="20"/>
                <w:szCs w:val="22"/>
                <w:lang w:val="es-MX"/>
              </w:rPr>
              <w:t>PROCESO, PROCEDIMIENTO O ACTIVIDAD EVALUADA</w:t>
            </w:r>
          </w:p>
        </w:tc>
        <w:tc>
          <w:tcPr>
            <w:tcW w:w="2834" w:type="pct"/>
            <w:gridSpan w:val="6"/>
            <w:vAlign w:val="center"/>
          </w:tcPr>
          <w:p w14:paraId="1DB71B32" w14:textId="111AF691" w:rsidR="0045782D" w:rsidRDefault="00D15FF7" w:rsidP="00D15FF7">
            <w:pPr>
              <w:pStyle w:val="Prrafodelista"/>
              <w:ind w:left="0"/>
              <w:jc w:val="both"/>
            </w:pPr>
            <w:r w:rsidRPr="001D1CA2">
              <w:rPr>
                <w:rFonts w:cs="Arial"/>
              </w:rPr>
              <w:t>Informe Seguimiento Matriz Cumplimiento y Sostenibilidad de la Ley 1712 de 2014- Transparencia y Derecho de Acceso a la Información Pública Nacional–</w:t>
            </w:r>
          </w:p>
        </w:tc>
      </w:tr>
      <w:tr w:rsidR="0045782D" w14:paraId="1E7326F9" w14:textId="77777777" w:rsidTr="00D15FF7">
        <w:trPr>
          <w:trHeight w:val="929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1C90A16E" w14:textId="33653F2A" w:rsidR="0045782D" w:rsidRPr="00AD5687" w:rsidRDefault="0045782D" w:rsidP="0045782D">
            <w:pPr>
              <w:jc w:val="both"/>
              <w:rPr>
                <w:b/>
                <w:sz w:val="20"/>
                <w:szCs w:val="22"/>
              </w:rPr>
            </w:pPr>
            <w:r w:rsidRPr="00AD5687">
              <w:rPr>
                <w:rFonts w:cs="Arial"/>
                <w:b/>
                <w:sz w:val="20"/>
                <w:szCs w:val="22"/>
                <w:lang w:val="es-MX"/>
              </w:rPr>
              <w:t>RESPONSABLE DEL PROCESO, PROCEDIMIENTO O ACTIVIDAD EVALUADA</w:t>
            </w:r>
          </w:p>
        </w:tc>
        <w:tc>
          <w:tcPr>
            <w:tcW w:w="2834" w:type="pct"/>
            <w:gridSpan w:val="6"/>
            <w:vAlign w:val="center"/>
          </w:tcPr>
          <w:p w14:paraId="738DB55A" w14:textId="3CA01CAB" w:rsidR="0045782D" w:rsidRDefault="00D15FF7" w:rsidP="00D15FF7">
            <w:pPr>
              <w:pStyle w:val="Prrafodelista"/>
              <w:ind w:left="0"/>
              <w:jc w:val="both"/>
            </w:pPr>
            <w:r w:rsidRPr="001D1CA2">
              <w:rPr>
                <w:rFonts w:cs="Arial"/>
                <w:szCs w:val="22"/>
              </w:rPr>
              <w:t>Dependencias del IDPC</w:t>
            </w:r>
          </w:p>
        </w:tc>
      </w:tr>
      <w:tr w:rsidR="0045782D" w14:paraId="4069ACF0" w14:textId="77777777" w:rsidTr="00D15FF7">
        <w:trPr>
          <w:trHeight w:val="1073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42AAD9E0" w14:textId="64AC8B6E" w:rsidR="0045782D" w:rsidRPr="00AD5687" w:rsidRDefault="0045782D" w:rsidP="0045782D">
            <w:pPr>
              <w:jc w:val="both"/>
              <w:rPr>
                <w:b/>
                <w:sz w:val="20"/>
                <w:szCs w:val="22"/>
              </w:rPr>
            </w:pPr>
            <w:r w:rsidRPr="00AD5687">
              <w:rPr>
                <w:rFonts w:cs="Arial"/>
                <w:b/>
                <w:sz w:val="20"/>
                <w:szCs w:val="22"/>
                <w:lang w:val="es-MX"/>
              </w:rPr>
              <w:t>OBJETIVO GENERAL</w:t>
            </w:r>
          </w:p>
        </w:tc>
        <w:tc>
          <w:tcPr>
            <w:tcW w:w="2834" w:type="pct"/>
            <w:gridSpan w:val="6"/>
            <w:vAlign w:val="center"/>
          </w:tcPr>
          <w:p w14:paraId="2F7541CA" w14:textId="521FBED6" w:rsidR="0045782D" w:rsidRDefault="00D15FF7" w:rsidP="00D15FF7">
            <w:pPr>
              <w:pStyle w:val="Prrafodelista"/>
              <w:ind w:left="0"/>
              <w:jc w:val="both"/>
            </w:pPr>
            <w:r w:rsidRPr="001D1CA2">
              <w:rPr>
                <w:rFonts w:cs="Arial"/>
                <w:szCs w:val="22"/>
              </w:rPr>
              <w:t>Verificar el</w:t>
            </w:r>
            <w:r w:rsidRPr="001D1CA2">
              <w:rPr>
                <w:rFonts w:cs="Arial"/>
              </w:rPr>
              <w:t xml:space="preserve"> cumplimiento de la publicación de la información pública</w:t>
            </w:r>
            <w:r>
              <w:rPr>
                <w:rFonts w:cs="Arial"/>
              </w:rPr>
              <w:t>, así como garantizar</w:t>
            </w:r>
            <w:r w:rsidRPr="001D1CA2">
              <w:rPr>
                <w:rFonts w:cs="Arial"/>
              </w:rPr>
              <w:t xml:space="preserve"> que la misma se encuentre actualizada.</w:t>
            </w:r>
          </w:p>
        </w:tc>
      </w:tr>
      <w:tr w:rsidR="0045782D" w14:paraId="61758759" w14:textId="77777777" w:rsidTr="00D15FF7">
        <w:trPr>
          <w:trHeight w:val="777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311C42C3" w14:textId="77D930F8" w:rsidR="0045782D" w:rsidRPr="00AD5687" w:rsidRDefault="0045782D" w:rsidP="0045782D">
            <w:pPr>
              <w:jc w:val="both"/>
              <w:rPr>
                <w:b/>
                <w:sz w:val="20"/>
                <w:szCs w:val="22"/>
              </w:rPr>
            </w:pPr>
            <w:r w:rsidRPr="00AD5687">
              <w:rPr>
                <w:rFonts w:cs="Arial"/>
                <w:b/>
                <w:sz w:val="20"/>
                <w:szCs w:val="22"/>
              </w:rPr>
              <w:t>ALCANCE</w:t>
            </w:r>
          </w:p>
        </w:tc>
        <w:tc>
          <w:tcPr>
            <w:tcW w:w="2834" w:type="pct"/>
            <w:gridSpan w:val="6"/>
            <w:vAlign w:val="center"/>
          </w:tcPr>
          <w:p w14:paraId="243A08EF" w14:textId="531F7BE0" w:rsidR="0045782D" w:rsidRDefault="00D15FF7" w:rsidP="00D15FF7">
            <w:pPr>
              <w:pStyle w:val="Prrafodelista"/>
              <w:ind w:left="0"/>
              <w:jc w:val="both"/>
            </w:pPr>
            <w:r w:rsidRPr="001D1CA2">
              <w:rPr>
                <w:rFonts w:cs="Arial"/>
                <w:szCs w:val="22"/>
              </w:rPr>
              <w:t xml:space="preserve">Comprende el cuatrimestre de </w:t>
            </w:r>
            <w:r>
              <w:rPr>
                <w:rFonts w:cs="Arial"/>
                <w:szCs w:val="22"/>
              </w:rPr>
              <w:t>septiembre  a diciembre de 2020</w:t>
            </w:r>
          </w:p>
        </w:tc>
      </w:tr>
      <w:tr w:rsidR="0045782D" w14:paraId="00289A75" w14:textId="77777777" w:rsidTr="00D15FF7">
        <w:trPr>
          <w:trHeight w:val="4087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74D648F4" w14:textId="3189BBAA" w:rsidR="0045782D" w:rsidRPr="00AD5687" w:rsidRDefault="0045782D" w:rsidP="0045782D">
            <w:pPr>
              <w:jc w:val="both"/>
              <w:rPr>
                <w:b/>
                <w:sz w:val="20"/>
                <w:szCs w:val="22"/>
              </w:rPr>
            </w:pPr>
            <w:r w:rsidRPr="00AD5687">
              <w:rPr>
                <w:rFonts w:cs="Arial"/>
                <w:b/>
                <w:sz w:val="20"/>
                <w:szCs w:val="22"/>
                <w:lang w:val="es-MX"/>
              </w:rPr>
              <w:t>CRITERIOS</w:t>
            </w:r>
          </w:p>
        </w:tc>
        <w:tc>
          <w:tcPr>
            <w:tcW w:w="2834" w:type="pct"/>
            <w:gridSpan w:val="6"/>
            <w:vAlign w:val="center"/>
          </w:tcPr>
          <w:p w14:paraId="1ACE946E" w14:textId="77777777" w:rsidR="00D15FF7" w:rsidRPr="001D1CA2" w:rsidRDefault="00D15FF7" w:rsidP="00D15FF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361"/>
              <w:jc w:val="both"/>
              <w:textAlignment w:val="baseline"/>
              <w:rPr>
                <w:rFonts w:cs="Arial"/>
                <w:szCs w:val="22"/>
              </w:rPr>
            </w:pPr>
            <w:r w:rsidRPr="001D1CA2">
              <w:rPr>
                <w:rFonts w:cs="Arial"/>
                <w:szCs w:val="22"/>
              </w:rPr>
              <w:t>Matriz de Cumplimiento y Sostenibilidad de la Ley 1712 de 2014</w:t>
            </w:r>
            <w:r>
              <w:rPr>
                <w:rFonts w:cs="Arial"/>
                <w:szCs w:val="22"/>
              </w:rPr>
              <w:t xml:space="preserve"> </w:t>
            </w:r>
            <w:r w:rsidRPr="00742B70">
              <w:rPr>
                <w:rFonts w:cs="Arial"/>
                <w:i/>
                <w:szCs w:val="22"/>
              </w:rPr>
              <w:t>“</w:t>
            </w:r>
            <w:r w:rsidRPr="00742B70">
              <w:rPr>
                <w:rFonts w:cs="Arial"/>
                <w:i/>
                <w:color w:val="4B4949"/>
                <w:sz w:val="18"/>
                <w:szCs w:val="18"/>
              </w:rPr>
              <w:t>Por medio de la cual se crea la Ley de Transparencia y del Derecho de Acceso a la Información Pública Nacional y se dictan otras disposiciones.”</w:t>
            </w:r>
          </w:p>
          <w:p w14:paraId="02210413" w14:textId="77777777" w:rsidR="00D15FF7" w:rsidRPr="00742B70" w:rsidRDefault="00D15FF7" w:rsidP="00D15FF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361"/>
              <w:jc w:val="both"/>
              <w:textAlignment w:val="baseline"/>
              <w:rPr>
                <w:rFonts w:cs="Arial"/>
                <w:i/>
                <w:color w:val="4B4949"/>
                <w:sz w:val="18"/>
                <w:szCs w:val="18"/>
              </w:rPr>
            </w:pPr>
            <w:r w:rsidRPr="001D1CA2">
              <w:rPr>
                <w:rFonts w:cs="Arial"/>
                <w:szCs w:val="22"/>
              </w:rPr>
              <w:t>Decreto 103 de 2015</w:t>
            </w:r>
            <w:r>
              <w:rPr>
                <w:rFonts w:cs="Arial"/>
                <w:szCs w:val="22"/>
              </w:rPr>
              <w:t xml:space="preserve"> </w:t>
            </w:r>
            <w:r w:rsidRPr="00742B70">
              <w:rPr>
                <w:rFonts w:cs="Arial"/>
                <w:sz w:val="18"/>
                <w:szCs w:val="18"/>
              </w:rPr>
              <w:t>“</w:t>
            </w:r>
            <w:r w:rsidRPr="00742B70">
              <w:rPr>
                <w:rFonts w:cs="Arial"/>
                <w:i/>
                <w:color w:val="4B4949"/>
                <w:sz w:val="18"/>
                <w:szCs w:val="18"/>
              </w:rPr>
              <w:t>por el cual se reglamenta parcialmente la Ley 1712 de 2014 y se dictan otras disposiciones.”</w:t>
            </w:r>
          </w:p>
          <w:p w14:paraId="519A471A" w14:textId="77777777" w:rsidR="00D15FF7" w:rsidRDefault="00D15FF7" w:rsidP="00D15FF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361"/>
              <w:jc w:val="both"/>
              <w:textAlignment w:val="baseline"/>
              <w:rPr>
                <w:rFonts w:cs="Arial"/>
                <w:i/>
                <w:color w:val="4B4949"/>
                <w:sz w:val="18"/>
                <w:szCs w:val="18"/>
              </w:rPr>
            </w:pPr>
            <w:r w:rsidRPr="001D1CA2">
              <w:rPr>
                <w:rFonts w:cs="Arial"/>
                <w:szCs w:val="22"/>
              </w:rPr>
              <w:t>Resolución MinTIC 3564 de 2015</w:t>
            </w:r>
            <w:r>
              <w:rPr>
                <w:rFonts w:cs="Arial"/>
                <w:szCs w:val="22"/>
              </w:rPr>
              <w:t xml:space="preserve"> </w:t>
            </w:r>
            <w:r w:rsidRPr="00742B70">
              <w:rPr>
                <w:rFonts w:cs="Arial"/>
                <w:i/>
                <w:color w:val="4B4949"/>
                <w:sz w:val="18"/>
                <w:szCs w:val="18"/>
              </w:rPr>
              <w:t>“Por la cual se reglamentan los artículos </w:t>
            </w:r>
            <w:hyperlink r:id="rId7" w:anchor="2.1.1.2.1.1" w:history="1">
              <w:r w:rsidRPr="00742B70">
                <w:rPr>
                  <w:color w:val="4B4949"/>
                </w:rPr>
                <w:t>2.1.1.2.1.1</w:t>
              </w:r>
            </w:hyperlink>
            <w:r w:rsidRPr="00742B70">
              <w:rPr>
                <w:rFonts w:cs="Arial"/>
                <w:i/>
                <w:color w:val="4B4949"/>
                <w:sz w:val="18"/>
                <w:szCs w:val="18"/>
              </w:rPr>
              <w:t>, </w:t>
            </w:r>
            <w:hyperlink r:id="rId8" w:anchor="2.1.1.2.1.11" w:history="1">
              <w:r w:rsidRPr="00742B70">
                <w:rPr>
                  <w:color w:val="4B4949"/>
                </w:rPr>
                <w:t>2.1.1.2.1.11</w:t>
              </w:r>
            </w:hyperlink>
            <w:r w:rsidRPr="00742B70">
              <w:rPr>
                <w:rFonts w:cs="Arial"/>
                <w:i/>
                <w:color w:val="4B4949"/>
                <w:sz w:val="18"/>
                <w:szCs w:val="18"/>
              </w:rPr>
              <w:t>, </w:t>
            </w:r>
            <w:hyperlink r:id="rId9" w:anchor="2.1.1.2.2.2" w:history="1">
              <w:r w:rsidRPr="00742B70">
                <w:rPr>
                  <w:color w:val="4B4949"/>
                </w:rPr>
                <w:t>2.1.1.2.2.2</w:t>
              </w:r>
            </w:hyperlink>
            <w:r w:rsidRPr="00742B70">
              <w:rPr>
                <w:rFonts w:cs="Arial"/>
                <w:i/>
                <w:color w:val="4B4949"/>
                <w:sz w:val="18"/>
                <w:szCs w:val="18"/>
              </w:rPr>
              <w:t>, y el parágrafo 2o del artículo </w:t>
            </w:r>
            <w:hyperlink r:id="rId10" w:anchor="2.1.1.3.1.1" w:history="1">
              <w:r w:rsidRPr="00742B70">
                <w:rPr>
                  <w:color w:val="4B4949"/>
                </w:rPr>
                <w:t>2.1.1.3.1.1</w:t>
              </w:r>
            </w:hyperlink>
            <w:r w:rsidRPr="00742B70">
              <w:rPr>
                <w:rFonts w:cs="Arial"/>
                <w:i/>
                <w:color w:val="4B4949"/>
                <w:sz w:val="18"/>
                <w:szCs w:val="18"/>
              </w:rPr>
              <w:t> del Decreto número 1081 de 2015.”</w:t>
            </w:r>
          </w:p>
          <w:p w14:paraId="5BB9C0DC" w14:textId="26A6A2F0" w:rsidR="0045782D" w:rsidRPr="00D15FF7" w:rsidRDefault="00D15FF7" w:rsidP="00D15FF7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ind w:left="361"/>
              <w:jc w:val="both"/>
              <w:textAlignment w:val="baseline"/>
              <w:rPr>
                <w:rFonts w:cs="Arial"/>
                <w:i/>
                <w:color w:val="4B4949"/>
                <w:sz w:val="18"/>
                <w:szCs w:val="18"/>
              </w:rPr>
            </w:pPr>
            <w:r w:rsidRPr="00D15FF7">
              <w:rPr>
                <w:rFonts w:cs="Arial"/>
                <w:szCs w:val="22"/>
              </w:rPr>
              <w:t xml:space="preserve">Directiva 006 de 2019 </w:t>
            </w:r>
            <w:r w:rsidRPr="00D15FF7">
              <w:rPr>
                <w:rFonts w:cs="Arial"/>
                <w:i/>
                <w:sz w:val="18"/>
                <w:szCs w:val="18"/>
              </w:rPr>
              <w:t>–“</w:t>
            </w:r>
            <w:r w:rsidRPr="00D15FF7">
              <w:rPr>
                <w:rFonts w:cs="Arial"/>
                <w:i/>
                <w:color w:val="4B4949"/>
                <w:sz w:val="18"/>
                <w:szCs w:val="18"/>
              </w:rPr>
              <w:t>Diligenciamiento de la Información en el índice de Transparencia y Acceso a la Información –ITA- de conformidad con las disposiciones del artículo 23 de la Ley 1712 de 2014.”</w:t>
            </w:r>
          </w:p>
        </w:tc>
      </w:tr>
      <w:tr w:rsidR="0045782D" w14:paraId="4B60AD89" w14:textId="77777777" w:rsidTr="00D15FF7">
        <w:trPr>
          <w:trHeight w:val="544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07E409BC" w14:textId="3D499669" w:rsidR="0045782D" w:rsidRPr="00AD5687" w:rsidRDefault="0045782D" w:rsidP="0045782D">
            <w:pPr>
              <w:jc w:val="both"/>
              <w:rPr>
                <w:rFonts w:cs="Arial"/>
                <w:b/>
                <w:sz w:val="20"/>
                <w:szCs w:val="22"/>
                <w:lang w:val="es-MX"/>
              </w:rPr>
            </w:pPr>
            <w:r w:rsidRPr="00AD5687">
              <w:rPr>
                <w:rFonts w:cs="Arial"/>
                <w:b/>
                <w:sz w:val="20"/>
                <w:szCs w:val="22"/>
                <w:lang w:val="es-MX"/>
              </w:rPr>
              <w:t>PRUEBAS DE AUDITORÍA</w:t>
            </w:r>
          </w:p>
        </w:tc>
        <w:tc>
          <w:tcPr>
            <w:tcW w:w="2834" w:type="pct"/>
            <w:gridSpan w:val="6"/>
            <w:vAlign w:val="center"/>
          </w:tcPr>
          <w:p w14:paraId="52561496" w14:textId="3A37984C" w:rsidR="0045782D" w:rsidRPr="00097C7B" w:rsidRDefault="00D15FF7" w:rsidP="00D15FF7">
            <w:pPr>
              <w:pStyle w:val="Prrafodelista"/>
              <w:ind w:left="0"/>
              <w:jc w:val="both"/>
              <w:rPr>
                <w:sz w:val="20"/>
                <w:szCs w:val="22"/>
              </w:rPr>
            </w:pPr>
            <w:r w:rsidRPr="001D1CA2">
              <w:rPr>
                <w:bCs/>
                <w:szCs w:val="22"/>
                <w:lang w:eastAsia="x-none"/>
              </w:rPr>
              <w:t>Verificación en página web</w:t>
            </w:r>
          </w:p>
        </w:tc>
      </w:tr>
      <w:tr w:rsidR="0045782D" w14:paraId="3D795E5E" w14:textId="77777777" w:rsidTr="00D15FF7">
        <w:trPr>
          <w:trHeight w:val="564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757E46A4" w14:textId="4B1C1735" w:rsidR="0045782D" w:rsidRPr="00AD5687" w:rsidRDefault="0045782D" w:rsidP="0045782D">
            <w:pPr>
              <w:jc w:val="both"/>
              <w:rPr>
                <w:rFonts w:cs="Arial"/>
                <w:b/>
                <w:sz w:val="20"/>
                <w:szCs w:val="22"/>
                <w:lang w:val="es-MX"/>
              </w:rPr>
            </w:pPr>
            <w:r w:rsidRPr="00AD5687">
              <w:rPr>
                <w:rFonts w:cs="Arial"/>
                <w:b/>
                <w:sz w:val="20"/>
                <w:szCs w:val="22"/>
                <w:lang w:val="es-MX"/>
              </w:rPr>
              <w:t>EQUIPO AUDITOR</w:t>
            </w:r>
          </w:p>
        </w:tc>
        <w:tc>
          <w:tcPr>
            <w:tcW w:w="2834" w:type="pct"/>
            <w:gridSpan w:val="6"/>
            <w:vAlign w:val="center"/>
          </w:tcPr>
          <w:p w14:paraId="0868F486" w14:textId="4D046842" w:rsidR="0045782D" w:rsidRPr="00097C7B" w:rsidRDefault="00D15FF7" w:rsidP="00D15FF7">
            <w:pPr>
              <w:pStyle w:val="Prrafodelista"/>
              <w:ind w:left="0"/>
              <w:jc w:val="both"/>
              <w:rPr>
                <w:sz w:val="20"/>
                <w:szCs w:val="22"/>
              </w:rPr>
            </w:pPr>
            <w:r w:rsidRPr="001D1CA2">
              <w:rPr>
                <w:bCs/>
                <w:szCs w:val="22"/>
                <w:lang w:eastAsia="x-none"/>
              </w:rPr>
              <w:t>Eleana Marcela Páez Urrego</w:t>
            </w:r>
          </w:p>
        </w:tc>
      </w:tr>
      <w:tr w:rsidR="0045782D" w14:paraId="022BA904" w14:textId="77777777" w:rsidTr="00D15FF7">
        <w:trPr>
          <w:trHeight w:val="701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0C29F327" w14:textId="0FB316A9" w:rsidR="0045782D" w:rsidRPr="00AD5687" w:rsidRDefault="0045782D" w:rsidP="0045782D">
            <w:pPr>
              <w:jc w:val="both"/>
              <w:rPr>
                <w:rFonts w:cs="Arial"/>
                <w:b/>
                <w:sz w:val="20"/>
                <w:szCs w:val="22"/>
                <w:lang w:val="es-MX"/>
              </w:rPr>
            </w:pPr>
            <w:r w:rsidRPr="00AD5687">
              <w:rPr>
                <w:rFonts w:cs="Arial"/>
                <w:b/>
                <w:sz w:val="20"/>
                <w:szCs w:val="22"/>
              </w:rPr>
              <w:t>FECHA DE EJECUCIÓN DE LA AUDITORÍA</w:t>
            </w:r>
          </w:p>
        </w:tc>
        <w:tc>
          <w:tcPr>
            <w:tcW w:w="2834" w:type="pct"/>
            <w:gridSpan w:val="6"/>
            <w:vAlign w:val="center"/>
          </w:tcPr>
          <w:p w14:paraId="4061C768" w14:textId="03D7A34D" w:rsidR="0045782D" w:rsidRPr="00097C7B" w:rsidRDefault="00D15FF7" w:rsidP="00D15FF7">
            <w:pPr>
              <w:pStyle w:val="Prrafodelista"/>
              <w:ind w:left="0"/>
              <w:jc w:val="both"/>
              <w:rPr>
                <w:sz w:val="20"/>
                <w:szCs w:val="22"/>
              </w:rPr>
            </w:pPr>
            <w:r w:rsidRPr="001D1CA2">
              <w:rPr>
                <w:rFonts w:cs="Arial"/>
                <w:color w:val="000000"/>
              </w:rPr>
              <w:t xml:space="preserve">Del </w:t>
            </w:r>
            <w:r>
              <w:rPr>
                <w:rFonts w:cs="Arial"/>
                <w:color w:val="000000"/>
              </w:rPr>
              <w:t>4 al 12 de enero de 2021</w:t>
            </w:r>
          </w:p>
        </w:tc>
      </w:tr>
      <w:tr w:rsidR="0045782D" w14:paraId="48D3900F" w14:textId="77777777" w:rsidTr="00D15FF7">
        <w:trPr>
          <w:trHeight w:val="1406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5FFFB5D3" w14:textId="64791308" w:rsidR="0045782D" w:rsidRPr="00AD5687" w:rsidRDefault="0045782D" w:rsidP="0045782D">
            <w:pPr>
              <w:jc w:val="both"/>
              <w:rPr>
                <w:rFonts w:cs="Arial"/>
                <w:b/>
                <w:sz w:val="20"/>
                <w:szCs w:val="22"/>
                <w:lang w:val="es-MX"/>
              </w:rPr>
            </w:pPr>
            <w:r w:rsidRPr="00AD5687">
              <w:rPr>
                <w:rFonts w:cs="Arial"/>
                <w:b/>
                <w:sz w:val="20"/>
                <w:szCs w:val="22"/>
              </w:rPr>
              <w:t>INSUMOS</w:t>
            </w:r>
          </w:p>
        </w:tc>
        <w:tc>
          <w:tcPr>
            <w:tcW w:w="2834" w:type="pct"/>
            <w:gridSpan w:val="6"/>
            <w:vAlign w:val="center"/>
          </w:tcPr>
          <w:p w14:paraId="6FEF4268" w14:textId="2FA5F677" w:rsidR="0045782D" w:rsidRPr="00097C7B" w:rsidRDefault="00D15FF7" w:rsidP="00D15FF7">
            <w:pPr>
              <w:pStyle w:val="Prrafodelista"/>
              <w:ind w:left="0"/>
              <w:jc w:val="both"/>
              <w:rPr>
                <w:sz w:val="20"/>
                <w:szCs w:val="22"/>
              </w:rPr>
            </w:pPr>
            <w:r w:rsidRPr="001D1CA2">
              <w:rPr>
                <w:bCs/>
                <w:szCs w:val="22"/>
                <w:lang w:eastAsia="x-none"/>
              </w:rPr>
              <w:t>Los resultados, se fundamentan en la información publicada en la página web de la entidad https://idpc.gov.co/transparencia-y-acceso-a-la-informacion-publica-ley-1712-del-6-de-marzo-de-2014/</w:t>
            </w:r>
          </w:p>
        </w:tc>
      </w:tr>
      <w:tr w:rsidR="0045782D" w14:paraId="0ACC3BE1" w14:textId="77777777" w:rsidTr="00D15FF7">
        <w:trPr>
          <w:trHeight w:val="701"/>
        </w:trPr>
        <w:tc>
          <w:tcPr>
            <w:tcW w:w="2166" w:type="pct"/>
            <w:shd w:val="clear" w:color="auto" w:fill="F2F2F2" w:themeFill="background1" w:themeFillShade="F2"/>
            <w:vAlign w:val="center"/>
          </w:tcPr>
          <w:p w14:paraId="774A6816" w14:textId="13DBF83E" w:rsidR="0045782D" w:rsidRPr="00AD5687" w:rsidRDefault="0045782D" w:rsidP="0045782D">
            <w:pPr>
              <w:jc w:val="both"/>
              <w:rPr>
                <w:rFonts w:cs="Arial"/>
                <w:b/>
                <w:sz w:val="20"/>
                <w:szCs w:val="22"/>
                <w:lang w:val="es-MX"/>
              </w:rPr>
            </w:pPr>
            <w:r w:rsidRPr="00AD5687">
              <w:rPr>
                <w:rFonts w:cs="Arial"/>
                <w:b/>
                <w:sz w:val="20"/>
                <w:szCs w:val="22"/>
              </w:rPr>
              <w:t>LIMITACIONES DE LA EVALUACIÓN Y/O SEGUIMIENTO</w:t>
            </w:r>
          </w:p>
        </w:tc>
        <w:tc>
          <w:tcPr>
            <w:tcW w:w="2834" w:type="pct"/>
            <w:gridSpan w:val="6"/>
            <w:vAlign w:val="center"/>
          </w:tcPr>
          <w:p w14:paraId="7C880F9F" w14:textId="69ED5B30" w:rsidR="0045782D" w:rsidRPr="00097C7B" w:rsidRDefault="00D15FF7" w:rsidP="00D15FF7">
            <w:pPr>
              <w:pStyle w:val="Prrafodelista"/>
              <w:ind w:left="0"/>
              <w:jc w:val="both"/>
              <w:rPr>
                <w:sz w:val="20"/>
                <w:szCs w:val="22"/>
              </w:rPr>
            </w:pPr>
            <w:r w:rsidRPr="001D1CA2">
              <w:rPr>
                <w:rFonts w:cs="Arial"/>
                <w:color w:val="000000"/>
              </w:rPr>
              <w:t>Ninguna</w:t>
            </w:r>
          </w:p>
        </w:tc>
      </w:tr>
    </w:tbl>
    <w:p w14:paraId="37630393" w14:textId="77777777" w:rsidR="00F1402C" w:rsidRPr="00D15FF7" w:rsidRDefault="00F1402C" w:rsidP="00D15FF7">
      <w:pPr>
        <w:rPr>
          <w:rFonts w:cs="Arial"/>
          <w:b/>
        </w:rPr>
      </w:pPr>
    </w:p>
    <w:p w14:paraId="6C8CE5A8" w14:textId="77777777" w:rsidR="00F1402C" w:rsidRDefault="00F1402C" w:rsidP="007E187A">
      <w:pPr>
        <w:pStyle w:val="Prrafodelista"/>
        <w:rPr>
          <w:rFonts w:cs="Arial"/>
          <w:b/>
        </w:rPr>
      </w:pPr>
    </w:p>
    <w:p w14:paraId="45635FF4" w14:textId="59482FE9" w:rsidR="007E187A" w:rsidRPr="007E187A" w:rsidRDefault="007E187A" w:rsidP="007E187A">
      <w:pPr>
        <w:pStyle w:val="Prrafodelista"/>
        <w:numPr>
          <w:ilvl w:val="0"/>
          <w:numId w:val="8"/>
        </w:numPr>
        <w:jc w:val="center"/>
        <w:rPr>
          <w:rFonts w:cs="Arial"/>
          <w:b/>
        </w:rPr>
      </w:pPr>
      <w:r w:rsidRPr="007E187A">
        <w:rPr>
          <w:rFonts w:cs="Arial"/>
          <w:b/>
        </w:rPr>
        <w:t>RESULTADOS DE LA EVALUACIÓN Y/O SEGUIMIENTO</w:t>
      </w:r>
    </w:p>
    <w:p w14:paraId="1064F87F" w14:textId="77777777" w:rsidR="007E187A" w:rsidRPr="007E187A" w:rsidRDefault="007E187A" w:rsidP="007E187A">
      <w:pPr>
        <w:jc w:val="both"/>
        <w:rPr>
          <w:rFonts w:cs="Arial"/>
          <w:b/>
        </w:rPr>
      </w:pPr>
    </w:p>
    <w:p w14:paraId="33AE2981" w14:textId="77777777" w:rsidR="00D15FF7" w:rsidRPr="001D1CA2" w:rsidRDefault="00D15FF7" w:rsidP="00D15FF7">
      <w:pPr>
        <w:pStyle w:val="Prrafodelista"/>
        <w:spacing w:line="276" w:lineRule="auto"/>
        <w:ind w:left="-426"/>
        <w:rPr>
          <w:rFonts w:cs="Arial"/>
          <w:b/>
        </w:rPr>
      </w:pPr>
    </w:p>
    <w:p w14:paraId="3B7B149A" w14:textId="77777777" w:rsidR="00D15FF7" w:rsidRPr="001D1CA2" w:rsidRDefault="00D15FF7" w:rsidP="00D15FF7">
      <w:pPr>
        <w:jc w:val="center"/>
        <w:rPr>
          <w:rFonts w:cs="Arial"/>
          <w:b/>
          <w:szCs w:val="22"/>
        </w:rPr>
      </w:pPr>
      <w:r w:rsidRPr="001D1CA2">
        <w:rPr>
          <w:rFonts w:cs="Arial"/>
          <w:b/>
          <w:szCs w:val="22"/>
        </w:rPr>
        <w:t>1.1 SEGUIMIENTO MATRIZ DE CUMPLIMIENTO Y SOSTENIBILIDAD DE LA LEY 1712 DE 2014</w:t>
      </w:r>
    </w:p>
    <w:p w14:paraId="7BD23082" w14:textId="77777777" w:rsidR="00D15FF7" w:rsidRPr="001D1CA2" w:rsidRDefault="00D15FF7" w:rsidP="00D15FF7">
      <w:pPr>
        <w:pStyle w:val="Prrafodelista"/>
        <w:spacing w:line="276" w:lineRule="auto"/>
        <w:ind w:left="-426"/>
        <w:rPr>
          <w:rFonts w:cs="Arial"/>
          <w:b/>
        </w:rPr>
      </w:pPr>
    </w:p>
    <w:p w14:paraId="499BDFE4" w14:textId="213A1F43" w:rsidR="00D15FF7" w:rsidRDefault="002D0F18" w:rsidP="00D15FF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A través del enlace del micro</w:t>
      </w:r>
      <w:r w:rsidR="00D15FF7">
        <w:rPr>
          <w:rFonts w:cs="Arial"/>
          <w:szCs w:val="22"/>
        </w:rPr>
        <w:t xml:space="preserve">sitio de transparencia y acceso a la información pública de la página institucional del IDPC, se realizó la evaluación a la publicación de la información, que como sujeto obligado, el Instituto debe cumplir. </w:t>
      </w:r>
    </w:p>
    <w:p w14:paraId="7BE9009F" w14:textId="77777777" w:rsidR="00D15FF7" w:rsidRDefault="00D15FF7" w:rsidP="00D15FF7">
      <w:pPr>
        <w:jc w:val="both"/>
        <w:rPr>
          <w:rFonts w:cs="Arial"/>
          <w:szCs w:val="22"/>
        </w:rPr>
      </w:pPr>
    </w:p>
    <w:p w14:paraId="34C9C8F3" w14:textId="77777777" w:rsidR="00D15FF7" w:rsidRDefault="00D15FF7" w:rsidP="00D15FF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De conformidad con el Decreto 103 de 2015 y la Resolución 3564 de 2015, la presente evaluación se realizó con base en los procedimientos establecidos para el ejercicio y garantía del derecho y las excepciones a la publicidad de información, utilizando la matriz de cumplimiento y sostenibilidad. </w:t>
      </w:r>
    </w:p>
    <w:p w14:paraId="3C2EEF6A" w14:textId="77777777" w:rsidR="00D15FF7" w:rsidRDefault="00D15FF7" w:rsidP="00D15FF7">
      <w:pPr>
        <w:jc w:val="both"/>
        <w:rPr>
          <w:rFonts w:cs="Arial"/>
          <w:szCs w:val="22"/>
        </w:rPr>
      </w:pPr>
    </w:p>
    <w:p w14:paraId="6F7A499D" w14:textId="33ADB4E3" w:rsidR="00D15FF7" w:rsidRDefault="00D15FF7" w:rsidP="00D15FF7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En consecuencia, </w:t>
      </w:r>
      <w:r w:rsidR="002D0F18">
        <w:rPr>
          <w:rFonts w:cs="Arial"/>
          <w:szCs w:val="22"/>
        </w:rPr>
        <w:t xml:space="preserve">en </w:t>
      </w:r>
      <w:r>
        <w:rPr>
          <w:rFonts w:cs="Arial"/>
          <w:szCs w:val="22"/>
        </w:rPr>
        <w:t xml:space="preserve">anexo No.1 </w:t>
      </w:r>
      <w:r w:rsidR="002D0F18">
        <w:rPr>
          <w:rFonts w:cs="Arial"/>
          <w:szCs w:val="22"/>
        </w:rPr>
        <w:t>Matriz de cumplimiento y sostenibilidad a diciembre de 2020</w:t>
      </w:r>
      <w:r>
        <w:rPr>
          <w:rFonts w:cs="Arial"/>
          <w:szCs w:val="22"/>
        </w:rPr>
        <w:t>,</w:t>
      </w:r>
      <w:r w:rsidR="002D0F18" w:rsidRPr="002D0F18">
        <w:rPr>
          <w:rFonts w:cs="Arial"/>
          <w:szCs w:val="22"/>
        </w:rPr>
        <w:t xml:space="preserve"> </w:t>
      </w:r>
      <w:r w:rsidR="002D0F18">
        <w:rPr>
          <w:rFonts w:cs="Arial"/>
          <w:szCs w:val="22"/>
        </w:rPr>
        <w:t>se evidencian</w:t>
      </w:r>
      <w:r>
        <w:rPr>
          <w:rFonts w:cs="Arial"/>
          <w:szCs w:val="22"/>
        </w:rPr>
        <w:t xml:space="preserve"> los resultados presentados dentro del seguimiento realizado por la Asesoría de Control Interno, con un reporte de 173 ítems evaluados, según el siguiente cuadro:</w:t>
      </w:r>
      <w:r w:rsidR="00D94AE4">
        <w:rPr>
          <w:rFonts w:cs="Arial"/>
          <w:szCs w:val="22"/>
        </w:rPr>
        <w:t xml:space="preserve">  </w:t>
      </w:r>
    </w:p>
    <w:p w14:paraId="4167112F" w14:textId="77777777" w:rsidR="00D15FF7" w:rsidRPr="00EA4D75" w:rsidRDefault="00D15FF7" w:rsidP="00D15FF7">
      <w:pPr>
        <w:rPr>
          <w:rFonts w:cs="Arial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1408"/>
        <w:gridCol w:w="1327"/>
      </w:tblGrid>
      <w:tr w:rsidR="00D15FF7" w:rsidRPr="008914EA" w14:paraId="04735E6D" w14:textId="77777777" w:rsidTr="00671379">
        <w:trPr>
          <w:jc w:val="center"/>
        </w:trPr>
        <w:tc>
          <w:tcPr>
            <w:tcW w:w="5723" w:type="dxa"/>
            <w:gridSpan w:val="3"/>
            <w:shd w:val="clear" w:color="auto" w:fill="D0CECE"/>
            <w:vAlign w:val="center"/>
          </w:tcPr>
          <w:p w14:paraId="2A0B0960" w14:textId="77777777" w:rsidR="00D15FF7" w:rsidRPr="00EA4D75" w:rsidRDefault="00D15FF7" w:rsidP="00671379">
            <w:pPr>
              <w:jc w:val="center"/>
              <w:rPr>
                <w:rFonts w:cs="Arial"/>
                <w:b/>
                <w:szCs w:val="22"/>
              </w:rPr>
            </w:pPr>
            <w:r w:rsidRPr="00EA4D75">
              <w:rPr>
                <w:rFonts w:cs="Arial"/>
                <w:b/>
                <w:szCs w:val="22"/>
              </w:rPr>
              <w:t>SEGUIMIENTO Y EVALUACI</w:t>
            </w:r>
            <w:r>
              <w:rPr>
                <w:rFonts w:cs="Arial"/>
                <w:b/>
                <w:szCs w:val="22"/>
              </w:rPr>
              <w:t>Ó</w:t>
            </w:r>
            <w:r w:rsidRPr="00EA4D75">
              <w:rPr>
                <w:rFonts w:cs="Arial"/>
                <w:b/>
                <w:szCs w:val="22"/>
              </w:rPr>
              <w:t xml:space="preserve">N CI </w:t>
            </w:r>
            <w:r>
              <w:rPr>
                <w:rFonts w:cs="Arial"/>
                <w:b/>
                <w:szCs w:val="22"/>
              </w:rPr>
              <w:t>DICIEMBRE 2020</w:t>
            </w:r>
          </w:p>
        </w:tc>
      </w:tr>
      <w:tr w:rsidR="00D15FF7" w:rsidRPr="008914EA" w14:paraId="4445974E" w14:textId="77777777" w:rsidTr="00671379">
        <w:trPr>
          <w:jc w:val="center"/>
        </w:trPr>
        <w:tc>
          <w:tcPr>
            <w:tcW w:w="2988" w:type="dxa"/>
            <w:shd w:val="clear" w:color="auto" w:fill="D0CECE"/>
            <w:vAlign w:val="center"/>
          </w:tcPr>
          <w:p w14:paraId="58FA3810" w14:textId="77777777" w:rsidR="00D15FF7" w:rsidRPr="008914EA" w:rsidRDefault="00D15FF7" w:rsidP="0067137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408" w:type="dxa"/>
            <w:shd w:val="clear" w:color="auto" w:fill="D0CECE"/>
            <w:vAlign w:val="center"/>
          </w:tcPr>
          <w:p w14:paraId="1245AE0F" w14:textId="77777777" w:rsidR="00D15FF7" w:rsidRPr="008914EA" w:rsidRDefault="00D15FF7" w:rsidP="0067137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Totales </w:t>
            </w:r>
          </w:p>
        </w:tc>
        <w:tc>
          <w:tcPr>
            <w:tcW w:w="1327" w:type="dxa"/>
            <w:shd w:val="clear" w:color="auto" w:fill="D0CECE"/>
            <w:vAlign w:val="center"/>
          </w:tcPr>
          <w:p w14:paraId="16332CAD" w14:textId="77777777" w:rsidR="00D15FF7" w:rsidRPr="008914EA" w:rsidRDefault="00D15FF7" w:rsidP="0067137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Porcentaje </w:t>
            </w:r>
          </w:p>
        </w:tc>
      </w:tr>
      <w:tr w:rsidR="00D15FF7" w:rsidRPr="008914EA" w14:paraId="1ED5F5BD" w14:textId="77777777" w:rsidTr="00671379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3CCA567D" w14:textId="77777777" w:rsidR="00D15FF7" w:rsidRPr="008914EA" w:rsidRDefault="00D15FF7" w:rsidP="0067137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Cumple</w:t>
            </w:r>
          </w:p>
        </w:tc>
        <w:tc>
          <w:tcPr>
            <w:tcW w:w="1408" w:type="dxa"/>
            <w:shd w:val="clear" w:color="auto" w:fill="92D050"/>
            <w:vAlign w:val="center"/>
          </w:tcPr>
          <w:p w14:paraId="3964DA5E" w14:textId="77777777" w:rsidR="00D15FF7" w:rsidRPr="008914EA" w:rsidRDefault="00D15FF7" w:rsidP="0067137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150</w:t>
            </w:r>
          </w:p>
        </w:tc>
        <w:tc>
          <w:tcPr>
            <w:tcW w:w="1327" w:type="dxa"/>
            <w:shd w:val="clear" w:color="auto" w:fill="92D050"/>
            <w:vAlign w:val="center"/>
          </w:tcPr>
          <w:p w14:paraId="6D1A23A2" w14:textId="77777777" w:rsidR="00D15FF7" w:rsidRPr="008914EA" w:rsidRDefault="00D15FF7" w:rsidP="0067137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86.7</w:t>
            </w:r>
            <w:r w:rsidRPr="008914EA">
              <w:rPr>
                <w:rFonts w:cs="Arial"/>
                <w:szCs w:val="22"/>
              </w:rPr>
              <w:t>%</w:t>
            </w:r>
          </w:p>
        </w:tc>
      </w:tr>
      <w:tr w:rsidR="00D15FF7" w:rsidRPr="008914EA" w14:paraId="1F42F82C" w14:textId="77777777" w:rsidTr="00671379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11411F1E" w14:textId="77777777" w:rsidR="00D15FF7" w:rsidRPr="008914EA" w:rsidRDefault="00D15FF7" w:rsidP="0067137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 Cumple</w:t>
            </w:r>
          </w:p>
        </w:tc>
        <w:tc>
          <w:tcPr>
            <w:tcW w:w="1408" w:type="dxa"/>
            <w:shd w:val="clear" w:color="auto" w:fill="FF9999"/>
            <w:vAlign w:val="center"/>
          </w:tcPr>
          <w:p w14:paraId="0A537202" w14:textId="77777777" w:rsidR="00D15FF7" w:rsidRPr="008914EA" w:rsidRDefault="00D15FF7" w:rsidP="0067137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  <w:tc>
          <w:tcPr>
            <w:tcW w:w="1327" w:type="dxa"/>
            <w:shd w:val="clear" w:color="auto" w:fill="FF9999"/>
            <w:vAlign w:val="center"/>
          </w:tcPr>
          <w:p w14:paraId="3E495B5E" w14:textId="77777777" w:rsidR="00D15FF7" w:rsidRPr="008914EA" w:rsidRDefault="00D15FF7" w:rsidP="0067137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4.6</w:t>
            </w:r>
            <w:r w:rsidRPr="008914EA">
              <w:rPr>
                <w:rFonts w:cs="Arial"/>
                <w:szCs w:val="22"/>
              </w:rPr>
              <w:t>%</w:t>
            </w:r>
          </w:p>
        </w:tc>
      </w:tr>
      <w:tr w:rsidR="00D15FF7" w:rsidRPr="008914EA" w14:paraId="5591B7AB" w14:textId="77777777" w:rsidTr="00671379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67376D59" w14:textId="77777777" w:rsidR="00D15FF7" w:rsidRPr="008914EA" w:rsidRDefault="00D15FF7" w:rsidP="0067137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Cumple Parcialmente</w:t>
            </w:r>
          </w:p>
        </w:tc>
        <w:tc>
          <w:tcPr>
            <w:tcW w:w="1408" w:type="dxa"/>
            <w:shd w:val="clear" w:color="auto" w:fill="FFE599" w:themeFill="accent4" w:themeFillTint="66"/>
            <w:vAlign w:val="center"/>
          </w:tcPr>
          <w:p w14:paraId="546AE678" w14:textId="77777777" w:rsidR="00D15FF7" w:rsidRPr="008914EA" w:rsidRDefault="00D15FF7" w:rsidP="0067137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15</w:t>
            </w:r>
          </w:p>
        </w:tc>
        <w:tc>
          <w:tcPr>
            <w:tcW w:w="1327" w:type="dxa"/>
            <w:shd w:val="clear" w:color="auto" w:fill="FFE599" w:themeFill="accent4" w:themeFillTint="66"/>
            <w:vAlign w:val="center"/>
          </w:tcPr>
          <w:p w14:paraId="24185C18" w14:textId="77777777" w:rsidR="00D15FF7" w:rsidRPr="008914EA" w:rsidRDefault="00D15FF7" w:rsidP="0067137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8.7</w:t>
            </w:r>
            <w:r w:rsidRPr="008914EA">
              <w:rPr>
                <w:rFonts w:cs="Arial"/>
                <w:szCs w:val="22"/>
              </w:rPr>
              <w:t>%</w:t>
            </w:r>
          </w:p>
        </w:tc>
      </w:tr>
      <w:tr w:rsidR="00D15FF7" w:rsidRPr="008914EA" w14:paraId="3E41EA03" w14:textId="77777777" w:rsidTr="00671379">
        <w:trPr>
          <w:jc w:val="center"/>
        </w:trPr>
        <w:tc>
          <w:tcPr>
            <w:tcW w:w="2988" w:type="dxa"/>
            <w:shd w:val="clear" w:color="auto" w:fill="auto"/>
            <w:vAlign w:val="center"/>
          </w:tcPr>
          <w:p w14:paraId="524008BE" w14:textId="77777777" w:rsidR="00D15FF7" w:rsidRPr="009F1285" w:rsidRDefault="00D15FF7" w:rsidP="00671379">
            <w:pPr>
              <w:rPr>
                <w:rFonts w:cs="Arial"/>
                <w:b/>
                <w:szCs w:val="22"/>
              </w:rPr>
            </w:pPr>
            <w:r w:rsidRPr="009F1285">
              <w:rPr>
                <w:rFonts w:cs="Arial"/>
                <w:b/>
                <w:szCs w:val="22"/>
              </w:rPr>
              <w:t>Total ítems verificados</w:t>
            </w:r>
          </w:p>
        </w:tc>
        <w:tc>
          <w:tcPr>
            <w:tcW w:w="1408" w:type="dxa"/>
            <w:shd w:val="clear" w:color="auto" w:fill="auto"/>
            <w:vAlign w:val="center"/>
          </w:tcPr>
          <w:p w14:paraId="7D9C30E5" w14:textId="77777777" w:rsidR="00D15FF7" w:rsidRPr="009F1285" w:rsidRDefault="00D15FF7" w:rsidP="00671379">
            <w:pPr>
              <w:jc w:val="center"/>
              <w:rPr>
                <w:rFonts w:cs="Arial"/>
                <w:b/>
                <w:szCs w:val="22"/>
              </w:rPr>
            </w:pPr>
            <w:r w:rsidRPr="009F1285">
              <w:rPr>
                <w:rFonts w:cs="Arial"/>
                <w:b/>
                <w:szCs w:val="22"/>
              </w:rPr>
              <w:t>173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C0CB328" w14:textId="77777777" w:rsidR="00D15FF7" w:rsidRPr="009F1285" w:rsidRDefault="00D15FF7" w:rsidP="00671379">
            <w:pPr>
              <w:jc w:val="center"/>
              <w:rPr>
                <w:rFonts w:cs="Arial"/>
                <w:b/>
                <w:szCs w:val="22"/>
              </w:rPr>
            </w:pPr>
            <w:r w:rsidRPr="009F1285">
              <w:rPr>
                <w:rFonts w:cs="Arial"/>
                <w:b/>
                <w:szCs w:val="22"/>
              </w:rPr>
              <w:t>100%</w:t>
            </w:r>
          </w:p>
        </w:tc>
      </w:tr>
    </w:tbl>
    <w:p w14:paraId="0C9DE659" w14:textId="77777777" w:rsidR="007E187A" w:rsidRPr="007E187A" w:rsidRDefault="007E187A" w:rsidP="007E187A">
      <w:pPr>
        <w:jc w:val="both"/>
        <w:rPr>
          <w:rFonts w:cs="Arial"/>
          <w:b/>
        </w:rPr>
      </w:pPr>
    </w:p>
    <w:p w14:paraId="209A9F61" w14:textId="77777777" w:rsidR="007E187A" w:rsidRPr="007E187A" w:rsidRDefault="007E187A" w:rsidP="007E187A">
      <w:pPr>
        <w:jc w:val="both"/>
        <w:rPr>
          <w:rFonts w:cs="Arial"/>
          <w:b/>
        </w:rPr>
      </w:pPr>
    </w:p>
    <w:p w14:paraId="66E104CF" w14:textId="77777777" w:rsidR="007E187A" w:rsidRPr="007E187A" w:rsidRDefault="007E187A" w:rsidP="007E187A">
      <w:pPr>
        <w:pStyle w:val="Prrafodelista"/>
        <w:numPr>
          <w:ilvl w:val="0"/>
          <w:numId w:val="8"/>
        </w:numPr>
        <w:jc w:val="center"/>
        <w:rPr>
          <w:rFonts w:cs="Arial"/>
          <w:b/>
        </w:rPr>
      </w:pPr>
      <w:r w:rsidRPr="007E187A">
        <w:rPr>
          <w:rFonts w:cs="Arial"/>
          <w:b/>
        </w:rPr>
        <w:t>FORTALEZAS EVIDENCIADAS</w:t>
      </w:r>
    </w:p>
    <w:p w14:paraId="60848F1F" w14:textId="166AD397" w:rsidR="007E187A" w:rsidRDefault="007E187A" w:rsidP="007E187A">
      <w:pPr>
        <w:pStyle w:val="Prrafodelista"/>
        <w:rPr>
          <w:rFonts w:cs="Arial"/>
          <w:b/>
        </w:rPr>
      </w:pPr>
    </w:p>
    <w:p w14:paraId="3508CEEF" w14:textId="77777777" w:rsidR="00D15FF7" w:rsidRPr="000E4660" w:rsidRDefault="00D15FF7" w:rsidP="00D15FF7">
      <w:pPr>
        <w:numPr>
          <w:ilvl w:val="0"/>
          <w:numId w:val="10"/>
        </w:numPr>
        <w:autoSpaceDE w:val="0"/>
        <w:autoSpaceDN w:val="0"/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De la totalidad de la información evaluada, un porcentaje superior al 85% cumple con los criterios normativos de actualización y publicación. </w:t>
      </w:r>
    </w:p>
    <w:p w14:paraId="2DF78217" w14:textId="6E1034CF" w:rsidR="00D15FF7" w:rsidRPr="0013607B" w:rsidRDefault="00D15FF7" w:rsidP="00D15FF7">
      <w:pPr>
        <w:numPr>
          <w:ilvl w:val="0"/>
          <w:numId w:val="10"/>
        </w:numPr>
        <w:autoSpaceDE w:val="0"/>
        <w:autoSpaceDN w:val="0"/>
        <w:jc w:val="both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Los </w:t>
      </w:r>
      <w:r w:rsidR="002D0F18">
        <w:rPr>
          <w:rFonts w:cs="Arial"/>
          <w:szCs w:val="22"/>
        </w:rPr>
        <w:t>enlaces registrados en el micro</w:t>
      </w:r>
      <w:r>
        <w:rPr>
          <w:rFonts w:cs="Arial"/>
          <w:szCs w:val="22"/>
        </w:rPr>
        <w:t xml:space="preserve">sitio de transparencia y acceso de la información de la página web institucional, están debidamente asociados a la información correspondiente. </w:t>
      </w:r>
    </w:p>
    <w:p w14:paraId="0B4668FA" w14:textId="77777777" w:rsidR="00D15FF7" w:rsidRPr="0013607B" w:rsidRDefault="00D15FF7" w:rsidP="00D15FF7">
      <w:pPr>
        <w:numPr>
          <w:ilvl w:val="0"/>
          <w:numId w:val="10"/>
        </w:numPr>
        <w:autoSpaceDE w:val="0"/>
        <w:autoSpaceDN w:val="0"/>
        <w:jc w:val="both"/>
        <w:rPr>
          <w:rFonts w:cs="Arial"/>
          <w:b/>
          <w:szCs w:val="22"/>
        </w:rPr>
      </w:pPr>
      <w:r w:rsidRPr="0013607B">
        <w:rPr>
          <w:rFonts w:cs="Arial"/>
          <w:szCs w:val="22"/>
        </w:rPr>
        <w:t>La Entidad realiza gestión por mantener la información publicada, actualizada y cumpliendo con los criterios que</w:t>
      </w:r>
      <w:r>
        <w:rPr>
          <w:rFonts w:cs="Arial"/>
          <w:szCs w:val="22"/>
        </w:rPr>
        <w:t xml:space="preserve"> establece la norma al respecto.</w:t>
      </w:r>
    </w:p>
    <w:p w14:paraId="1B43FCAF" w14:textId="1A417B3A" w:rsidR="007E187A" w:rsidRPr="00D15FF7" w:rsidRDefault="007E187A" w:rsidP="00D15FF7">
      <w:pPr>
        <w:rPr>
          <w:rFonts w:cs="Arial"/>
          <w:b/>
        </w:rPr>
      </w:pPr>
    </w:p>
    <w:p w14:paraId="5D2115A5" w14:textId="77777777" w:rsidR="007E187A" w:rsidRPr="007E187A" w:rsidRDefault="007E187A" w:rsidP="007E187A">
      <w:pPr>
        <w:pStyle w:val="Prrafodelista"/>
        <w:rPr>
          <w:rFonts w:cs="Arial"/>
          <w:b/>
        </w:rPr>
      </w:pPr>
    </w:p>
    <w:p w14:paraId="58737FF6" w14:textId="77777777" w:rsidR="007E187A" w:rsidRPr="007E187A" w:rsidRDefault="007E187A" w:rsidP="007E187A">
      <w:pPr>
        <w:pStyle w:val="Prrafodelista"/>
        <w:numPr>
          <w:ilvl w:val="0"/>
          <w:numId w:val="8"/>
        </w:numPr>
        <w:jc w:val="center"/>
        <w:rPr>
          <w:rFonts w:cs="Arial"/>
          <w:b/>
        </w:rPr>
      </w:pPr>
      <w:r w:rsidRPr="007E187A">
        <w:rPr>
          <w:rFonts w:cs="Arial"/>
          <w:b/>
        </w:rPr>
        <w:t>OBSERVACIONES</w:t>
      </w:r>
    </w:p>
    <w:p w14:paraId="6726BB9E" w14:textId="1D8785AE" w:rsidR="007E187A" w:rsidRDefault="007E187A" w:rsidP="007E187A">
      <w:pPr>
        <w:pStyle w:val="Prrafodelista"/>
        <w:rPr>
          <w:rFonts w:cs="Arial"/>
          <w:b/>
        </w:rPr>
      </w:pPr>
    </w:p>
    <w:p w14:paraId="00B1AA7F" w14:textId="2CBECB27" w:rsidR="00D15FF7" w:rsidRDefault="00D15FF7" w:rsidP="00D15FF7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El Plan Estratégico de Tecn</w:t>
      </w:r>
      <w:r w:rsidR="002D0F18">
        <w:rPr>
          <w:rFonts w:cs="Arial"/>
          <w:szCs w:val="22"/>
        </w:rPr>
        <w:t>ologías de la Información –PETI</w:t>
      </w:r>
      <w:r>
        <w:rPr>
          <w:rFonts w:cs="Arial"/>
          <w:szCs w:val="22"/>
        </w:rPr>
        <w:t xml:space="preserve"> 2016-2020, correspondiente al numeral 1.4 Políticas de seguridad de la información, no se encuentra publicado.</w:t>
      </w:r>
    </w:p>
    <w:p w14:paraId="3AE671ED" w14:textId="77777777" w:rsidR="00D15FF7" w:rsidRDefault="00D15FF7" w:rsidP="00D15FF7">
      <w:pPr>
        <w:ind w:left="426"/>
        <w:jc w:val="both"/>
        <w:rPr>
          <w:rFonts w:cs="Arial"/>
          <w:szCs w:val="22"/>
        </w:rPr>
      </w:pPr>
    </w:p>
    <w:p w14:paraId="35AD55E2" w14:textId="77777777" w:rsidR="00D15FF7" w:rsidRPr="00975F49" w:rsidRDefault="00D15FF7" w:rsidP="00D15FF7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</w:rPr>
      </w:pPr>
      <w:r w:rsidRPr="00975F49">
        <w:rPr>
          <w:rFonts w:cs="Arial"/>
          <w:szCs w:val="22"/>
        </w:rPr>
        <w:t xml:space="preserve">El contenido </w:t>
      </w:r>
      <w:r>
        <w:rPr>
          <w:rFonts w:cs="Arial"/>
          <w:szCs w:val="22"/>
        </w:rPr>
        <w:t>de la sección de noticias es muy similar al registrado en el calendario de actividades</w:t>
      </w:r>
      <w:r w:rsidRPr="00975F49">
        <w:rPr>
          <w:rFonts w:cs="Arial"/>
          <w:szCs w:val="22"/>
        </w:rPr>
        <w:t xml:space="preserve">, de los numerales 2.6 y 2.7 respectivamente, por tanto se sugiere cambiar </w:t>
      </w:r>
      <w:r w:rsidRPr="00975F49">
        <w:rPr>
          <w:rFonts w:cs="Arial"/>
          <w:szCs w:val="22"/>
        </w:rPr>
        <w:lastRenderedPageBreak/>
        <w:t>el esquema de este último, en donde se identifique claramente un calendario, con las fechas</w:t>
      </w:r>
      <w:r>
        <w:rPr>
          <w:rFonts w:cs="Arial"/>
          <w:szCs w:val="22"/>
        </w:rPr>
        <w:t xml:space="preserve"> y </w:t>
      </w:r>
      <w:r w:rsidRPr="00975F49">
        <w:rPr>
          <w:rFonts w:cs="Arial"/>
          <w:szCs w:val="22"/>
        </w:rPr>
        <w:t xml:space="preserve">los eventos programados.  </w:t>
      </w:r>
    </w:p>
    <w:p w14:paraId="55C49AAA" w14:textId="77777777" w:rsidR="00D15FF7" w:rsidRDefault="00D15FF7" w:rsidP="00D15FF7">
      <w:pPr>
        <w:pStyle w:val="Prrafodelista"/>
        <w:rPr>
          <w:rFonts w:cs="Arial"/>
          <w:szCs w:val="22"/>
        </w:rPr>
      </w:pPr>
    </w:p>
    <w:p w14:paraId="726E443F" w14:textId="3ED49AAA" w:rsidR="00D15FF7" w:rsidRDefault="00D15FF7" w:rsidP="002D0F18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En el numeral 2.9 sobre información adicional, en el enlace de encuestas de satisfacción a la ciudadanía, registra dos encuestas: la primera “encuestas de satisfacción a la c</w:t>
      </w:r>
      <w:r w:rsidR="002D0F18">
        <w:rPr>
          <w:rFonts w:cs="Arial"/>
          <w:szCs w:val="22"/>
        </w:rPr>
        <w:t>iudadanía”,</w:t>
      </w:r>
      <w:r>
        <w:rPr>
          <w:rFonts w:cs="Arial"/>
          <w:szCs w:val="22"/>
        </w:rPr>
        <w:t xml:space="preserve"> la cual no permite el ingreso, ya que reporta error; y la segunda “encuesta de satisfacción de atención a la ciudadanía – en línea”, esta despliega toda la evaluación correspondiente a una </w:t>
      </w:r>
      <w:r w:rsidR="002D0F18">
        <w:rPr>
          <w:rFonts w:cs="Arial"/>
          <w:szCs w:val="22"/>
        </w:rPr>
        <w:t xml:space="preserve">encuesta de satisfacción por un </w:t>
      </w:r>
      <w:r>
        <w:rPr>
          <w:rFonts w:cs="Arial"/>
          <w:szCs w:val="22"/>
        </w:rPr>
        <w:t xml:space="preserve">servicio prestado. </w:t>
      </w:r>
      <w:r w:rsidR="002D0F18" w:rsidRPr="002D0F18">
        <w:rPr>
          <w:rFonts w:cs="Arial"/>
          <w:szCs w:val="22"/>
        </w:rPr>
        <w:t>Es importante que se tenga acceso a las encuestas si son diferentes o dejar solo una.</w:t>
      </w:r>
    </w:p>
    <w:p w14:paraId="0B3D1296" w14:textId="77777777" w:rsidR="00D15FF7" w:rsidRDefault="00D15FF7" w:rsidP="00D15FF7">
      <w:pPr>
        <w:pStyle w:val="Prrafodelista"/>
        <w:rPr>
          <w:rFonts w:cs="Arial"/>
          <w:szCs w:val="22"/>
        </w:rPr>
      </w:pPr>
    </w:p>
    <w:p w14:paraId="40FEB4F9" w14:textId="134E2959" w:rsidR="00D15FF7" w:rsidRDefault="00D15FF7" w:rsidP="00D15FF7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La Misión, la visión institucional y los objetivos estratégicos del numeral 3.1, se encuentran en tres textos sin títulos, lo qu</w:t>
      </w:r>
      <w:r w:rsidR="002D0F18">
        <w:rPr>
          <w:rFonts w:cs="Arial"/>
          <w:szCs w:val="22"/>
        </w:rPr>
        <w:t>e no permite identificar a qué</w:t>
      </w:r>
      <w:r>
        <w:rPr>
          <w:rFonts w:cs="Arial"/>
          <w:szCs w:val="22"/>
        </w:rPr>
        <w:t xml:space="preserve"> corresponde cada uno. Es necesario colocar el título al texto correspondiente. </w:t>
      </w:r>
    </w:p>
    <w:p w14:paraId="06717BF1" w14:textId="77777777" w:rsidR="00D15FF7" w:rsidRDefault="00D15FF7" w:rsidP="00D15FF7">
      <w:pPr>
        <w:pStyle w:val="Prrafodelista"/>
        <w:rPr>
          <w:rFonts w:cs="Arial"/>
          <w:szCs w:val="22"/>
        </w:rPr>
      </w:pPr>
    </w:p>
    <w:p w14:paraId="4AAC8AF7" w14:textId="77777777" w:rsidR="00D15FF7" w:rsidRDefault="00D15FF7" w:rsidP="00D15FF7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</w:rPr>
      </w:pPr>
      <w:r w:rsidRPr="007441DE">
        <w:rPr>
          <w:rFonts w:cs="Arial"/>
          <w:szCs w:val="22"/>
        </w:rPr>
        <w:t xml:space="preserve">El numeral 3.4 del organigrama </w:t>
      </w:r>
      <w:r>
        <w:rPr>
          <w:rFonts w:cs="Arial"/>
          <w:szCs w:val="22"/>
        </w:rPr>
        <w:t xml:space="preserve">cuenta </w:t>
      </w:r>
      <w:r w:rsidRPr="007441DE">
        <w:rPr>
          <w:rFonts w:cs="Arial"/>
          <w:szCs w:val="22"/>
        </w:rPr>
        <w:t xml:space="preserve">con una estructura gráfica de forma piramidal. Se encuentran los </w:t>
      </w:r>
      <w:r>
        <w:rPr>
          <w:rFonts w:cs="Arial"/>
          <w:szCs w:val="22"/>
        </w:rPr>
        <w:t xml:space="preserve">enlaces </w:t>
      </w:r>
      <w:r w:rsidRPr="007441DE">
        <w:rPr>
          <w:rFonts w:cs="Arial"/>
          <w:szCs w:val="22"/>
        </w:rPr>
        <w:t>de la estruc</w:t>
      </w:r>
      <w:r>
        <w:rPr>
          <w:rFonts w:cs="Arial"/>
          <w:szCs w:val="22"/>
        </w:rPr>
        <w:t xml:space="preserve">tura organizacional y funciones, </w:t>
      </w:r>
      <w:r w:rsidRPr="007441DE">
        <w:rPr>
          <w:rFonts w:cs="Arial"/>
          <w:szCs w:val="22"/>
        </w:rPr>
        <w:t>y la modifica</w:t>
      </w:r>
      <w:r>
        <w:rPr>
          <w:rFonts w:cs="Arial"/>
          <w:szCs w:val="22"/>
        </w:rPr>
        <w:t xml:space="preserve">ción de la planta de personal. </w:t>
      </w:r>
      <w:r w:rsidRPr="007441DE">
        <w:rPr>
          <w:rFonts w:cs="Arial"/>
          <w:szCs w:val="22"/>
        </w:rPr>
        <w:t xml:space="preserve">Al verificar en los anteriores </w:t>
      </w:r>
      <w:r>
        <w:rPr>
          <w:rFonts w:cs="Arial"/>
          <w:szCs w:val="22"/>
        </w:rPr>
        <w:t>enlaces, no permite evidenciar ya que sale error.</w:t>
      </w:r>
      <w:r w:rsidRPr="007441DE">
        <w:rPr>
          <w:rFonts w:cs="Arial"/>
          <w:szCs w:val="22"/>
        </w:rPr>
        <w:t xml:space="preserve"> Se sugiere la existencia de los diferentes enlaces, desde el organigrama, que muestren información de </w:t>
      </w:r>
      <w:r>
        <w:rPr>
          <w:rFonts w:cs="Arial"/>
          <w:szCs w:val="22"/>
        </w:rPr>
        <w:t>todas y cada una de las áreas, asesorías y Subdirecciones que componen la Entidad, como parte más funcional y práctica de consulta.</w:t>
      </w:r>
    </w:p>
    <w:p w14:paraId="585C0B55" w14:textId="77777777" w:rsidR="00D15FF7" w:rsidRDefault="00D15FF7" w:rsidP="00D15FF7">
      <w:pPr>
        <w:pStyle w:val="Prrafodelista"/>
        <w:rPr>
          <w:rFonts w:cs="Arial"/>
          <w:szCs w:val="22"/>
        </w:rPr>
      </w:pPr>
    </w:p>
    <w:p w14:paraId="5E2BA168" w14:textId="677961B6" w:rsidR="00D15FF7" w:rsidRDefault="00D15FF7" w:rsidP="00D15FF7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</w:rPr>
      </w:pPr>
      <w:r w:rsidRPr="00601A18">
        <w:rPr>
          <w:rFonts w:cs="Arial"/>
          <w:szCs w:val="22"/>
        </w:rPr>
        <w:t xml:space="preserve">El directorio de información de los servidores públicos y contratistas del numeral 3.5 registra dos bases de datos en </w:t>
      </w:r>
      <w:r w:rsidR="00D94AE4" w:rsidRPr="00601A18">
        <w:rPr>
          <w:rFonts w:cs="Arial"/>
          <w:szCs w:val="22"/>
        </w:rPr>
        <w:t>Excel</w:t>
      </w:r>
      <w:r>
        <w:rPr>
          <w:rFonts w:cs="Arial"/>
          <w:szCs w:val="22"/>
        </w:rPr>
        <w:t xml:space="preserve">: </w:t>
      </w:r>
      <w:r w:rsidRPr="00601A18">
        <w:rPr>
          <w:rFonts w:cs="Arial"/>
          <w:szCs w:val="22"/>
        </w:rPr>
        <w:t>la primera con el listado de funcionarios del Instituto, y la información que exige la norma. La segunda también</w:t>
      </w:r>
      <w:r>
        <w:rPr>
          <w:rFonts w:cs="Arial"/>
          <w:szCs w:val="22"/>
        </w:rPr>
        <w:t xml:space="preserve"> en formato </w:t>
      </w:r>
      <w:r w:rsidR="00D94AE4">
        <w:rPr>
          <w:rFonts w:cs="Arial"/>
          <w:szCs w:val="22"/>
        </w:rPr>
        <w:t>Excel</w:t>
      </w:r>
      <w:r w:rsidRPr="00601A18">
        <w:rPr>
          <w:rFonts w:cs="Arial"/>
          <w:szCs w:val="22"/>
        </w:rPr>
        <w:t xml:space="preserve"> con la misma información, pero se encuentra desactualizada, no se encuentran todos los contratistas de la vigencia 2020; no tiene el orden de apellido y nombre, la formación académica, el correo institucional, la extensión telefónica, las fechas de inicio y terminación no están dilig</w:t>
      </w:r>
      <w:r>
        <w:rPr>
          <w:rFonts w:cs="Arial"/>
          <w:szCs w:val="22"/>
        </w:rPr>
        <w:t>enciadas en todos los registros.</w:t>
      </w:r>
    </w:p>
    <w:p w14:paraId="4ADBF157" w14:textId="77777777" w:rsidR="00D15FF7" w:rsidRDefault="00D15FF7" w:rsidP="00D15FF7">
      <w:pPr>
        <w:pStyle w:val="Prrafodelista"/>
        <w:rPr>
          <w:rFonts w:cs="Arial"/>
          <w:szCs w:val="22"/>
        </w:rPr>
      </w:pPr>
    </w:p>
    <w:p w14:paraId="72C67949" w14:textId="77777777" w:rsidR="00D15FF7" w:rsidRDefault="00D15FF7" w:rsidP="00D15FF7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</w:rPr>
      </w:pPr>
      <w:r w:rsidRPr="009A03EE">
        <w:rPr>
          <w:rFonts w:cs="Arial"/>
          <w:szCs w:val="22"/>
        </w:rPr>
        <w:t>En el numeral 4.2 sobre normatividad de sujetos obligados</w:t>
      </w:r>
      <w:r>
        <w:rPr>
          <w:rFonts w:cs="Arial"/>
          <w:szCs w:val="22"/>
        </w:rPr>
        <w:t>,</w:t>
      </w:r>
      <w:r w:rsidRPr="009A03EE">
        <w:rPr>
          <w:rFonts w:cs="Arial"/>
          <w:szCs w:val="22"/>
        </w:rPr>
        <w:t xml:space="preserve"> se identifica un espacio para normas generales y reglamentarias que con tiene el registro de decretos, leyes y acuerdos desde la vigencia 2018 hacia atrás; se encuentra desactualizado ya que no se observa reglamentación de competencia del IDPC, o que le aplique, correspondientes a vigencias 2019 y 2020.</w:t>
      </w:r>
    </w:p>
    <w:p w14:paraId="4327C7D3" w14:textId="77777777" w:rsidR="00D15FF7" w:rsidRDefault="00D15FF7" w:rsidP="00D15FF7">
      <w:pPr>
        <w:pStyle w:val="Prrafodelista"/>
        <w:rPr>
          <w:rFonts w:cs="Arial"/>
          <w:szCs w:val="22"/>
        </w:rPr>
      </w:pPr>
    </w:p>
    <w:p w14:paraId="6829CF7A" w14:textId="77777777" w:rsidR="00D15FF7" w:rsidRDefault="00D15FF7" w:rsidP="00D15FF7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</w:rPr>
      </w:pPr>
      <w:r w:rsidRPr="004E6987">
        <w:rPr>
          <w:rFonts w:cs="Arial"/>
          <w:szCs w:val="22"/>
        </w:rPr>
        <w:t>En el numeral 5.2 de ejecución presupuestal aparece registrado la ejecución del presupuesto de rentas e ingresos mensual y de reservas presupuestales mensual, y de gastos e inversiones mensuales</w:t>
      </w:r>
      <w:r>
        <w:rPr>
          <w:rFonts w:cs="Arial"/>
          <w:szCs w:val="22"/>
        </w:rPr>
        <w:t xml:space="preserve"> de enero a julio de 2020</w:t>
      </w:r>
      <w:r w:rsidRPr="004E6987">
        <w:rPr>
          <w:rFonts w:cs="Arial"/>
          <w:szCs w:val="22"/>
        </w:rPr>
        <w:t>. Sin embargo no se observan los correspondientes al periodo de agosto a diciembre de 2020.</w:t>
      </w:r>
    </w:p>
    <w:p w14:paraId="270975C1" w14:textId="77777777" w:rsidR="00D15FF7" w:rsidRDefault="00D15FF7" w:rsidP="00D15FF7">
      <w:pPr>
        <w:pStyle w:val="Prrafodelista"/>
        <w:rPr>
          <w:rFonts w:cs="Arial"/>
          <w:szCs w:val="22"/>
        </w:rPr>
      </w:pPr>
    </w:p>
    <w:p w14:paraId="30F73F50" w14:textId="77777777" w:rsidR="00D15FF7" w:rsidRDefault="00D15FF7" w:rsidP="00D15FF7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</w:rPr>
      </w:pPr>
      <w:r w:rsidRPr="009D6DF8">
        <w:rPr>
          <w:rFonts w:cs="Arial"/>
          <w:szCs w:val="22"/>
        </w:rPr>
        <w:t>De las políticas lineamientos y manuales, correspondientes al numeral 6.1</w:t>
      </w:r>
      <w:r>
        <w:rPr>
          <w:rFonts w:cs="Arial"/>
          <w:szCs w:val="22"/>
        </w:rPr>
        <w:t xml:space="preserve"> en relación a l</w:t>
      </w:r>
      <w:r w:rsidRPr="009D6DF8">
        <w:rPr>
          <w:rFonts w:cs="Arial"/>
          <w:szCs w:val="22"/>
        </w:rPr>
        <w:t>as políticas</w:t>
      </w:r>
      <w:r>
        <w:rPr>
          <w:rFonts w:cs="Arial"/>
          <w:szCs w:val="22"/>
        </w:rPr>
        <w:t>, presenta la siguiente evaluación</w:t>
      </w:r>
      <w:r w:rsidRPr="009D6DF8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Política anti soborno, publicada; </w:t>
      </w:r>
      <w:r w:rsidRPr="009D6DF8">
        <w:rPr>
          <w:rFonts w:cs="Arial"/>
          <w:szCs w:val="22"/>
        </w:rPr>
        <w:t>Política conflicto de intereses</w:t>
      </w:r>
      <w:r>
        <w:rPr>
          <w:rFonts w:cs="Arial"/>
          <w:szCs w:val="22"/>
        </w:rPr>
        <w:t xml:space="preserve"> publicada</w:t>
      </w:r>
      <w:r w:rsidRPr="009D6DF8">
        <w:rPr>
          <w:rFonts w:cs="Arial"/>
          <w:szCs w:val="22"/>
        </w:rPr>
        <w:t>; Po</w:t>
      </w:r>
      <w:r>
        <w:rPr>
          <w:rFonts w:cs="Arial"/>
          <w:szCs w:val="22"/>
        </w:rPr>
        <w:t>lítica del SIG (Registra error)</w:t>
      </w:r>
      <w:r w:rsidRPr="009D6DF8">
        <w:rPr>
          <w:rFonts w:cs="Arial"/>
          <w:szCs w:val="22"/>
        </w:rPr>
        <w:t>; Política de comunicaciones</w:t>
      </w:r>
      <w:r>
        <w:rPr>
          <w:rFonts w:cs="Arial"/>
          <w:szCs w:val="22"/>
        </w:rPr>
        <w:t xml:space="preserve"> publicada</w:t>
      </w:r>
      <w:r w:rsidRPr="009D6DF8">
        <w:rPr>
          <w:rFonts w:cs="Arial"/>
          <w:szCs w:val="22"/>
        </w:rPr>
        <w:t>; Política de publicaciones (Registra error); Política Gestión del Talento Humano (Registra error); Política de Seguridad y Salud en el trabajo (Registra error). En total 7 políticas de las cuales 4 no fueron evidenciadas.  Se sugiere una organización de este link, ya que figuran Planes de Trabajo de Talento Humano y Plan de Participació</w:t>
      </w:r>
      <w:r>
        <w:rPr>
          <w:rFonts w:cs="Arial"/>
          <w:szCs w:val="22"/>
        </w:rPr>
        <w:t>n ciudadana, que no corresponden al título del numeral.</w:t>
      </w:r>
    </w:p>
    <w:p w14:paraId="18449D82" w14:textId="77777777" w:rsidR="00D15FF7" w:rsidRDefault="00D15FF7" w:rsidP="00D15FF7">
      <w:pPr>
        <w:pStyle w:val="Prrafodelista"/>
        <w:rPr>
          <w:rFonts w:cs="Arial"/>
          <w:szCs w:val="22"/>
        </w:rPr>
      </w:pPr>
    </w:p>
    <w:p w14:paraId="1B5B359B" w14:textId="77777777" w:rsidR="00D15FF7" w:rsidRDefault="00D15FF7" w:rsidP="00D15FF7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</w:rPr>
      </w:pPr>
      <w:r w:rsidRPr="004D17F7">
        <w:rPr>
          <w:rFonts w:cs="Arial"/>
          <w:szCs w:val="22"/>
        </w:rPr>
        <w:t xml:space="preserve">En relación a los manuales del numeral 6.1 se registran </w:t>
      </w:r>
      <w:r>
        <w:rPr>
          <w:rFonts w:cs="Arial"/>
          <w:szCs w:val="22"/>
        </w:rPr>
        <w:t>ocho (</w:t>
      </w:r>
      <w:r w:rsidRPr="004D17F7">
        <w:rPr>
          <w:rFonts w:cs="Arial"/>
          <w:szCs w:val="22"/>
        </w:rPr>
        <w:t>8</w:t>
      </w:r>
      <w:r>
        <w:rPr>
          <w:rFonts w:cs="Arial"/>
          <w:szCs w:val="22"/>
        </w:rPr>
        <w:t>)</w:t>
      </w:r>
      <w:r w:rsidRPr="004D17F7">
        <w:rPr>
          <w:rFonts w:cs="Arial"/>
          <w:szCs w:val="22"/>
        </w:rPr>
        <w:t xml:space="preserve"> manuales de los cuales</w:t>
      </w:r>
      <w:r>
        <w:rPr>
          <w:rFonts w:cs="Arial"/>
          <w:szCs w:val="22"/>
        </w:rPr>
        <w:t xml:space="preserve"> tres (</w:t>
      </w:r>
      <w:r w:rsidRPr="004D17F7">
        <w:rPr>
          <w:rFonts w:cs="Arial"/>
          <w:szCs w:val="22"/>
        </w:rPr>
        <w:t>3</w:t>
      </w:r>
      <w:r>
        <w:rPr>
          <w:rFonts w:cs="Arial"/>
          <w:szCs w:val="22"/>
        </w:rPr>
        <w:t>)</w:t>
      </w:r>
      <w:r w:rsidRPr="004D17F7">
        <w:rPr>
          <w:rFonts w:cs="Arial"/>
          <w:szCs w:val="22"/>
        </w:rPr>
        <w:t xml:space="preserve"> no fueron evidenciados</w:t>
      </w:r>
      <w:r>
        <w:rPr>
          <w:rFonts w:cs="Arial"/>
          <w:szCs w:val="22"/>
        </w:rPr>
        <w:t xml:space="preserve"> por error en la página</w:t>
      </w:r>
      <w:r w:rsidRPr="004D17F7">
        <w:rPr>
          <w:rFonts w:cs="Arial"/>
          <w:szCs w:val="22"/>
        </w:rPr>
        <w:t xml:space="preserve">. Adicionalmente y según el seguimiento anterior, continúan sin publicarse los siguientes manuales:  manual de Inducción y re inducción, manual de usuario – sistema de gestión documental Orfeo, manual lineamientos generales de la Gestión Documental, Manual de políticas Contables, Modelo de atención a la ciudadanía y grupos de interés, y  Manual Operativo,  Estatuto de Auditoría Interna y Código de Ética del auditor. </w:t>
      </w:r>
    </w:p>
    <w:p w14:paraId="152449B0" w14:textId="77777777" w:rsidR="00D15FF7" w:rsidRDefault="00D15FF7" w:rsidP="00D15FF7">
      <w:pPr>
        <w:pStyle w:val="Prrafodelista"/>
        <w:rPr>
          <w:rFonts w:cs="Arial"/>
          <w:szCs w:val="22"/>
        </w:rPr>
      </w:pPr>
    </w:p>
    <w:p w14:paraId="2C2B9844" w14:textId="3DEF23EF" w:rsidR="00D15FF7" w:rsidRDefault="00D15FF7" w:rsidP="00D94AE4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No se evidenc</w:t>
      </w:r>
      <w:r w:rsidR="00D94AE4">
        <w:rPr>
          <w:rFonts w:cs="Arial"/>
          <w:szCs w:val="22"/>
        </w:rPr>
        <w:t>ió la publicación del plan anti</w:t>
      </w:r>
      <w:r>
        <w:rPr>
          <w:rFonts w:cs="Arial"/>
          <w:szCs w:val="22"/>
        </w:rPr>
        <w:t>trámites del numeral 6.1</w:t>
      </w:r>
      <w:r w:rsidR="00D94AE4">
        <w:rPr>
          <w:rFonts w:cs="Arial"/>
          <w:szCs w:val="22"/>
        </w:rPr>
        <w:t xml:space="preserve">, </w:t>
      </w:r>
      <w:r w:rsidR="00D94AE4" w:rsidRPr="00D94AE4">
        <w:rPr>
          <w:rFonts w:cs="Arial"/>
          <w:szCs w:val="22"/>
        </w:rPr>
        <w:t>debido a que no se cuenta con uno definido.</w:t>
      </w:r>
    </w:p>
    <w:p w14:paraId="52DF6544" w14:textId="77777777" w:rsidR="00D15FF7" w:rsidRPr="00D94AE4" w:rsidRDefault="00D15FF7" w:rsidP="00D94AE4">
      <w:pPr>
        <w:rPr>
          <w:rFonts w:cs="Arial"/>
          <w:szCs w:val="22"/>
        </w:rPr>
      </w:pPr>
    </w:p>
    <w:p w14:paraId="5F3CB47F" w14:textId="28F8008B" w:rsidR="00D15FF7" w:rsidRDefault="00D15FF7" w:rsidP="00D15FF7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</w:rPr>
      </w:pPr>
      <w:r w:rsidRPr="009413F2">
        <w:rPr>
          <w:rFonts w:cs="Arial"/>
          <w:szCs w:val="22"/>
        </w:rPr>
        <w:t xml:space="preserve">En el numeral 6.4 Metas, objetivos e indicadores de gestión y desempeño, se identifica el reporte del PMR de forma mensual, con la descripción de los objetivos y proyectos. Están las vigencias del 2016 al 2020. </w:t>
      </w:r>
      <w:r>
        <w:rPr>
          <w:rFonts w:cs="Arial"/>
          <w:szCs w:val="22"/>
        </w:rPr>
        <w:t>No obstante</w:t>
      </w:r>
      <w:r w:rsidRPr="009413F2">
        <w:rPr>
          <w:rFonts w:cs="Arial"/>
          <w:szCs w:val="22"/>
        </w:rPr>
        <w:t xml:space="preserve"> solo están relacionados desde el mes de enero a abril de 2020. Faltan los </w:t>
      </w:r>
      <w:r>
        <w:rPr>
          <w:rFonts w:cs="Arial"/>
          <w:szCs w:val="22"/>
        </w:rPr>
        <w:t>r</w:t>
      </w:r>
      <w:r w:rsidRPr="009413F2">
        <w:rPr>
          <w:rFonts w:cs="Arial"/>
          <w:szCs w:val="22"/>
        </w:rPr>
        <w:t>estantes meses del año 2020. De igual forma se despliega el informe de logros institucionales del I trimestre 2020. Faltan los demás trimestres del año</w:t>
      </w:r>
      <w:r>
        <w:rPr>
          <w:rFonts w:cs="Arial"/>
          <w:szCs w:val="22"/>
        </w:rPr>
        <w:t xml:space="preserve"> 2020</w:t>
      </w:r>
      <w:r w:rsidR="00D94AE4">
        <w:rPr>
          <w:rFonts w:cs="Arial"/>
          <w:szCs w:val="22"/>
        </w:rPr>
        <w:t>.</w:t>
      </w:r>
      <w:r w:rsidRPr="009413F2">
        <w:rPr>
          <w:rFonts w:cs="Arial"/>
          <w:szCs w:val="22"/>
        </w:rPr>
        <w:t xml:space="preserve"> Finalmente registra los POA 2020 por cada una de las Subdirecciones y Oficinas Asesoras, con los reportes de los trimestres del año.</w:t>
      </w:r>
    </w:p>
    <w:p w14:paraId="36E56153" w14:textId="77777777" w:rsidR="00D15FF7" w:rsidRDefault="00D15FF7" w:rsidP="00D15FF7">
      <w:pPr>
        <w:pStyle w:val="Prrafodelista"/>
        <w:rPr>
          <w:rFonts w:cs="Arial"/>
          <w:szCs w:val="22"/>
        </w:rPr>
      </w:pPr>
    </w:p>
    <w:p w14:paraId="18D38A4A" w14:textId="77777777" w:rsidR="00D15FF7" w:rsidRDefault="00D15FF7" w:rsidP="00D15FF7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</w:rPr>
      </w:pPr>
      <w:r w:rsidRPr="00504093">
        <w:rPr>
          <w:rFonts w:cs="Arial"/>
          <w:szCs w:val="22"/>
        </w:rPr>
        <w:t xml:space="preserve">La información para la población vulnerable del numeral 7.5 </w:t>
      </w:r>
      <w:r>
        <w:rPr>
          <w:rFonts w:cs="Arial"/>
          <w:szCs w:val="22"/>
        </w:rPr>
        <w:t>s</w:t>
      </w:r>
      <w:r w:rsidRPr="00504093">
        <w:rPr>
          <w:rFonts w:cs="Arial"/>
          <w:szCs w:val="22"/>
        </w:rPr>
        <w:t xml:space="preserve">e observa el despliegue del decreto de la Política Publica de Servicio a la Ciudadanía. A reglón seguido figura el </w:t>
      </w:r>
      <w:r>
        <w:rPr>
          <w:rFonts w:cs="Arial"/>
          <w:szCs w:val="22"/>
        </w:rPr>
        <w:t>enlace</w:t>
      </w:r>
      <w:r w:rsidRPr="00504093">
        <w:rPr>
          <w:rFonts w:cs="Arial"/>
          <w:szCs w:val="22"/>
        </w:rPr>
        <w:t xml:space="preserve"> del programa distrital de estímulos, grupos étnicos, </w:t>
      </w:r>
      <w:r>
        <w:rPr>
          <w:rFonts w:cs="Arial"/>
          <w:szCs w:val="22"/>
        </w:rPr>
        <w:t xml:space="preserve">en este </w:t>
      </w:r>
      <w:r w:rsidRPr="00504093">
        <w:rPr>
          <w:rFonts w:cs="Arial"/>
          <w:szCs w:val="22"/>
        </w:rPr>
        <w:t>figura error, no se puede evidenciar.  El último link corresponde al programa Distrital de Estímulos, mujeres víctimas del conflicto; de igual forma no se puede evidenciar figura error</w:t>
      </w:r>
      <w:r>
        <w:rPr>
          <w:rFonts w:cs="Arial"/>
          <w:szCs w:val="22"/>
        </w:rPr>
        <w:t>.</w:t>
      </w:r>
    </w:p>
    <w:p w14:paraId="066D0A42" w14:textId="77777777" w:rsidR="00D15FF7" w:rsidRDefault="00D15FF7" w:rsidP="00D15FF7">
      <w:pPr>
        <w:pStyle w:val="Prrafodelista"/>
        <w:rPr>
          <w:rFonts w:cs="Arial"/>
          <w:szCs w:val="22"/>
        </w:rPr>
      </w:pPr>
    </w:p>
    <w:p w14:paraId="202F437F" w14:textId="77777777" w:rsidR="00D15FF7" w:rsidRDefault="00D15FF7" w:rsidP="00D15FF7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</w:rPr>
      </w:pPr>
      <w:r w:rsidRPr="00D87D6D">
        <w:rPr>
          <w:rFonts w:cs="Arial"/>
          <w:szCs w:val="22"/>
        </w:rPr>
        <w:t xml:space="preserve">Sobre la defensa judicial del numeral 7.6 </w:t>
      </w:r>
      <w:r>
        <w:rPr>
          <w:rFonts w:cs="Arial"/>
          <w:szCs w:val="22"/>
        </w:rPr>
        <w:t>e</w:t>
      </w:r>
      <w:r w:rsidRPr="00D87D6D">
        <w:rPr>
          <w:rFonts w:cs="Arial"/>
          <w:szCs w:val="22"/>
        </w:rPr>
        <w:t>stán registrados para la vigencia 2020 los informes de defensa judicial, I, II y III trimestre; falta el correspondiente al IV trimestre de 2020.  En estos se identifican el número de demandas, la clase de acción, proceso, pretensiones, estado y riesgo de pérdida, en concordancia con lo exigido por la normatividad. De igual forma están los correspondientes a las vigencias 2017 a 2019.</w:t>
      </w:r>
    </w:p>
    <w:p w14:paraId="503D177B" w14:textId="77777777" w:rsidR="00D15FF7" w:rsidRDefault="00D15FF7" w:rsidP="00D15FF7">
      <w:pPr>
        <w:pStyle w:val="Prrafodelista"/>
        <w:rPr>
          <w:rFonts w:cs="Arial"/>
          <w:szCs w:val="22"/>
        </w:rPr>
      </w:pPr>
    </w:p>
    <w:p w14:paraId="52BABA4D" w14:textId="77777777" w:rsidR="00D15FF7" w:rsidRDefault="00D15FF7" w:rsidP="00D15FF7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</w:rPr>
      </w:pPr>
      <w:r w:rsidRPr="005C3C2A">
        <w:rPr>
          <w:rFonts w:cs="Arial"/>
          <w:szCs w:val="22"/>
        </w:rPr>
        <w:t>El numeral 8.3 publicación de procedimientos, lineamientos y políticas en materia de adquisición y compras</w:t>
      </w:r>
      <w:r>
        <w:rPr>
          <w:rFonts w:cs="Arial"/>
          <w:szCs w:val="22"/>
        </w:rPr>
        <w:t>, s</w:t>
      </w:r>
      <w:r w:rsidRPr="005C3C2A">
        <w:rPr>
          <w:rFonts w:cs="Arial"/>
          <w:szCs w:val="22"/>
        </w:rPr>
        <w:t>e ob</w:t>
      </w:r>
      <w:r>
        <w:rPr>
          <w:rFonts w:cs="Arial"/>
          <w:szCs w:val="22"/>
        </w:rPr>
        <w:t>serva el despliegue del numeral, la</w:t>
      </w:r>
      <w:r w:rsidRPr="005C3C2A">
        <w:rPr>
          <w:rFonts w:cs="Arial"/>
          <w:szCs w:val="22"/>
        </w:rPr>
        <w:t xml:space="preserve"> publicación de procedimientos, lineamientos y políticas, pero no hay título</w:t>
      </w:r>
      <w:r>
        <w:rPr>
          <w:rFonts w:cs="Arial"/>
          <w:szCs w:val="22"/>
        </w:rPr>
        <w:t xml:space="preserve"> </w:t>
      </w:r>
      <w:r w:rsidRPr="005C3C2A">
        <w:rPr>
          <w:rFonts w:cs="Arial"/>
          <w:szCs w:val="22"/>
        </w:rPr>
        <w:t>que identifique el ingreso a est</w:t>
      </w:r>
      <w:r>
        <w:rPr>
          <w:rFonts w:cs="Arial"/>
          <w:szCs w:val="22"/>
        </w:rPr>
        <w:t>e pantallazo. El manual de supervisión e interventoría no se encuentra publicado.</w:t>
      </w:r>
    </w:p>
    <w:p w14:paraId="6089F609" w14:textId="77777777" w:rsidR="00D15FF7" w:rsidRDefault="00D15FF7" w:rsidP="00D15FF7">
      <w:pPr>
        <w:pStyle w:val="Prrafodelista"/>
        <w:rPr>
          <w:rFonts w:cs="Arial"/>
          <w:szCs w:val="22"/>
        </w:rPr>
      </w:pPr>
    </w:p>
    <w:p w14:paraId="27B09DD9" w14:textId="77777777" w:rsidR="00D15FF7" w:rsidRDefault="00D15FF7" w:rsidP="00D15FF7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En l</w:t>
      </w:r>
      <w:r w:rsidRPr="00187561">
        <w:rPr>
          <w:rFonts w:cs="Arial"/>
          <w:szCs w:val="22"/>
        </w:rPr>
        <w:t xml:space="preserve">os trámites y servicios relacionados en el numeral 9.1 </w:t>
      </w:r>
      <w:r>
        <w:rPr>
          <w:rFonts w:cs="Arial"/>
          <w:szCs w:val="22"/>
        </w:rPr>
        <w:t>figura</w:t>
      </w:r>
      <w:r w:rsidRPr="00187561">
        <w:rPr>
          <w:rFonts w:cs="Arial"/>
          <w:szCs w:val="22"/>
        </w:rPr>
        <w:t xml:space="preserve">n 6 opciones, de las cuales al revisar no contienen la norma que los sustenta, no hay protocolo de atención de conformidad con las exigencias normativas. Si contienen los formatos y formularios respectivos, e indican que no tienen ningún costo.  </w:t>
      </w:r>
    </w:p>
    <w:p w14:paraId="3DA45ADC" w14:textId="77777777" w:rsidR="00D15FF7" w:rsidRDefault="00D15FF7" w:rsidP="00D15FF7">
      <w:pPr>
        <w:pStyle w:val="Prrafodelista"/>
        <w:rPr>
          <w:rFonts w:cs="Arial"/>
          <w:szCs w:val="22"/>
        </w:rPr>
      </w:pPr>
    </w:p>
    <w:p w14:paraId="653E7945" w14:textId="1AA6BF86" w:rsidR="00D15FF7" w:rsidRDefault="00D15FF7" w:rsidP="00D15FF7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</w:rPr>
      </w:pPr>
      <w:r w:rsidRPr="00187561">
        <w:rPr>
          <w:rFonts w:cs="Arial"/>
          <w:szCs w:val="22"/>
        </w:rPr>
        <w:t xml:space="preserve">El registro de activos de la información del numeral 10.2 </w:t>
      </w:r>
      <w:r>
        <w:rPr>
          <w:rFonts w:cs="Arial"/>
          <w:szCs w:val="22"/>
        </w:rPr>
        <w:t>están en formato</w:t>
      </w:r>
      <w:r w:rsidRPr="00187561">
        <w:rPr>
          <w:rFonts w:cs="Arial"/>
          <w:szCs w:val="22"/>
        </w:rPr>
        <w:t xml:space="preserve"> </w:t>
      </w:r>
      <w:r w:rsidR="00D94AE4" w:rsidRPr="00187561">
        <w:rPr>
          <w:rFonts w:cs="Arial"/>
          <w:szCs w:val="22"/>
        </w:rPr>
        <w:t>Excel</w:t>
      </w:r>
      <w:r>
        <w:rPr>
          <w:rFonts w:cs="Arial"/>
          <w:szCs w:val="22"/>
        </w:rPr>
        <w:t xml:space="preserve"> y </w:t>
      </w:r>
      <w:r w:rsidRPr="00187561">
        <w:rPr>
          <w:rFonts w:cs="Arial"/>
          <w:szCs w:val="22"/>
        </w:rPr>
        <w:t>corresponden</w:t>
      </w:r>
      <w:r>
        <w:rPr>
          <w:rFonts w:cs="Arial"/>
          <w:szCs w:val="22"/>
        </w:rPr>
        <w:t xml:space="preserve"> al periodo 2020-2021; </w:t>
      </w:r>
      <w:r w:rsidRPr="00187561">
        <w:rPr>
          <w:rFonts w:cs="Arial"/>
          <w:szCs w:val="22"/>
        </w:rPr>
        <w:t xml:space="preserve">contienen la serie, subserie, nombre serie subserie, descripción de la información, idioma, medio de conservación, formato, información publicada o disponible, fecha de generación de la información y nombre del responsable </w:t>
      </w:r>
      <w:r>
        <w:rPr>
          <w:rFonts w:cs="Arial"/>
          <w:szCs w:val="22"/>
        </w:rPr>
        <w:t xml:space="preserve">de la información. Todo lo anterior en cumplimiento a la normatividad relacionada.  </w:t>
      </w:r>
      <w:r w:rsidRPr="00187561">
        <w:rPr>
          <w:rFonts w:cs="Arial"/>
          <w:szCs w:val="22"/>
        </w:rPr>
        <w:t>Se sugiere ajustar su contenido, ya que están registrados los enlaces de las oficinas asesoras y subdirecciones del Instituto, pero</w:t>
      </w:r>
      <w:r>
        <w:rPr>
          <w:rFonts w:cs="Arial"/>
          <w:szCs w:val="22"/>
        </w:rPr>
        <w:t xml:space="preserve"> al ingresar </w:t>
      </w:r>
      <w:r w:rsidRPr="00187561">
        <w:rPr>
          <w:rFonts w:cs="Arial"/>
          <w:szCs w:val="22"/>
        </w:rPr>
        <w:t xml:space="preserve"> no registra contenido alguno; además en el archivo </w:t>
      </w:r>
      <w:r w:rsidR="00D94AE4" w:rsidRPr="00187561">
        <w:rPr>
          <w:rFonts w:cs="Arial"/>
          <w:szCs w:val="22"/>
        </w:rPr>
        <w:t>Excel</w:t>
      </w:r>
      <w:r w:rsidRPr="00187561">
        <w:rPr>
          <w:rFonts w:cs="Arial"/>
          <w:szCs w:val="22"/>
        </w:rPr>
        <w:t xml:space="preserve"> se identifica todas las áreas de la </w:t>
      </w:r>
      <w:r w:rsidRPr="00187561">
        <w:rPr>
          <w:rFonts w:cs="Arial"/>
          <w:szCs w:val="22"/>
        </w:rPr>
        <w:lastRenderedPageBreak/>
        <w:t>Entidad, responsables de los activos de la información; es decir estos últimos enlaces sobran.</w:t>
      </w:r>
    </w:p>
    <w:p w14:paraId="28BF339E" w14:textId="77777777" w:rsidR="00D15FF7" w:rsidRDefault="00D15FF7" w:rsidP="00D15FF7">
      <w:pPr>
        <w:pStyle w:val="Prrafodelista"/>
        <w:rPr>
          <w:rFonts w:cs="Arial"/>
          <w:szCs w:val="22"/>
        </w:rPr>
      </w:pPr>
    </w:p>
    <w:p w14:paraId="0A0E25EA" w14:textId="4EFD2BAC" w:rsidR="00D94AE4" w:rsidRDefault="00D94AE4" w:rsidP="00D94AE4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En el numeral 10.5 s</w:t>
      </w:r>
      <w:r w:rsidRPr="00D94AE4">
        <w:rPr>
          <w:rFonts w:cs="Arial"/>
          <w:szCs w:val="22"/>
        </w:rPr>
        <w:t xml:space="preserve">e encuentra publicado el programa de gestión documental  versión 4 del  23/12/2020 tiene por objeto formular, documentar y ejecutar a corto, mediano y largo plazo el desarrollo sistemático de los procesos archivísticos encaminados a la planificación, procesamiento, manejo y organización de la documentación producida y recibida por la entidad. Como documento de </w:t>
      </w:r>
      <w:r w:rsidR="00EE7CFB">
        <w:rPr>
          <w:rFonts w:cs="Arial"/>
          <w:szCs w:val="22"/>
        </w:rPr>
        <w:t>adopción está publicada el acta</w:t>
      </w:r>
      <w:r w:rsidRPr="00D94AE4">
        <w:rPr>
          <w:rFonts w:cs="Arial"/>
          <w:szCs w:val="22"/>
        </w:rPr>
        <w:t xml:space="preserve"> del Comité del SIG del 01/10/2018, el cual no corresponde al vigente.</w:t>
      </w:r>
    </w:p>
    <w:p w14:paraId="5BD13841" w14:textId="77777777" w:rsidR="00D94AE4" w:rsidRDefault="00D94AE4" w:rsidP="00D94AE4">
      <w:pPr>
        <w:pStyle w:val="Prrafodelista"/>
        <w:rPr>
          <w:rFonts w:cs="Arial"/>
          <w:szCs w:val="22"/>
        </w:rPr>
      </w:pPr>
    </w:p>
    <w:p w14:paraId="4A2C0F49" w14:textId="38D64F36" w:rsidR="00D15FF7" w:rsidRPr="00E96503" w:rsidRDefault="00D15FF7" w:rsidP="00D15FF7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Se identifica la publicación de l</w:t>
      </w:r>
      <w:r w:rsidRPr="00E96503">
        <w:rPr>
          <w:rFonts w:cs="Arial"/>
          <w:szCs w:val="22"/>
        </w:rPr>
        <w:t>as tablas de retención documental, registradas en el numeral 10.6, por cada una de las áreas del Instituto, desde la Dirección Gen</w:t>
      </w:r>
      <w:r w:rsidR="00EE7CFB">
        <w:rPr>
          <w:rFonts w:cs="Arial"/>
          <w:szCs w:val="22"/>
        </w:rPr>
        <w:t xml:space="preserve">eral hasta cada Subdirección. </w:t>
      </w:r>
      <w:r w:rsidRPr="00E96503">
        <w:rPr>
          <w:rFonts w:cs="Arial"/>
          <w:szCs w:val="22"/>
        </w:rPr>
        <w:t>Sin embargo no se puede evidenciar su contenido, ya que</w:t>
      </w:r>
      <w:r w:rsidR="00EE7CFB">
        <w:rPr>
          <w:rFonts w:cs="Arial"/>
          <w:szCs w:val="22"/>
        </w:rPr>
        <w:t xml:space="preserve"> en todos</w:t>
      </w:r>
      <w:r w:rsidRPr="00E96503">
        <w:rPr>
          <w:rFonts w:cs="Arial"/>
          <w:szCs w:val="22"/>
        </w:rPr>
        <w:t xml:space="preserve"> registra</w:t>
      </w:r>
      <w:r w:rsidR="00EE7CFB">
        <w:rPr>
          <w:rFonts w:cs="Arial"/>
          <w:szCs w:val="22"/>
        </w:rPr>
        <w:t xml:space="preserve"> error</w:t>
      </w:r>
      <w:r>
        <w:rPr>
          <w:rFonts w:cs="Arial"/>
          <w:szCs w:val="22"/>
        </w:rPr>
        <w:t xml:space="preserve">, y no permite ingresar. </w:t>
      </w:r>
    </w:p>
    <w:p w14:paraId="17534A06" w14:textId="77777777" w:rsidR="00D15FF7" w:rsidRDefault="00D15FF7" w:rsidP="00D15FF7">
      <w:pPr>
        <w:pStyle w:val="Prrafodelista"/>
        <w:rPr>
          <w:rFonts w:cs="Arial"/>
          <w:szCs w:val="22"/>
        </w:rPr>
      </w:pPr>
    </w:p>
    <w:p w14:paraId="714B8E3C" w14:textId="6D71BC08" w:rsidR="00D15FF7" w:rsidRDefault="00D15FF7" w:rsidP="00D15FF7">
      <w:pPr>
        <w:numPr>
          <w:ilvl w:val="0"/>
          <w:numId w:val="11"/>
        </w:numPr>
        <w:overflowPunct w:val="0"/>
        <w:autoSpaceDE w:val="0"/>
        <w:autoSpaceDN w:val="0"/>
        <w:adjustRightInd w:val="0"/>
        <w:ind w:left="426"/>
        <w:jc w:val="both"/>
        <w:textAlignment w:val="baseline"/>
        <w:rPr>
          <w:rFonts w:cs="Arial"/>
          <w:szCs w:val="22"/>
        </w:rPr>
      </w:pPr>
      <w:r w:rsidRPr="00187561">
        <w:rPr>
          <w:rFonts w:cs="Arial"/>
          <w:szCs w:val="22"/>
        </w:rPr>
        <w:t xml:space="preserve"> </w:t>
      </w:r>
      <w:r w:rsidR="00D94AE4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l registro de publicaciones </w:t>
      </w:r>
      <w:r w:rsidR="00D94AE4">
        <w:rPr>
          <w:rFonts w:cs="Arial"/>
          <w:szCs w:val="22"/>
        </w:rPr>
        <w:t>se encuentra en el numeral 10.12 de la página Web, sin embargo,</w:t>
      </w:r>
      <w:r>
        <w:rPr>
          <w:rFonts w:cs="Arial"/>
          <w:szCs w:val="22"/>
        </w:rPr>
        <w:t xml:space="preserve"> no se pudo evidenciar su contenido, ya</w:t>
      </w:r>
      <w:r w:rsidR="00D94AE4">
        <w:rPr>
          <w:rFonts w:cs="Arial"/>
          <w:szCs w:val="22"/>
        </w:rPr>
        <w:t xml:space="preserve"> que registra error en el micro</w:t>
      </w:r>
      <w:r>
        <w:rPr>
          <w:rFonts w:cs="Arial"/>
          <w:szCs w:val="22"/>
        </w:rPr>
        <w:t>sitio.</w:t>
      </w:r>
    </w:p>
    <w:p w14:paraId="73202A0B" w14:textId="33F9CCED" w:rsidR="007E187A" w:rsidRPr="00D15FF7" w:rsidRDefault="007E187A" w:rsidP="00D15FF7">
      <w:pPr>
        <w:rPr>
          <w:rFonts w:cs="Arial"/>
          <w:b/>
        </w:rPr>
      </w:pPr>
    </w:p>
    <w:p w14:paraId="11376D5A" w14:textId="77777777" w:rsidR="007E187A" w:rsidRPr="007E187A" w:rsidRDefault="007E187A" w:rsidP="007E187A">
      <w:pPr>
        <w:pStyle w:val="Prrafodelista"/>
        <w:rPr>
          <w:rFonts w:cs="Arial"/>
          <w:b/>
        </w:rPr>
      </w:pPr>
    </w:p>
    <w:p w14:paraId="53F88F30" w14:textId="77777777" w:rsidR="007E187A" w:rsidRPr="007E187A" w:rsidRDefault="007E187A" w:rsidP="007E187A">
      <w:pPr>
        <w:pStyle w:val="Prrafodelista"/>
        <w:numPr>
          <w:ilvl w:val="0"/>
          <w:numId w:val="8"/>
        </w:numPr>
        <w:jc w:val="center"/>
        <w:rPr>
          <w:rFonts w:cs="Arial"/>
          <w:b/>
        </w:rPr>
      </w:pPr>
      <w:r w:rsidRPr="007E187A">
        <w:rPr>
          <w:rFonts w:cs="Arial"/>
          <w:b/>
        </w:rPr>
        <w:t>NO CONFORMIDADES DETECTADAS</w:t>
      </w:r>
    </w:p>
    <w:p w14:paraId="30F28651" w14:textId="46CE229F" w:rsidR="007E187A" w:rsidRDefault="007E187A" w:rsidP="007E187A">
      <w:pPr>
        <w:pStyle w:val="Prrafodelista"/>
        <w:rPr>
          <w:rFonts w:cs="Arial"/>
          <w:b/>
        </w:rPr>
      </w:pPr>
    </w:p>
    <w:p w14:paraId="788D1DB1" w14:textId="77777777" w:rsidR="00D15FF7" w:rsidRPr="00C148DC" w:rsidRDefault="00D15FF7" w:rsidP="00D15FF7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b/>
          <w:szCs w:val="22"/>
        </w:rPr>
      </w:pPr>
      <w:r w:rsidRPr="00C148DC">
        <w:rPr>
          <w:rFonts w:cs="Arial"/>
          <w:szCs w:val="22"/>
        </w:rPr>
        <w:t>No se evidenciaron no conformidades en la presente evaluación</w:t>
      </w:r>
      <w:r>
        <w:rPr>
          <w:rFonts w:cs="Arial"/>
          <w:szCs w:val="22"/>
        </w:rPr>
        <w:t>.</w:t>
      </w:r>
    </w:p>
    <w:p w14:paraId="6D12F9F6" w14:textId="0C0C4828" w:rsidR="007E187A" w:rsidRPr="00D15FF7" w:rsidRDefault="007E187A" w:rsidP="00D15FF7">
      <w:pPr>
        <w:rPr>
          <w:rFonts w:cs="Arial"/>
          <w:b/>
        </w:rPr>
      </w:pPr>
    </w:p>
    <w:p w14:paraId="4E38EEB0" w14:textId="7929ACB4" w:rsidR="007E187A" w:rsidRDefault="007E187A" w:rsidP="007E187A">
      <w:pPr>
        <w:pStyle w:val="Prrafodelista"/>
        <w:rPr>
          <w:rFonts w:cs="Arial"/>
          <w:b/>
        </w:rPr>
      </w:pPr>
    </w:p>
    <w:p w14:paraId="631792E0" w14:textId="77777777" w:rsidR="007E187A" w:rsidRPr="007E187A" w:rsidRDefault="007E187A" w:rsidP="007E187A">
      <w:pPr>
        <w:pStyle w:val="Prrafodelista"/>
        <w:numPr>
          <w:ilvl w:val="0"/>
          <w:numId w:val="8"/>
        </w:numPr>
        <w:jc w:val="center"/>
        <w:rPr>
          <w:rFonts w:cs="Arial"/>
          <w:b/>
        </w:rPr>
      </w:pPr>
      <w:r w:rsidRPr="007E187A">
        <w:rPr>
          <w:rFonts w:cs="Arial"/>
          <w:b/>
        </w:rPr>
        <w:t>CONCLUSIÓN GENERAL</w:t>
      </w:r>
    </w:p>
    <w:p w14:paraId="1A6A7B79" w14:textId="77777777" w:rsidR="007E187A" w:rsidRPr="007E187A" w:rsidRDefault="007E187A" w:rsidP="007E187A">
      <w:pPr>
        <w:pStyle w:val="Prrafodelista"/>
        <w:rPr>
          <w:rFonts w:cs="Arial"/>
          <w:b/>
        </w:rPr>
      </w:pPr>
    </w:p>
    <w:p w14:paraId="2DE98673" w14:textId="3375761A" w:rsidR="00D15FF7" w:rsidRPr="00E01CBB" w:rsidRDefault="00D15FF7" w:rsidP="00D15FF7">
      <w:pPr>
        <w:jc w:val="both"/>
        <w:rPr>
          <w:rFonts w:cs="Arial"/>
          <w:szCs w:val="22"/>
        </w:rPr>
      </w:pPr>
      <w:r w:rsidRPr="00E01CBB">
        <w:rPr>
          <w:rFonts w:cs="Arial"/>
          <w:szCs w:val="22"/>
        </w:rPr>
        <w:t xml:space="preserve">En el presente ejercicio de verificación de cumplimiento de publicación y </w:t>
      </w:r>
      <w:r>
        <w:rPr>
          <w:rFonts w:cs="Arial"/>
          <w:szCs w:val="22"/>
        </w:rPr>
        <w:t>actualización de la información pública, se observa que la Entidad cumple</w:t>
      </w:r>
      <w:r w:rsidR="00D94AE4">
        <w:rPr>
          <w:rFonts w:cs="Arial"/>
          <w:szCs w:val="22"/>
        </w:rPr>
        <w:t xml:space="preserve"> en la mayoría de los casos,</w:t>
      </w:r>
      <w:r>
        <w:rPr>
          <w:rFonts w:cs="Arial"/>
          <w:szCs w:val="22"/>
        </w:rPr>
        <w:t xml:space="preserve"> con los criterios mínimos establecidos, cuenta con un micrositio de transparencia y acceso a la información en su página web institucional, con los numerales y títulos respectivos sobre la información y con los enlaces que evidencian su publicación. Sin embargo se identificó de forma puntual y específica, desactualización de la información, información incompleta, información no publicada</w:t>
      </w:r>
      <w:r w:rsidR="00D94AE4">
        <w:rPr>
          <w:rFonts w:cs="Arial"/>
          <w:szCs w:val="22"/>
        </w:rPr>
        <w:t xml:space="preserve"> y generación de errores en el acceso</w:t>
      </w:r>
      <w:r>
        <w:rPr>
          <w:rFonts w:cs="Arial"/>
          <w:szCs w:val="22"/>
        </w:rPr>
        <w:t xml:space="preserve">, que sugiere ajustes y cambios para que el Instituto cumpla con la normatividad relacionada. </w:t>
      </w:r>
    </w:p>
    <w:p w14:paraId="020F95E5" w14:textId="77777777" w:rsidR="007E187A" w:rsidRPr="00D15FF7" w:rsidRDefault="007E187A" w:rsidP="00D15FF7">
      <w:pPr>
        <w:rPr>
          <w:rFonts w:cs="Arial"/>
          <w:b/>
        </w:rPr>
      </w:pPr>
    </w:p>
    <w:p w14:paraId="2AF629DD" w14:textId="77777777" w:rsidR="007E187A" w:rsidRPr="007E187A" w:rsidRDefault="007E187A" w:rsidP="007E187A">
      <w:pPr>
        <w:pStyle w:val="Prrafodelista"/>
        <w:rPr>
          <w:rFonts w:cs="Arial"/>
          <w:b/>
        </w:rPr>
      </w:pPr>
    </w:p>
    <w:p w14:paraId="40B0DB8E" w14:textId="77777777" w:rsidR="007E187A" w:rsidRPr="007E187A" w:rsidRDefault="007E187A" w:rsidP="007E187A">
      <w:pPr>
        <w:pStyle w:val="Prrafodelista"/>
        <w:numPr>
          <w:ilvl w:val="0"/>
          <w:numId w:val="8"/>
        </w:numPr>
        <w:jc w:val="center"/>
        <w:rPr>
          <w:rFonts w:cs="Arial"/>
          <w:b/>
        </w:rPr>
      </w:pPr>
      <w:r w:rsidRPr="007E187A">
        <w:rPr>
          <w:rFonts w:cs="Arial"/>
          <w:b/>
        </w:rPr>
        <w:t>RECOMENDACIONES</w:t>
      </w:r>
    </w:p>
    <w:p w14:paraId="5BE3A004" w14:textId="77777777" w:rsidR="007E187A" w:rsidRPr="007E187A" w:rsidRDefault="007E187A" w:rsidP="007E187A">
      <w:pPr>
        <w:jc w:val="both"/>
        <w:rPr>
          <w:rFonts w:cs="Arial"/>
          <w:b/>
        </w:rPr>
      </w:pPr>
    </w:p>
    <w:p w14:paraId="34B86512" w14:textId="23769B2D" w:rsidR="00D15FF7" w:rsidRDefault="00D15FF7" w:rsidP="00D15FF7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  <w:r w:rsidRPr="00266028">
        <w:rPr>
          <w:rFonts w:cs="Arial"/>
          <w:szCs w:val="22"/>
        </w:rPr>
        <w:t>Insistir nuevamente en cumplir las sugerencias y recomendaciones dadas desde la Asesoría de Control Interno, para que la información sea actualizada y publicada</w:t>
      </w:r>
      <w:r>
        <w:rPr>
          <w:rFonts w:cs="Arial"/>
          <w:szCs w:val="22"/>
        </w:rPr>
        <w:t xml:space="preserve"> y que el IDPC cumpla con lo exigido en la legislación sobre el tema, </w:t>
      </w:r>
      <w:r w:rsidRPr="00266028">
        <w:rPr>
          <w:rFonts w:cs="Arial"/>
          <w:szCs w:val="22"/>
        </w:rPr>
        <w:t>ya</w:t>
      </w:r>
      <w:r>
        <w:rPr>
          <w:rFonts w:cs="Arial"/>
          <w:szCs w:val="22"/>
        </w:rPr>
        <w:t xml:space="preserve"> que se identifican repetitivas recomendaciones en</w:t>
      </w:r>
      <w:r w:rsidRPr="00266028">
        <w:rPr>
          <w:rFonts w:cs="Arial"/>
          <w:szCs w:val="22"/>
        </w:rPr>
        <w:t xml:space="preserve"> anteriores informes</w:t>
      </w:r>
      <w:r>
        <w:rPr>
          <w:rFonts w:cs="Arial"/>
          <w:szCs w:val="22"/>
        </w:rPr>
        <w:t xml:space="preserve">, que no son acatadas ni cumplidas. </w:t>
      </w:r>
    </w:p>
    <w:p w14:paraId="210A3AAF" w14:textId="77777777" w:rsidR="00D15FF7" w:rsidRDefault="00D15FF7" w:rsidP="00D15FF7">
      <w:pPr>
        <w:ind w:left="360"/>
        <w:jc w:val="both"/>
        <w:rPr>
          <w:rFonts w:cs="Arial"/>
          <w:szCs w:val="22"/>
        </w:rPr>
      </w:pPr>
    </w:p>
    <w:p w14:paraId="207A0891" w14:textId="77777777" w:rsidR="00D15FF7" w:rsidRPr="00FE0112" w:rsidRDefault="00D15FF7" w:rsidP="00D15FF7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  <w:r w:rsidRPr="00FE0112">
        <w:rPr>
          <w:rFonts w:cs="Arial"/>
          <w:szCs w:val="22"/>
        </w:rPr>
        <w:t>Atender las sugerencias sobre actualización de la información por parte de los responsables en las diferentes áreas de la Entidad, para que su publicación sea de forma inmediata</w:t>
      </w:r>
      <w:r>
        <w:rPr>
          <w:rFonts w:cs="Arial"/>
          <w:szCs w:val="22"/>
        </w:rPr>
        <w:t>, y poder</w:t>
      </w:r>
      <w:r w:rsidRPr="00FE0112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v</w:t>
      </w:r>
      <w:r w:rsidRPr="00FE0112">
        <w:rPr>
          <w:rFonts w:cs="Arial"/>
          <w:szCs w:val="22"/>
        </w:rPr>
        <w:t xml:space="preserve">erificar su actualización. </w:t>
      </w:r>
    </w:p>
    <w:p w14:paraId="04A776F9" w14:textId="77777777" w:rsidR="00D15FF7" w:rsidRDefault="00D15FF7" w:rsidP="00D15FF7">
      <w:pPr>
        <w:pStyle w:val="Prrafodelista"/>
        <w:rPr>
          <w:rFonts w:cs="Arial"/>
          <w:szCs w:val="22"/>
        </w:rPr>
      </w:pPr>
    </w:p>
    <w:p w14:paraId="5BD31159" w14:textId="1540B24F" w:rsidR="00B036B5" w:rsidRPr="00D94AE4" w:rsidRDefault="00D15FF7" w:rsidP="00B036B5">
      <w:pPr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2"/>
        </w:rPr>
      </w:pPr>
      <w:r>
        <w:rPr>
          <w:rFonts w:cs="Arial"/>
          <w:szCs w:val="22"/>
        </w:rPr>
        <w:t>Realizar una revisión a</w:t>
      </w:r>
      <w:r w:rsidR="00D94AE4">
        <w:rPr>
          <w:rFonts w:cs="Arial"/>
          <w:szCs w:val="22"/>
        </w:rPr>
        <w:t xml:space="preserve"> la estructura del micro</w:t>
      </w:r>
      <w:r>
        <w:rPr>
          <w:rFonts w:cs="Arial"/>
          <w:szCs w:val="22"/>
        </w:rPr>
        <w:t xml:space="preserve">sitio de transparencia, frente a los numerales que exige la norma, ya que se evidenciaron diferencias que requieren de ajustes, con el fin de cumplir todos y cada uno de los requisitos normativos. </w:t>
      </w:r>
    </w:p>
    <w:sectPr w:rsidR="00B036B5" w:rsidRPr="00D94AE4" w:rsidSect="002F1F7E">
      <w:headerReference w:type="default" r:id="rId11"/>
      <w:footerReference w:type="default" r:id="rId12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3B0DA3" w14:textId="77777777" w:rsidR="00DB2EFB" w:rsidRDefault="00DB2EFB" w:rsidP="00106E49">
      <w:r>
        <w:separator/>
      </w:r>
    </w:p>
  </w:endnote>
  <w:endnote w:type="continuationSeparator" w:id="0">
    <w:p w14:paraId="6F821424" w14:textId="77777777" w:rsidR="00DB2EFB" w:rsidRDefault="00DB2EFB" w:rsidP="00106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Cuerpo en alfa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de3of9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Lucidasans, 'Times New Roman'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2"/>
      <w:gridCol w:w="2943"/>
      <w:gridCol w:w="2943"/>
    </w:tblGrid>
    <w:tr w:rsidR="00455B38" w14:paraId="4649E5C5" w14:textId="77777777" w:rsidTr="00455B38">
      <w:tc>
        <w:tcPr>
          <w:tcW w:w="2942" w:type="dxa"/>
        </w:tcPr>
        <w:p w14:paraId="5B4A80BF" w14:textId="260E9B2A" w:rsidR="00455B38" w:rsidRPr="00455B38" w:rsidRDefault="001D2412" w:rsidP="001D2412">
          <w:pPr>
            <w:pStyle w:val="Piedepgina"/>
            <w:rPr>
              <w:sz w:val="18"/>
              <w:szCs w:val="18"/>
            </w:rPr>
          </w:pPr>
          <w:r>
            <w:rPr>
              <w:sz w:val="18"/>
              <w:szCs w:val="18"/>
            </w:rPr>
            <w:t>Versión 03</w:t>
          </w:r>
          <w:r w:rsidR="00455B38" w:rsidRPr="00455B38">
            <w:rPr>
              <w:sz w:val="18"/>
              <w:szCs w:val="18"/>
            </w:rPr>
            <w:t xml:space="preserve">   3</w:t>
          </w:r>
          <w:r>
            <w:rPr>
              <w:sz w:val="18"/>
              <w:szCs w:val="18"/>
            </w:rPr>
            <w:t>1</w:t>
          </w:r>
          <w:r w:rsidR="00455B38" w:rsidRPr="00455B38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12</w:t>
          </w:r>
          <w:r w:rsidR="00455B38" w:rsidRPr="00455B38">
            <w:rPr>
              <w:sz w:val="18"/>
              <w:szCs w:val="18"/>
            </w:rPr>
            <w:t>/2020</w:t>
          </w:r>
        </w:p>
      </w:tc>
      <w:tc>
        <w:tcPr>
          <w:tcW w:w="2943" w:type="dxa"/>
        </w:tcPr>
        <w:p w14:paraId="543A11A7" w14:textId="77777777" w:rsidR="00455B38" w:rsidRDefault="00455B38">
          <w:pPr>
            <w:pStyle w:val="Piedepgina"/>
          </w:pPr>
        </w:p>
      </w:tc>
      <w:tc>
        <w:tcPr>
          <w:tcW w:w="2943" w:type="dxa"/>
        </w:tcPr>
        <w:p w14:paraId="52C40D95" w14:textId="77777777" w:rsidR="00455B38" w:rsidRDefault="00455B38">
          <w:pPr>
            <w:pStyle w:val="Piedepgina"/>
          </w:pPr>
        </w:p>
      </w:tc>
    </w:tr>
  </w:tbl>
  <w:p w14:paraId="5B4AE9E1" w14:textId="77777777" w:rsidR="00455B38" w:rsidRPr="00455B38" w:rsidRDefault="00455B38" w:rsidP="00455B38">
    <w:pPr>
      <w:pStyle w:val="Piedepgin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C8E92" w14:textId="77777777" w:rsidR="00DB2EFB" w:rsidRDefault="00DB2EFB" w:rsidP="00106E49">
      <w:r>
        <w:separator/>
      </w:r>
    </w:p>
  </w:footnote>
  <w:footnote w:type="continuationSeparator" w:id="0">
    <w:p w14:paraId="22CA72F6" w14:textId="77777777" w:rsidR="00DB2EFB" w:rsidRDefault="00DB2EFB" w:rsidP="00106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5000" w:type="pct"/>
      <w:tblLayout w:type="fixed"/>
      <w:tblLook w:val="04A0" w:firstRow="1" w:lastRow="0" w:firstColumn="1" w:lastColumn="0" w:noHBand="0" w:noVBand="1"/>
    </w:tblPr>
    <w:tblGrid>
      <w:gridCol w:w="1412"/>
      <w:gridCol w:w="4395"/>
      <w:gridCol w:w="3021"/>
    </w:tblGrid>
    <w:tr w:rsidR="002F1F7E" w14:paraId="17F55E8E" w14:textId="77777777" w:rsidTr="00F1402C">
      <w:trPr>
        <w:trHeight w:val="268"/>
      </w:trPr>
      <w:tc>
        <w:tcPr>
          <w:tcW w:w="800" w:type="pct"/>
          <w:vMerge w:val="restart"/>
          <w:vAlign w:val="center"/>
        </w:tcPr>
        <w:p w14:paraId="7FFF3766" w14:textId="301B7BC8" w:rsidR="002F1F7E" w:rsidRDefault="002F1F7E" w:rsidP="00455B38">
          <w:pPr>
            <w:pStyle w:val="Encabezado"/>
            <w:jc w:val="center"/>
          </w:pPr>
          <w:r>
            <w:rPr>
              <w:noProof/>
              <w:lang w:eastAsia="es-CO"/>
            </w:rPr>
            <w:drawing>
              <wp:inline distT="0" distB="0" distL="0" distR="0" wp14:anchorId="296869BF" wp14:editId="0EE6423E">
                <wp:extent cx="775970" cy="672465"/>
                <wp:effectExtent l="0" t="0" r="0" b="635"/>
                <wp:docPr id="6" name="image1.jpg" descr="Descripción: IDPCBY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Descripción: IDPCBYN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970" cy="6724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9" w:type="pct"/>
          <w:vAlign w:val="center"/>
        </w:tcPr>
        <w:p w14:paraId="7CFD37E4" w14:textId="6B6BB5CD" w:rsidR="002F1F7E" w:rsidRPr="002F1F7E" w:rsidRDefault="002F1F7E" w:rsidP="00455B38">
          <w:pPr>
            <w:pStyle w:val="Encabezado"/>
            <w:jc w:val="center"/>
            <w:rPr>
              <w:b/>
              <w:bCs/>
              <w:sz w:val="18"/>
              <w:szCs w:val="18"/>
            </w:rPr>
          </w:pPr>
          <w:r w:rsidRPr="002F1F7E">
            <w:rPr>
              <w:b/>
              <w:bCs/>
              <w:sz w:val="18"/>
              <w:szCs w:val="18"/>
            </w:rPr>
            <w:t>INSTITUTO DISTRITAL DE PATRIMONIO CULTURAL</w:t>
          </w:r>
        </w:p>
      </w:tc>
      <w:tc>
        <w:tcPr>
          <w:tcW w:w="1711" w:type="pct"/>
          <w:vMerge w:val="restart"/>
          <w:vAlign w:val="center"/>
        </w:tcPr>
        <w:p w14:paraId="22B738FF" w14:textId="77777777" w:rsidR="002F1F7E" w:rsidRPr="00C2554A" w:rsidRDefault="002F1F7E" w:rsidP="00455B38">
          <w:pPr>
            <w:pStyle w:val="Encabezamiento"/>
            <w:jc w:val="right"/>
            <w:rPr>
              <w:rFonts w:ascii="Code3of9" w:eastAsia="Andale Sans UI" w:hAnsi="Code3of9" w:cs="Lucidasans, 'Times New Roman'"/>
              <w:sz w:val="28"/>
              <w:szCs w:val="28"/>
              <w:lang w:val="en-US"/>
            </w:rPr>
          </w:pPr>
          <w:r w:rsidRPr="00C2554A">
            <w:rPr>
              <w:rFonts w:ascii="Code3of9" w:eastAsia="Andale Sans UI" w:hAnsi="Code3of9" w:cs="Lucidasans, 'Times New Roman'"/>
              <w:sz w:val="28"/>
              <w:szCs w:val="28"/>
              <w:lang w:val="en-US"/>
            </w:rPr>
            <w:t>*20211200001193*</w:t>
          </w:r>
        </w:p>
        <w:p w14:paraId="6A124EDA" w14:textId="375563B4" w:rsidR="002F1F7E" w:rsidRDefault="002F1F7E" w:rsidP="00455B38">
          <w:pPr>
            <w:pStyle w:val="Sinespaciado"/>
            <w:jc w:val="right"/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</w:pPr>
          <w:r w:rsidRPr="00645334">
            <w:rPr>
              <w:rFonts w:ascii="Arial" w:eastAsia="Times New Roman" w:hAnsi="Arial" w:cs="Arial"/>
              <w:sz w:val="16"/>
              <w:szCs w:val="16"/>
              <w:lang w:val="en-US"/>
            </w:rPr>
            <w:t>Radicado: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US"/>
            </w:rPr>
            <w:t xml:space="preserve"> </w:t>
          </w:r>
          <w:r>
            <w:rPr>
              <w:rFonts w:ascii="Arial" w:eastAsia="Times New Roman" w:hAnsi="Arial" w:cs="Times New Roman"/>
              <w:b/>
              <w:bCs/>
              <w:sz w:val="20"/>
              <w:szCs w:val="20"/>
              <w:lang w:val="en-US"/>
            </w:rPr>
            <w:t>20211200001193</w:t>
          </w:r>
        </w:p>
        <w:p w14:paraId="5B67E539" w14:textId="77777777" w:rsidR="002F1F7E" w:rsidRDefault="002F1F7E" w:rsidP="00455B38">
          <w:pPr>
            <w:pStyle w:val="Sinespaciado"/>
            <w:jc w:val="right"/>
            <w:rPr>
              <w:rFonts w:ascii="Arial" w:eastAsia="Times New Roman" w:hAnsi="Arial" w:cs="Times New Roman"/>
              <w:sz w:val="20"/>
              <w:szCs w:val="20"/>
              <w:lang w:val="en-US"/>
            </w:rPr>
          </w:pPr>
          <w:r w:rsidRPr="00645334">
            <w:rPr>
              <w:rFonts w:ascii="Arial" w:eastAsia="Times New Roman" w:hAnsi="Arial" w:cs="Times New Roman"/>
              <w:sz w:val="16"/>
              <w:szCs w:val="16"/>
              <w:lang w:val="en-US"/>
            </w:rPr>
            <w:t xml:space="preserve">Fecha: </w:t>
          </w:r>
          <w:r>
            <w:rPr>
              <w:rFonts w:ascii="Arial" w:eastAsia="Times New Roman" w:hAnsi="Arial" w:cs="Times New Roman"/>
              <w:sz w:val="20"/>
              <w:szCs w:val="20"/>
              <w:lang w:val="en-US"/>
            </w:rPr>
            <w:t>15-01-2021</w:t>
          </w:r>
        </w:p>
        <w:p w14:paraId="19561F24" w14:textId="3BD1A85B" w:rsidR="002F1F7E" w:rsidRDefault="002F1F7E" w:rsidP="00455B38">
          <w:pPr>
            <w:pStyle w:val="Encabezado"/>
            <w:jc w:val="right"/>
          </w:pPr>
          <w:r w:rsidRPr="006C56C7">
            <w:rPr>
              <w:rFonts w:cs="Arial"/>
              <w:sz w:val="18"/>
              <w:szCs w:val="18"/>
              <w:lang w:val="en-US"/>
            </w:rPr>
            <w:t xml:space="preserve">Pág. </w:t>
          </w:r>
          <w:r w:rsidRPr="006C56C7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6C56C7">
            <w:rPr>
              <w:rFonts w:cs="Arial"/>
              <w:sz w:val="18"/>
              <w:szCs w:val="18"/>
            </w:rPr>
            <w:instrText>PAGE</w:instrText>
          </w:r>
          <w:r w:rsidRPr="006C56C7">
            <w:rPr>
              <w:rFonts w:cs="Arial"/>
              <w:sz w:val="18"/>
              <w:szCs w:val="18"/>
            </w:rPr>
            <w:fldChar w:fldCharType="separate"/>
          </w:r>
          <w:r w:rsidR="007D7E02">
            <w:rPr>
              <w:rFonts w:cs="Arial"/>
              <w:noProof/>
              <w:sz w:val="18"/>
              <w:szCs w:val="18"/>
            </w:rPr>
            <w:t>1</w:t>
          </w:r>
          <w:r w:rsidRPr="006C56C7">
            <w:rPr>
              <w:rFonts w:cs="Arial"/>
              <w:sz w:val="18"/>
              <w:szCs w:val="18"/>
            </w:rPr>
            <w:fldChar w:fldCharType="end"/>
          </w:r>
          <w:r w:rsidRPr="006C56C7">
            <w:rPr>
              <w:rFonts w:cs="Arial"/>
              <w:sz w:val="18"/>
              <w:szCs w:val="18"/>
              <w:lang w:val="en-US"/>
            </w:rPr>
            <w:t xml:space="preserve"> de </w:t>
          </w:r>
          <w:r w:rsidRPr="006C56C7">
            <w:rPr>
              <w:rFonts w:cs="Arial"/>
              <w:sz w:val="18"/>
              <w:szCs w:val="18"/>
              <w:lang w:val="en-US"/>
            </w:rPr>
            <w:fldChar w:fldCharType="begin"/>
          </w:r>
          <w:r w:rsidRPr="006C56C7">
            <w:rPr>
              <w:rFonts w:cs="Arial"/>
              <w:sz w:val="18"/>
              <w:szCs w:val="18"/>
            </w:rPr>
            <w:instrText>NUMPAGES</w:instrText>
          </w:r>
          <w:r w:rsidRPr="006C56C7">
            <w:rPr>
              <w:rFonts w:cs="Arial"/>
              <w:sz w:val="18"/>
              <w:szCs w:val="18"/>
            </w:rPr>
            <w:fldChar w:fldCharType="separate"/>
          </w:r>
          <w:r w:rsidR="007D7E02">
            <w:rPr>
              <w:rFonts w:cs="Arial"/>
              <w:noProof/>
              <w:sz w:val="18"/>
              <w:szCs w:val="18"/>
            </w:rPr>
            <w:t>5</w:t>
          </w:r>
          <w:r w:rsidRPr="006C56C7">
            <w:rPr>
              <w:rFonts w:cs="Arial"/>
              <w:sz w:val="18"/>
              <w:szCs w:val="18"/>
            </w:rPr>
            <w:fldChar w:fldCharType="end"/>
          </w:r>
        </w:p>
      </w:tc>
    </w:tr>
    <w:tr w:rsidR="002F1F7E" w14:paraId="08F8725E" w14:textId="77777777" w:rsidTr="00F1402C">
      <w:trPr>
        <w:trHeight w:val="343"/>
      </w:trPr>
      <w:tc>
        <w:tcPr>
          <w:tcW w:w="800" w:type="pct"/>
          <w:vMerge/>
          <w:vAlign w:val="center"/>
        </w:tcPr>
        <w:p w14:paraId="657EB559" w14:textId="77777777" w:rsidR="002F1F7E" w:rsidRDefault="002F1F7E" w:rsidP="00455B38">
          <w:pPr>
            <w:pStyle w:val="Encabezado"/>
            <w:jc w:val="center"/>
          </w:pPr>
        </w:p>
      </w:tc>
      <w:tc>
        <w:tcPr>
          <w:tcW w:w="2489" w:type="pct"/>
          <w:vAlign w:val="center"/>
        </w:tcPr>
        <w:p w14:paraId="48FFF810" w14:textId="1FEBDBD4" w:rsidR="002F1F7E" w:rsidRPr="002F1F7E" w:rsidRDefault="006D49C8" w:rsidP="00455B38">
          <w:pPr>
            <w:pStyle w:val="Encabezado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PROCESO</w:t>
          </w:r>
          <w:r w:rsidR="001F7174">
            <w:rPr>
              <w:b/>
              <w:bCs/>
              <w:sz w:val="18"/>
              <w:szCs w:val="18"/>
            </w:rPr>
            <w:t xml:space="preserve"> DE SEGUIMIENTO Y EVALUACIÓN</w:t>
          </w:r>
        </w:p>
      </w:tc>
      <w:tc>
        <w:tcPr>
          <w:tcW w:w="1711" w:type="pct"/>
          <w:vMerge/>
          <w:vAlign w:val="center"/>
        </w:tcPr>
        <w:p w14:paraId="1EDC6AC3" w14:textId="77777777" w:rsidR="002F1F7E" w:rsidRDefault="002F1F7E" w:rsidP="00455B38">
          <w:pPr>
            <w:pStyle w:val="Encabezado"/>
            <w:jc w:val="center"/>
          </w:pPr>
        </w:p>
      </w:tc>
    </w:tr>
    <w:tr w:rsidR="002F1F7E" w14:paraId="3DC35361" w14:textId="77777777" w:rsidTr="00F1402C">
      <w:tc>
        <w:tcPr>
          <w:tcW w:w="800" w:type="pct"/>
          <w:vMerge/>
          <w:vAlign w:val="center"/>
        </w:tcPr>
        <w:p w14:paraId="581663E7" w14:textId="77777777" w:rsidR="002F1F7E" w:rsidRDefault="002F1F7E" w:rsidP="00455B38">
          <w:pPr>
            <w:pStyle w:val="Encabezado"/>
            <w:jc w:val="center"/>
          </w:pPr>
        </w:p>
      </w:tc>
      <w:tc>
        <w:tcPr>
          <w:tcW w:w="2489" w:type="pct"/>
          <w:vAlign w:val="center"/>
        </w:tcPr>
        <w:p w14:paraId="6E036EAE" w14:textId="216961A6" w:rsidR="002F1F7E" w:rsidRPr="002F1F7E" w:rsidRDefault="0045782D" w:rsidP="00455B38">
          <w:pPr>
            <w:pStyle w:val="Encabezado"/>
            <w:jc w:val="center"/>
            <w:rPr>
              <w:b/>
              <w:bCs/>
              <w:sz w:val="18"/>
              <w:szCs w:val="18"/>
            </w:rPr>
          </w:pPr>
          <w:r w:rsidRPr="0045782D">
            <w:rPr>
              <w:b/>
              <w:bCs/>
              <w:sz w:val="18"/>
              <w:szCs w:val="18"/>
            </w:rPr>
            <w:t>INFORME DE SEGUIMIENTO Y/O EVALUACIÓN</w:t>
          </w:r>
        </w:p>
      </w:tc>
      <w:tc>
        <w:tcPr>
          <w:tcW w:w="1711" w:type="pct"/>
          <w:vMerge/>
          <w:vAlign w:val="center"/>
        </w:tcPr>
        <w:p w14:paraId="14B9FA48" w14:textId="77777777" w:rsidR="002F1F7E" w:rsidRDefault="002F1F7E" w:rsidP="00455B38">
          <w:pPr>
            <w:pStyle w:val="Encabezado"/>
            <w:jc w:val="center"/>
          </w:pPr>
        </w:p>
      </w:tc>
    </w:tr>
  </w:tbl>
  <w:p w14:paraId="1D78BD1D" w14:textId="77777777" w:rsidR="00106E49" w:rsidRDefault="00106E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32EED"/>
    <w:multiLevelType w:val="hybridMultilevel"/>
    <w:tmpl w:val="06880E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F1F4A"/>
    <w:multiLevelType w:val="hybridMultilevel"/>
    <w:tmpl w:val="FF84EDB2"/>
    <w:lvl w:ilvl="0" w:tplc="63FC5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F1295D8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B5349"/>
    <w:multiLevelType w:val="hybridMultilevel"/>
    <w:tmpl w:val="62F601C6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093D4B"/>
    <w:multiLevelType w:val="hybridMultilevel"/>
    <w:tmpl w:val="C81EBA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2192A"/>
    <w:multiLevelType w:val="hybridMultilevel"/>
    <w:tmpl w:val="86D8A85E"/>
    <w:lvl w:ilvl="0" w:tplc="99D06F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66F4F"/>
    <w:multiLevelType w:val="hybridMultilevel"/>
    <w:tmpl w:val="511286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8E34C2"/>
    <w:multiLevelType w:val="hybridMultilevel"/>
    <w:tmpl w:val="5C24287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C02BCF"/>
    <w:multiLevelType w:val="hybridMultilevel"/>
    <w:tmpl w:val="D6809710"/>
    <w:lvl w:ilvl="0" w:tplc="240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6F5E312D"/>
    <w:multiLevelType w:val="hybridMultilevel"/>
    <w:tmpl w:val="AF1C6F9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84EAD"/>
    <w:multiLevelType w:val="hybridMultilevel"/>
    <w:tmpl w:val="30FA42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8540465"/>
    <w:multiLevelType w:val="hybridMultilevel"/>
    <w:tmpl w:val="8B026A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6A68D1"/>
    <w:multiLevelType w:val="hybridMultilevel"/>
    <w:tmpl w:val="D5D6106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9E30E2"/>
    <w:multiLevelType w:val="hybridMultilevel"/>
    <w:tmpl w:val="FC5E3F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3"/>
  </w:num>
  <w:num w:numId="5">
    <w:abstractNumId w:val="12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C5"/>
    <w:rsid w:val="00006EBC"/>
    <w:rsid w:val="00014E3D"/>
    <w:rsid w:val="00097C7B"/>
    <w:rsid w:val="00106E49"/>
    <w:rsid w:val="00127B55"/>
    <w:rsid w:val="00172F30"/>
    <w:rsid w:val="001D2412"/>
    <w:rsid w:val="001F32F9"/>
    <w:rsid w:val="001F7174"/>
    <w:rsid w:val="002D0F18"/>
    <w:rsid w:val="002F1F7E"/>
    <w:rsid w:val="00406C1A"/>
    <w:rsid w:val="00455B38"/>
    <w:rsid w:val="0045782D"/>
    <w:rsid w:val="005238BC"/>
    <w:rsid w:val="006363D5"/>
    <w:rsid w:val="00643BBD"/>
    <w:rsid w:val="006D49C8"/>
    <w:rsid w:val="007454F7"/>
    <w:rsid w:val="00753CE6"/>
    <w:rsid w:val="007B56AF"/>
    <w:rsid w:val="007D430F"/>
    <w:rsid w:val="007D7E02"/>
    <w:rsid w:val="007E168A"/>
    <w:rsid w:val="007E187A"/>
    <w:rsid w:val="00822561"/>
    <w:rsid w:val="00844A3B"/>
    <w:rsid w:val="00901100"/>
    <w:rsid w:val="00955685"/>
    <w:rsid w:val="009C5226"/>
    <w:rsid w:val="00A17F7E"/>
    <w:rsid w:val="00AA7433"/>
    <w:rsid w:val="00AD5687"/>
    <w:rsid w:val="00B036B5"/>
    <w:rsid w:val="00B85588"/>
    <w:rsid w:val="00B945A0"/>
    <w:rsid w:val="00B969D7"/>
    <w:rsid w:val="00D15FF7"/>
    <w:rsid w:val="00D932C5"/>
    <w:rsid w:val="00D94AE4"/>
    <w:rsid w:val="00DB2EFB"/>
    <w:rsid w:val="00E60E2A"/>
    <w:rsid w:val="00E842FA"/>
    <w:rsid w:val="00EE7CFB"/>
    <w:rsid w:val="00F1402C"/>
    <w:rsid w:val="00F5759E"/>
    <w:rsid w:val="00F6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0B0631E"/>
  <w15:chartTrackingRefBased/>
  <w15:docId w15:val="{89E199FD-06CC-D245-8FF6-92C4FF14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 (Cuerpo en alfa"/>
        <w:sz w:val="22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B036B5"/>
    <w:pPr>
      <w:widowControl w:val="0"/>
      <w:autoSpaceDE w:val="0"/>
      <w:autoSpaceDN w:val="0"/>
      <w:ind w:left="837" w:hanging="360"/>
      <w:outlineLvl w:val="0"/>
    </w:pPr>
    <w:rPr>
      <w:rFonts w:eastAsia="Arial" w:cs="Arial"/>
      <w:b/>
      <w:bCs/>
      <w:sz w:val="24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06E4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qFormat/>
    <w:rsid w:val="00106E49"/>
  </w:style>
  <w:style w:type="paragraph" w:styleId="Piedepgina">
    <w:name w:val="footer"/>
    <w:basedOn w:val="Normal"/>
    <w:link w:val="PiedepginaCar"/>
    <w:uiPriority w:val="99"/>
    <w:unhideWhenUsed/>
    <w:rsid w:val="00106E4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6E49"/>
  </w:style>
  <w:style w:type="table" w:styleId="Tablaconcuadrcula">
    <w:name w:val="Table Grid"/>
    <w:basedOn w:val="Tablanormal"/>
    <w:uiPriority w:val="39"/>
    <w:rsid w:val="00106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ncabezamiento">
    <w:name w:val="Encabezamiento"/>
    <w:basedOn w:val="Normal"/>
    <w:qFormat/>
    <w:rsid w:val="002F1F7E"/>
    <w:pPr>
      <w:widowControl w:val="0"/>
      <w:tabs>
        <w:tab w:val="center" w:pos="4252"/>
        <w:tab w:val="right" w:pos="8504"/>
      </w:tabs>
      <w:suppressAutoHyphens/>
      <w:spacing w:line="100" w:lineRule="atLeast"/>
    </w:pPr>
    <w:rPr>
      <w:rFonts w:ascii="Times New Roman" w:eastAsia="Arial Unicode MS" w:hAnsi="Times New Roman" w:cs="Tahoma"/>
      <w:color w:val="00000A"/>
      <w:sz w:val="24"/>
      <w:lang w:val="es-ES" w:eastAsia="es-CO"/>
    </w:rPr>
  </w:style>
  <w:style w:type="paragraph" w:styleId="Sinespaciado">
    <w:name w:val="No Spacing"/>
    <w:qFormat/>
    <w:rsid w:val="002F1F7E"/>
    <w:pPr>
      <w:suppressAutoHyphens/>
      <w:spacing w:line="100" w:lineRule="atLeast"/>
    </w:pPr>
    <w:rPr>
      <w:rFonts w:ascii="Calibri" w:eastAsia="Arial Unicode MS" w:hAnsi="Calibri" w:cs="Mangal"/>
      <w:color w:val="00000A"/>
      <w:szCs w:val="22"/>
      <w:lang w:eastAsia="es-CO"/>
    </w:rPr>
  </w:style>
  <w:style w:type="character" w:customStyle="1" w:styleId="Ttulo1Car">
    <w:name w:val="Título 1 Car"/>
    <w:basedOn w:val="Fuentedeprrafopredeter"/>
    <w:link w:val="Ttulo1"/>
    <w:uiPriority w:val="1"/>
    <w:rsid w:val="00B036B5"/>
    <w:rPr>
      <w:rFonts w:eastAsia="Arial" w:cs="Arial"/>
      <w:b/>
      <w:bCs/>
      <w:sz w:val="24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B036B5"/>
    <w:pPr>
      <w:ind w:left="720"/>
      <w:contextualSpacing/>
    </w:pPr>
  </w:style>
  <w:style w:type="table" w:styleId="Tabladecuadrcula4-nfasis6">
    <w:name w:val="Grid Table 4 Accent 6"/>
    <w:basedOn w:val="Tablanormal"/>
    <w:uiPriority w:val="49"/>
    <w:rsid w:val="00B036B5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ipervnculo">
    <w:name w:val="Hyperlink"/>
    <w:uiPriority w:val="99"/>
    <w:rsid w:val="00D15FF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ograma.mintic.gov.co/mintic/docs/decreto_1081_2015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ograma.mintic.gov.co/mintic/docs/decreto_1081_2015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normograma.mintic.gov.co/mintic/docs/decreto_1081_201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ograma.mintic.gov.co/mintic/docs/decreto_1081_2015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2077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seguimiento o evaluación</vt:lpstr>
    </vt:vector>
  </TitlesOfParts>
  <Manager>SGDEA</Manager>
  <Company>Instituto Distrital de Patrimonio Cultural</Company>
  <LinksUpToDate>false</LinksUpToDate>
  <CharactersWithSpaces>13476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seguimiento o evaluación</dc:title>
  <dc:subject>Informe de seguimiento o evaluación</dc:subject>
  <dc:creator>Seguimiento y evaluación</dc:creator>
  <cp:keywords/>
  <dc:description/>
  <cp:lastModifiedBy>INES</cp:lastModifiedBy>
  <cp:revision>2</cp:revision>
  <cp:lastPrinted>2021-01-11T18:21:00Z</cp:lastPrinted>
  <dcterms:created xsi:type="dcterms:W3CDTF">2021-01-18T22:19:00Z</dcterms:created>
  <dcterms:modified xsi:type="dcterms:W3CDTF">2021-01-18T22:19:00Z</dcterms:modified>
  <cp:category/>
  <cp:version>4</cp:version>
</cp:coreProperties>
</file>