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5000" w:type="pct"/>
        <w:tblLook w:val="04A0" w:firstRow="1" w:lastRow="0" w:firstColumn="1" w:lastColumn="0" w:noHBand="0" w:noVBand="1"/>
      </w:tblPr>
      <w:tblGrid>
        <w:gridCol w:w="3825"/>
        <w:gridCol w:w="834"/>
        <w:gridCol w:w="833"/>
        <w:gridCol w:w="833"/>
        <w:gridCol w:w="833"/>
        <w:gridCol w:w="833"/>
        <w:gridCol w:w="837"/>
      </w:tblGrid>
      <w:tr w:rsidR="0045782D" w14:paraId="0A3D8AC3" w14:textId="77777777" w:rsidTr="000676C0">
        <w:trPr>
          <w:trHeight w:val="70"/>
        </w:trPr>
        <w:tc>
          <w:tcPr>
            <w:tcW w:w="2166" w:type="pct"/>
            <w:shd w:val="clear" w:color="auto" w:fill="F2F2F2" w:themeFill="background1" w:themeFillShade="F2"/>
            <w:vAlign w:val="center"/>
          </w:tcPr>
          <w:p w14:paraId="12923681" w14:textId="558DB7A2" w:rsidR="0045782D" w:rsidRPr="00AD5687" w:rsidRDefault="0045782D" w:rsidP="00FB2062">
            <w:pPr>
              <w:jc w:val="both"/>
              <w:rPr>
                <w:b/>
                <w:sz w:val="20"/>
                <w:szCs w:val="22"/>
              </w:rPr>
            </w:pPr>
            <w:bookmarkStart w:id="0" w:name="_GoBack"/>
            <w:bookmarkEnd w:id="0"/>
            <w:r w:rsidRPr="00AD5687">
              <w:rPr>
                <w:rFonts w:cs="Arial"/>
                <w:b/>
                <w:sz w:val="20"/>
                <w:szCs w:val="22"/>
              </w:rPr>
              <w:t>FECHA DE EMISIÓN DEL INFORME</w:t>
            </w:r>
          </w:p>
        </w:tc>
        <w:tc>
          <w:tcPr>
            <w:tcW w:w="472" w:type="pct"/>
            <w:shd w:val="clear" w:color="auto" w:fill="F2F2F2" w:themeFill="background1" w:themeFillShade="F2"/>
            <w:vAlign w:val="center"/>
          </w:tcPr>
          <w:p w14:paraId="14398F64" w14:textId="707D4FA8" w:rsidR="0045782D" w:rsidRPr="0045782D" w:rsidRDefault="0045782D" w:rsidP="00FB2062">
            <w:pPr>
              <w:jc w:val="center"/>
              <w:rPr>
                <w:b/>
                <w:color w:val="FFFFFF" w:themeColor="background1"/>
              </w:rPr>
            </w:pPr>
            <w:r w:rsidRPr="0045782D">
              <w:rPr>
                <w:b/>
              </w:rPr>
              <w:t>DÍA</w:t>
            </w:r>
          </w:p>
        </w:tc>
        <w:tc>
          <w:tcPr>
            <w:tcW w:w="472" w:type="pct"/>
            <w:vAlign w:val="center"/>
          </w:tcPr>
          <w:p w14:paraId="7F3EAFB0" w14:textId="533737BC" w:rsidR="0045782D" w:rsidRPr="006D4D5D" w:rsidRDefault="006D4D5D" w:rsidP="00FB2062">
            <w:pPr>
              <w:jc w:val="center"/>
              <w:rPr>
                <w:bCs/>
              </w:rPr>
            </w:pPr>
            <w:r w:rsidRPr="006D4D5D">
              <w:rPr>
                <w:bCs/>
              </w:rPr>
              <w:t>2</w:t>
            </w:r>
            <w:r w:rsidR="00952A6A">
              <w:rPr>
                <w:bCs/>
              </w:rPr>
              <w:t>8</w:t>
            </w:r>
          </w:p>
        </w:tc>
        <w:tc>
          <w:tcPr>
            <w:tcW w:w="472" w:type="pct"/>
            <w:shd w:val="clear" w:color="auto" w:fill="F2F2F2" w:themeFill="background1" w:themeFillShade="F2"/>
            <w:vAlign w:val="center"/>
          </w:tcPr>
          <w:p w14:paraId="22E6F444" w14:textId="06ABE94D" w:rsidR="0045782D" w:rsidRPr="006D4D5D" w:rsidRDefault="0045782D" w:rsidP="00FB2062">
            <w:pPr>
              <w:jc w:val="center"/>
              <w:rPr>
                <w:b/>
              </w:rPr>
            </w:pPr>
            <w:r w:rsidRPr="006D4D5D">
              <w:rPr>
                <w:b/>
              </w:rPr>
              <w:t>MES</w:t>
            </w:r>
          </w:p>
        </w:tc>
        <w:tc>
          <w:tcPr>
            <w:tcW w:w="472" w:type="pct"/>
            <w:vAlign w:val="center"/>
          </w:tcPr>
          <w:p w14:paraId="11359BF7" w14:textId="7CC12E56" w:rsidR="0045782D" w:rsidRPr="006D4D5D" w:rsidRDefault="006D4D5D" w:rsidP="00FB2062">
            <w:pPr>
              <w:jc w:val="center"/>
              <w:rPr>
                <w:bCs/>
              </w:rPr>
            </w:pPr>
            <w:r w:rsidRPr="006D4D5D">
              <w:rPr>
                <w:bCs/>
              </w:rPr>
              <w:t>12</w:t>
            </w:r>
          </w:p>
        </w:tc>
        <w:tc>
          <w:tcPr>
            <w:tcW w:w="472" w:type="pct"/>
            <w:shd w:val="clear" w:color="auto" w:fill="F2F2F2" w:themeFill="background1" w:themeFillShade="F2"/>
            <w:vAlign w:val="center"/>
          </w:tcPr>
          <w:p w14:paraId="50ACFC3D" w14:textId="553771D2" w:rsidR="0045782D" w:rsidRPr="006D4D5D" w:rsidRDefault="0045782D" w:rsidP="00FB2062">
            <w:pPr>
              <w:jc w:val="center"/>
              <w:rPr>
                <w:b/>
              </w:rPr>
            </w:pPr>
            <w:r w:rsidRPr="006D4D5D">
              <w:rPr>
                <w:b/>
              </w:rPr>
              <w:t>AÑO</w:t>
            </w:r>
          </w:p>
        </w:tc>
        <w:tc>
          <w:tcPr>
            <w:tcW w:w="474" w:type="pct"/>
            <w:vAlign w:val="center"/>
          </w:tcPr>
          <w:p w14:paraId="0E41B807" w14:textId="17BE8B5A" w:rsidR="0045782D" w:rsidRPr="00B036B5" w:rsidRDefault="006D4D5D" w:rsidP="00FB2062">
            <w:pPr>
              <w:jc w:val="center"/>
            </w:pPr>
            <w:r>
              <w:t>2021</w:t>
            </w:r>
          </w:p>
        </w:tc>
      </w:tr>
      <w:tr w:rsidR="0045782D" w14:paraId="149B1566" w14:textId="77777777" w:rsidTr="000676C0">
        <w:trPr>
          <w:trHeight w:val="1134"/>
        </w:trPr>
        <w:tc>
          <w:tcPr>
            <w:tcW w:w="2166" w:type="pct"/>
            <w:shd w:val="clear" w:color="auto" w:fill="F2F2F2" w:themeFill="background1" w:themeFillShade="F2"/>
            <w:vAlign w:val="center"/>
          </w:tcPr>
          <w:p w14:paraId="2AB28578" w14:textId="53990E23" w:rsidR="0045782D" w:rsidRPr="00AD5687" w:rsidRDefault="0045782D" w:rsidP="00FB2062">
            <w:pPr>
              <w:jc w:val="both"/>
              <w:rPr>
                <w:b/>
                <w:sz w:val="20"/>
                <w:szCs w:val="22"/>
              </w:rPr>
            </w:pPr>
            <w:r w:rsidRPr="00AD5687">
              <w:rPr>
                <w:rFonts w:cs="Arial"/>
                <w:b/>
                <w:sz w:val="20"/>
                <w:szCs w:val="22"/>
                <w:lang w:val="es-MX"/>
              </w:rPr>
              <w:t>PROCESO, PROCEDIMIENTO O ACTIVIDAD EVALUADA</w:t>
            </w:r>
          </w:p>
        </w:tc>
        <w:tc>
          <w:tcPr>
            <w:tcW w:w="2834" w:type="pct"/>
            <w:gridSpan w:val="6"/>
            <w:vAlign w:val="center"/>
          </w:tcPr>
          <w:p w14:paraId="1DB71B32" w14:textId="758981B8" w:rsidR="0045782D" w:rsidRDefault="006D4D5D" w:rsidP="00FB2062">
            <w:pPr>
              <w:jc w:val="both"/>
            </w:pPr>
            <w:r>
              <w:t>Seguimiento A</w:t>
            </w:r>
            <w:r w:rsidRPr="00286823">
              <w:t>udiencia pública de Rendición de Cuentas</w:t>
            </w:r>
            <w:r>
              <w:t xml:space="preserve"> del Sector Cultura, Recreación y Deporte, vigencia 2021.</w:t>
            </w:r>
          </w:p>
        </w:tc>
      </w:tr>
      <w:tr w:rsidR="0045782D" w14:paraId="1E7326F9" w14:textId="77777777" w:rsidTr="000676C0">
        <w:trPr>
          <w:trHeight w:val="801"/>
        </w:trPr>
        <w:tc>
          <w:tcPr>
            <w:tcW w:w="2166" w:type="pct"/>
            <w:shd w:val="clear" w:color="auto" w:fill="F2F2F2" w:themeFill="background1" w:themeFillShade="F2"/>
            <w:vAlign w:val="center"/>
          </w:tcPr>
          <w:p w14:paraId="1C90A16E" w14:textId="33653F2A" w:rsidR="0045782D" w:rsidRPr="00AD5687" w:rsidRDefault="0045782D" w:rsidP="00FB2062">
            <w:pPr>
              <w:jc w:val="both"/>
              <w:rPr>
                <w:b/>
                <w:sz w:val="20"/>
                <w:szCs w:val="22"/>
              </w:rPr>
            </w:pPr>
            <w:r w:rsidRPr="00AD5687">
              <w:rPr>
                <w:rFonts w:cs="Arial"/>
                <w:b/>
                <w:sz w:val="20"/>
                <w:szCs w:val="22"/>
                <w:lang w:val="es-MX"/>
              </w:rPr>
              <w:t>RESPONSABLE DEL PROCESO, PROCEDIMIENTO O ACTIVIDAD EVALUADA</w:t>
            </w:r>
          </w:p>
        </w:tc>
        <w:tc>
          <w:tcPr>
            <w:tcW w:w="2834" w:type="pct"/>
            <w:gridSpan w:val="6"/>
            <w:vAlign w:val="center"/>
          </w:tcPr>
          <w:p w14:paraId="738DB55A" w14:textId="2F1B89B8" w:rsidR="0045782D" w:rsidRDefault="006D4D5D" w:rsidP="00FB2062">
            <w:pPr>
              <w:jc w:val="both"/>
            </w:pPr>
            <w:r>
              <w:t>Dirección General</w:t>
            </w:r>
          </w:p>
        </w:tc>
      </w:tr>
      <w:tr w:rsidR="0045782D" w14:paraId="4069ACF0" w14:textId="77777777" w:rsidTr="000676C0">
        <w:trPr>
          <w:trHeight w:val="1134"/>
        </w:trPr>
        <w:tc>
          <w:tcPr>
            <w:tcW w:w="2166" w:type="pct"/>
            <w:shd w:val="clear" w:color="auto" w:fill="F2F2F2" w:themeFill="background1" w:themeFillShade="F2"/>
            <w:vAlign w:val="center"/>
          </w:tcPr>
          <w:p w14:paraId="42AAD9E0" w14:textId="64AC8B6E" w:rsidR="0045782D" w:rsidRPr="00AD5687" w:rsidRDefault="0045782D" w:rsidP="00FB2062">
            <w:pPr>
              <w:jc w:val="both"/>
              <w:rPr>
                <w:b/>
                <w:sz w:val="20"/>
                <w:szCs w:val="22"/>
              </w:rPr>
            </w:pPr>
            <w:r w:rsidRPr="00AD5687">
              <w:rPr>
                <w:rFonts w:cs="Arial"/>
                <w:b/>
                <w:sz w:val="20"/>
                <w:szCs w:val="22"/>
                <w:lang w:val="es-MX"/>
              </w:rPr>
              <w:t>OBJETIVO GENERAL</w:t>
            </w:r>
          </w:p>
        </w:tc>
        <w:tc>
          <w:tcPr>
            <w:tcW w:w="2834" w:type="pct"/>
            <w:gridSpan w:val="6"/>
            <w:vAlign w:val="center"/>
          </w:tcPr>
          <w:p w14:paraId="2F7541CA" w14:textId="12CD88E2" w:rsidR="00CA7B3A" w:rsidRDefault="006D4D5D" w:rsidP="00FB2062">
            <w:pPr>
              <w:jc w:val="both"/>
            </w:pPr>
            <w:r>
              <w:t>Evaluar el ejercicio de la Audiencia Pública de Rendición de Cuentas Sectorial llevada a cabo el</w:t>
            </w:r>
            <w:r w:rsidR="00645792">
              <w:t xml:space="preserve"> 3</w:t>
            </w:r>
            <w:r>
              <w:t xml:space="preserve"> de </w:t>
            </w:r>
            <w:r w:rsidR="00645792">
              <w:t xml:space="preserve">diciembre </w:t>
            </w:r>
            <w:r>
              <w:t>2021</w:t>
            </w:r>
            <w:r w:rsidR="00CA7B3A">
              <w:t xml:space="preserve"> y encuentro ciudadano localidad de Bosa realizado el 2 de diciembre 2021. </w:t>
            </w:r>
          </w:p>
        </w:tc>
      </w:tr>
      <w:tr w:rsidR="0045782D" w14:paraId="61758759" w14:textId="77777777" w:rsidTr="000676C0">
        <w:trPr>
          <w:trHeight w:val="894"/>
        </w:trPr>
        <w:tc>
          <w:tcPr>
            <w:tcW w:w="2166" w:type="pct"/>
            <w:shd w:val="clear" w:color="auto" w:fill="F2F2F2" w:themeFill="background1" w:themeFillShade="F2"/>
            <w:vAlign w:val="center"/>
          </w:tcPr>
          <w:p w14:paraId="311C42C3" w14:textId="77D930F8" w:rsidR="0045782D" w:rsidRPr="00AD5687" w:rsidRDefault="0045782D" w:rsidP="00FB2062">
            <w:pPr>
              <w:jc w:val="both"/>
              <w:rPr>
                <w:b/>
                <w:sz w:val="20"/>
                <w:szCs w:val="22"/>
              </w:rPr>
            </w:pPr>
            <w:r w:rsidRPr="00AD5687">
              <w:rPr>
                <w:rFonts w:cs="Arial"/>
                <w:b/>
                <w:sz w:val="20"/>
                <w:szCs w:val="22"/>
              </w:rPr>
              <w:t>ALCANCE</w:t>
            </w:r>
          </w:p>
        </w:tc>
        <w:tc>
          <w:tcPr>
            <w:tcW w:w="2834" w:type="pct"/>
            <w:gridSpan w:val="6"/>
            <w:vAlign w:val="center"/>
          </w:tcPr>
          <w:p w14:paraId="243A08EF" w14:textId="575D1646" w:rsidR="006D4D5D" w:rsidRDefault="006D4D5D" w:rsidP="00FB2062">
            <w:pPr>
              <w:jc w:val="both"/>
            </w:pPr>
            <w:r>
              <w:t xml:space="preserve">Comprende la Rendición de Cuentas Sectorial </w:t>
            </w:r>
            <w:r w:rsidR="000676C0">
              <w:t>y encuentro</w:t>
            </w:r>
            <w:r w:rsidR="00645792">
              <w:t xml:space="preserve"> ciudadano localidad de Bosa - </w:t>
            </w:r>
            <w:r>
              <w:t>vigencia 2021.</w:t>
            </w:r>
          </w:p>
        </w:tc>
      </w:tr>
      <w:tr w:rsidR="0045782D" w14:paraId="00289A75" w14:textId="77777777" w:rsidTr="000676C0">
        <w:trPr>
          <w:trHeight w:val="356"/>
        </w:trPr>
        <w:tc>
          <w:tcPr>
            <w:tcW w:w="2166" w:type="pct"/>
            <w:shd w:val="clear" w:color="auto" w:fill="F2F2F2" w:themeFill="background1" w:themeFillShade="F2"/>
            <w:vAlign w:val="center"/>
          </w:tcPr>
          <w:p w14:paraId="74D648F4" w14:textId="3189BBAA" w:rsidR="0045782D" w:rsidRPr="00AD5687" w:rsidRDefault="0045782D" w:rsidP="00FB2062">
            <w:pPr>
              <w:jc w:val="both"/>
              <w:rPr>
                <w:b/>
                <w:sz w:val="20"/>
                <w:szCs w:val="22"/>
              </w:rPr>
            </w:pPr>
            <w:r w:rsidRPr="00AD5687">
              <w:rPr>
                <w:rFonts w:cs="Arial"/>
                <w:b/>
                <w:sz w:val="20"/>
                <w:szCs w:val="22"/>
                <w:lang w:val="es-MX"/>
              </w:rPr>
              <w:t>CRITERIOS</w:t>
            </w:r>
          </w:p>
        </w:tc>
        <w:tc>
          <w:tcPr>
            <w:tcW w:w="2834" w:type="pct"/>
            <w:gridSpan w:val="6"/>
            <w:vAlign w:val="center"/>
          </w:tcPr>
          <w:p w14:paraId="51F68B4B" w14:textId="77777777" w:rsidR="004B355D" w:rsidRDefault="004B355D" w:rsidP="005F400D">
            <w:pPr>
              <w:pStyle w:val="Prrafodelista"/>
              <w:numPr>
                <w:ilvl w:val="0"/>
                <w:numId w:val="2"/>
              </w:numPr>
              <w:ind w:left="315"/>
              <w:jc w:val="both"/>
            </w:pPr>
            <w:r>
              <w:t>Ley 152 de 1994 "Por la cual se establece la Ley Orgánica del Plan de Desarrollo".</w:t>
            </w:r>
          </w:p>
          <w:p w14:paraId="7A4A8A9E" w14:textId="77777777" w:rsidR="004B355D" w:rsidRDefault="004B355D" w:rsidP="005F400D">
            <w:pPr>
              <w:pStyle w:val="Prrafodelista"/>
              <w:numPr>
                <w:ilvl w:val="0"/>
                <w:numId w:val="2"/>
              </w:numPr>
              <w:ind w:left="315"/>
              <w:jc w:val="both"/>
            </w:pPr>
            <w:r>
              <w:t>Ley 489 de 1998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p w14:paraId="18B4CF74" w14:textId="77777777" w:rsidR="004B355D" w:rsidRDefault="004B355D" w:rsidP="005F400D">
            <w:pPr>
              <w:pStyle w:val="Prrafodelista"/>
              <w:numPr>
                <w:ilvl w:val="0"/>
                <w:numId w:val="2"/>
              </w:numPr>
              <w:ind w:left="315"/>
              <w:jc w:val="both"/>
            </w:pPr>
            <w:r>
              <w:t>Ley 850 de 2003 “</w:t>
            </w:r>
            <w:r w:rsidRPr="00F8075B">
              <w:t>Por medio de la cual se reglamentan las veedurías ciudadanas</w:t>
            </w:r>
            <w:r>
              <w:t>”.</w:t>
            </w:r>
          </w:p>
          <w:p w14:paraId="6B8758F3" w14:textId="77777777" w:rsidR="004B355D" w:rsidRDefault="004B355D" w:rsidP="005F400D">
            <w:pPr>
              <w:pStyle w:val="Prrafodelista"/>
              <w:numPr>
                <w:ilvl w:val="0"/>
                <w:numId w:val="2"/>
              </w:numPr>
              <w:ind w:left="315"/>
              <w:jc w:val="both"/>
            </w:pPr>
            <w:r>
              <w:t>CONPES 3654 de 2010 “Política de Rendición de Cuentas de la Rama Ejecutiva a los Ciudadanos”.</w:t>
            </w:r>
          </w:p>
          <w:p w14:paraId="426C4AE1" w14:textId="77777777" w:rsidR="004B355D" w:rsidRDefault="004B355D" w:rsidP="005F400D">
            <w:pPr>
              <w:pStyle w:val="Prrafodelista"/>
              <w:numPr>
                <w:ilvl w:val="0"/>
                <w:numId w:val="2"/>
              </w:numPr>
              <w:ind w:left="315"/>
              <w:jc w:val="both"/>
            </w:pPr>
            <w:r>
              <w:t xml:space="preserve">Ley 1474 de 2011 </w:t>
            </w:r>
            <w:r w:rsidRPr="00393D8A">
              <w:t xml:space="preserve">“Por la cual se dictan normas orientadas a fortalecer los mecanismos de prevención, investigación y sanción de actos de corrupción y la efectividad del control de </w:t>
            </w:r>
            <w:r>
              <w:t>la gestión pública</w:t>
            </w:r>
            <w:r w:rsidRPr="00393D8A">
              <w:t>”</w:t>
            </w:r>
            <w:r>
              <w:t>.</w:t>
            </w:r>
          </w:p>
          <w:p w14:paraId="4F816318" w14:textId="77777777" w:rsidR="004B355D" w:rsidRDefault="004B355D" w:rsidP="005F400D">
            <w:pPr>
              <w:pStyle w:val="Prrafodelista"/>
              <w:numPr>
                <w:ilvl w:val="0"/>
                <w:numId w:val="2"/>
              </w:numPr>
              <w:ind w:left="315"/>
              <w:jc w:val="both"/>
            </w:pPr>
            <w:r>
              <w:t>Ley 1712 de 2014 “</w:t>
            </w:r>
            <w:r w:rsidRPr="00467FA7">
              <w:t>Por medio de la cual se crea la Ley de Transparencia y del Derecho de Acceso a la Información Pública Nacional y se dictan otras disposiciones.</w:t>
            </w:r>
          </w:p>
          <w:p w14:paraId="31C362E4" w14:textId="77777777" w:rsidR="004B355D" w:rsidRDefault="004B355D" w:rsidP="005F400D">
            <w:pPr>
              <w:pStyle w:val="Prrafodelista"/>
              <w:numPr>
                <w:ilvl w:val="0"/>
                <w:numId w:val="2"/>
              </w:numPr>
              <w:ind w:left="315"/>
              <w:jc w:val="both"/>
            </w:pPr>
            <w:r>
              <w:t xml:space="preserve">Decreto 270 de 2017 “Por el cual se modifica y se adiciona el Decreto 1081 de 2015, Decreto Único Reglamentario de la Presidencia de la República, en relación con la participación de los ciudadanos o grupos de interesados en la elaboración de proyectos específicos de regulación”. </w:t>
            </w:r>
          </w:p>
          <w:p w14:paraId="5BB9C0DC" w14:textId="2FB59022" w:rsidR="006D4D5D" w:rsidRDefault="004B355D" w:rsidP="00FB2062">
            <w:pPr>
              <w:jc w:val="both"/>
            </w:pPr>
            <w:r>
              <w:lastRenderedPageBreak/>
              <w:t>Manual Único de Rendición de Cuentas, versión 2.</w:t>
            </w:r>
          </w:p>
        </w:tc>
      </w:tr>
      <w:tr w:rsidR="0045782D" w14:paraId="4B60AD89" w14:textId="77777777" w:rsidTr="000676C0">
        <w:trPr>
          <w:trHeight w:val="627"/>
        </w:trPr>
        <w:tc>
          <w:tcPr>
            <w:tcW w:w="2166" w:type="pct"/>
            <w:shd w:val="clear" w:color="auto" w:fill="F2F2F2" w:themeFill="background1" w:themeFillShade="F2"/>
            <w:vAlign w:val="center"/>
          </w:tcPr>
          <w:p w14:paraId="07E409BC" w14:textId="3D499669" w:rsidR="0045782D" w:rsidRPr="00AD5687" w:rsidRDefault="0045782D" w:rsidP="00FB2062">
            <w:pPr>
              <w:jc w:val="both"/>
              <w:rPr>
                <w:rFonts w:cs="Arial"/>
                <w:b/>
                <w:sz w:val="20"/>
                <w:szCs w:val="22"/>
                <w:lang w:val="es-MX"/>
              </w:rPr>
            </w:pPr>
            <w:r w:rsidRPr="00AD5687">
              <w:rPr>
                <w:rFonts w:cs="Arial"/>
                <w:b/>
                <w:sz w:val="20"/>
                <w:szCs w:val="22"/>
                <w:lang w:val="es-MX"/>
              </w:rPr>
              <w:lastRenderedPageBreak/>
              <w:t>PRUEBAS DE AUDITORÍA</w:t>
            </w:r>
          </w:p>
        </w:tc>
        <w:tc>
          <w:tcPr>
            <w:tcW w:w="2834" w:type="pct"/>
            <w:gridSpan w:val="6"/>
            <w:vAlign w:val="center"/>
          </w:tcPr>
          <w:p w14:paraId="52561496" w14:textId="6C85A76E" w:rsidR="0045782D" w:rsidRPr="004B355D" w:rsidRDefault="004B355D" w:rsidP="00FB2062">
            <w:pPr>
              <w:jc w:val="both"/>
              <w:rPr>
                <w:sz w:val="20"/>
                <w:szCs w:val="22"/>
              </w:rPr>
            </w:pPr>
            <w:r>
              <w:t>Verificación Informe de la Rendición de Cuentas</w:t>
            </w:r>
          </w:p>
        </w:tc>
      </w:tr>
      <w:tr w:rsidR="0045782D" w14:paraId="3D795E5E" w14:textId="77777777" w:rsidTr="000676C0">
        <w:trPr>
          <w:trHeight w:val="599"/>
        </w:trPr>
        <w:tc>
          <w:tcPr>
            <w:tcW w:w="2166" w:type="pct"/>
            <w:shd w:val="clear" w:color="auto" w:fill="F2F2F2" w:themeFill="background1" w:themeFillShade="F2"/>
            <w:vAlign w:val="center"/>
          </w:tcPr>
          <w:p w14:paraId="757E46A4" w14:textId="4B1C1735" w:rsidR="0045782D" w:rsidRPr="00AD5687" w:rsidRDefault="0045782D" w:rsidP="00FB2062">
            <w:pPr>
              <w:jc w:val="both"/>
              <w:rPr>
                <w:rFonts w:cs="Arial"/>
                <w:b/>
                <w:sz w:val="20"/>
                <w:szCs w:val="22"/>
                <w:lang w:val="es-MX"/>
              </w:rPr>
            </w:pPr>
            <w:r w:rsidRPr="00AD5687">
              <w:rPr>
                <w:rFonts w:cs="Arial"/>
                <w:b/>
                <w:sz w:val="20"/>
                <w:szCs w:val="22"/>
                <w:lang w:val="es-MX"/>
              </w:rPr>
              <w:t>EQUIPO AUDITOR</w:t>
            </w:r>
          </w:p>
        </w:tc>
        <w:tc>
          <w:tcPr>
            <w:tcW w:w="2834" w:type="pct"/>
            <w:gridSpan w:val="6"/>
            <w:vAlign w:val="center"/>
          </w:tcPr>
          <w:p w14:paraId="1C5CCC7D" w14:textId="77777777" w:rsidR="004B355D" w:rsidRDefault="004B355D" w:rsidP="00FB2062">
            <w:pPr>
              <w:jc w:val="both"/>
            </w:pPr>
            <w:r>
              <w:t>Eleana Marcela Páez Urrego</w:t>
            </w:r>
          </w:p>
          <w:p w14:paraId="0868F486" w14:textId="2F1D9FA4" w:rsidR="004B355D" w:rsidRPr="004B355D" w:rsidRDefault="004B355D" w:rsidP="00FB2062">
            <w:pPr>
              <w:jc w:val="both"/>
              <w:rPr>
                <w:sz w:val="20"/>
                <w:szCs w:val="22"/>
              </w:rPr>
            </w:pPr>
            <w:r>
              <w:t>Edith Janneth Abella Sánchez</w:t>
            </w:r>
          </w:p>
        </w:tc>
      </w:tr>
      <w:tr w:rsidR="0045782D" w14:paraId="022BA904" w14:textId="77777777" w:rsidTr="000676C0">
        <w:trPr>
          <w:trHeight w:val="694"/>
        </w:trPr>
        <w:tc>
          <w:tcPr>
            <w:tcW w:w="2166" w:type="pct"/>
            <w:shd w:val="clear" w:color="auto" w:fill="F2F2F2" w:themeFill="background1" w:themeFillShade="F2"/>
            <w:vAlign w:val="center"/>
          </w:tcPr>
          <w:p w14:paraId="0C29F327" w14:textId="0FB316A9" w:rsidR="0045782D" w:rsidRPr="00AD5687" w:rsidRDefault="0045782D" w:rsidP="00FB2062">
            <w:pPr>
              <w:jc w:val="both"/>
              <w:rPr>
                <w:rFonts w:cs="Arial"/>
                <w:b/>
                <w:sz w:val="20"/>
                <w:szCs w:val="22"/>
                <w:lang w:val="es-MX"/>
              </w:rPr>
            </w:pPr>
            <w:r w:rsidRPr="00AD5687">
              <w:rPr>
                <w:rFonts w:cs="Arial"/>
                <w:b/>
                <w:sz w:val="20"/>
                <w:szCs w:val="22"/>
              </w:rPr>
              <w:t>FECHA DE EJECUCIÓN DE LA AUDITORÍA</w:t>
            </w:r>
          </w:p>
        </w:tc>
        <w:tc>
          <w:tcPr>
            <w:tcW w:w="2834" w:type="pct"/>
            <w:gridSpan w:val="6"/>
            <w:vAlign w:val="center"/>
          </w:tcPr>
          <w:p w14:paraId="4061C768" w14:textId="208A72F4" w:rsidR="004B355D" w:rsidRPr="004B355D" w:rsidRDefault="004B355D" w:rsidP="00FB2062">
            <w:pPr>
              <w:jc w:val="both"/>
              <w:rPr>
                <w:sz w:val="20"/>
                <w:szCs w:val="22"/>
              </w:rPr>
            </w:pPr>
            <w:r w:rsidRPr="00F54D90">
              <w:t xml:space="preserve">Del </w:t>
            </w:r>
            <w:r>
              <w:t>1</w:t>
            </w:r>
            <w:r w:rsidRPr="00F54D90">
              <w:t xml:space="preserve"> de</w:t>
            </w:r>
            <w:r>
              <w:t xml:space="preserve"> diciembre al 2</w:t>
            </w:r>
            <w:r w:rsidR="004550B8">
              <w:t>4</w:t>
            </w:r>
            <w:r w:rsidRPr="00F54D90">
              <w:t xml:space="preserve"> de diciembre de 2021</w:t>
            </w:r>
            <w:r>
              <w:t>.</w:t>
            </w:r>
          </w:p>
        </w:tc>
      </w:tr>
      <w:tr w:rsidR="0045782D" w14:paraId="48D3900F" w14:textId="77777777" w:rsidTr="000676C0">
        <w:trPr>
          <w:trHeight w:val="1134"/>
        </w:trPr>
        <w:tc>
          <w:tcPr>
            <w:tcW w:w="2166" w:type="pct"/>
            <w:shd w:val="clear" w:color="auto" w:fill="F2F2F2" w:themeFill="background1" w:themeFillShade="F2"/>
            <w:vAlign w:val="center"/>
          </w:tcPr>
          <w:p w14:paraId="5FFFB5D3" w14:textId="64791308" w:rsidR="0045782D" w:rsidRPr="00AD5687" w:rsidRDefault="0045782D" w:rsidP="00FB2062">
            <w:pPr>
              <w:jc w:val="both"/>
              <w:rPr>
                <w:rFonts w:cs="Arial"/>
                <w:b/>
                <w:sz w:val="20"/>
                <w:szCs w:val="22"/>
                <w:lang w:val="es-MX"/>
              </w:rPr>
            </w:pPr>
            <w:r w:rsidRPr="00AD5687">
              <w:rPr>
                <w:rFonts w:cs="Arial"/>
                <w:b/>
                <w:sz w:val="20"/>
                <w:szCs w:val="22"/>
              </w:rPr>
              <w:t>INSUMOS</w:t>
            </w:r>
          </w:p>
        </w:tc>
        <w:tc>
          <w:tcPr>
            <w:tcW w:w="2834" w:type="pct"/>
            <w:gridSpan w:val="6"/>
            <w:vAlign w:val="center"/>
          </w:tcPr>
          <w:p w14:paraId="2032120F" w14:textId="77777777" w:rsidR="004B355D" w:rsidRPr="00F54D90" w:rsidRDefault="004B355D" w:rsidP="00FB2062">
            <w:pPr>
              <w:jc w:val="both"/>
            </w:pPr>
            <w:r w:rsidRPr="00F54D90">
              <w:t>Los r</w:t>
            </w:r>
            <w:r>
              <w:t>esultados se fundamentan en el I</w:t>
            </w:r>
            <w:r w:rsidRPr="00F54D90">
              <w:t>nforme de</w:t>
            </w:r>
          </w:p>
          <w:p w14:paraId="6FEF4268" w14:textId="3BEB89BD" w:rsidR="004B355D" w:rsidRPr="004B355D" w:rsidRDefault="004B355D" w:rsidP="00FB2062">
            <w:pPr>
              <w:jc w:val="both"/>
              <w:rPr>
                <w:sz w:val="20"/>
                <w:szCs w:val="22"/>
              </w:rPr>
            </w:pPr>
            <w:r w:rsidRPr="00F54D90">
              <w:t xml:space="preserve">Resultados de la Audiencia Pública </w:t>
            </w:r>
            <w:r>
              <w:t xml:space="preserve">Sectorial </w:t>
            </w:r>
            <w:r w:rsidRPr="00F54D90">
              <w:t>presentados por la</w:t>
            </w:r>
            <w:r>
              <w:t xml:space="preserve"> Oficina Asesora de Planeación.</w:t>
            </w:r>
          </w:p>
        </w:tc>
      </w:tr>
      <w:tr w:rsidR="0045782D" w14:paraId="0ACC3BE1" w14:textId="77777777" w:rsidTr="000676C0">
        <w:trPr>
          <w:trHeight w:val="693"/>
        </w:trPr>
        <w:tc>
          <w:tcPr>
            <w:tcW w:w="2166" w:type="pct"/>
            <w:shd w:val="clear" w:color="auto" w:fill="F2F2F2" w:themeFill="background1" w:themeFillShade="F2"/>
            <w:vAlign w:val="center"/>
          </w:tcPr>
          <w:p w14:paraId="774A6816" w14:textId="13DBF83E" w:rsidR="0045782D" w:rsidRPr="00AD5687" w:rsidRDefault="0045782D" w:rsidP="00FB2062">
            <w:pPr>
              <w:jc w:val="both"/>
              <w:rPr>
                <w:rFonts w:cs="Arial"/>
                <w:b/>
                <w:sz w:val="20"/>
                <w:szCs w:val="22"/>
                <w:lang w:val="es-MX"/>
              </w:rPr>
            </w:pPr>
            <w:r w:rsidRPr="00AD5687">
              <w:rPr>
                <w:rFonts w:cs="Arial"/>
                <w:b/>
                <w:sz w:val="20"/>
                <w:szCs w:val="22"/>
              </w:rPr>
              <w:t>LIMITACIONES DE LA EVALUACIÓN Y/O SEGUIMIENTO</w:t>
            </w:r>
          </w:p>
        </w:tc>
        <w:tc>
          <w:tcPr>
            <w:tcW w:w="2834" w:type="pct"/>
            <w:gridSpan w:val="6"/>
            <w:vAlign w:val="center"/>
          </w:tcPr>
          <w:p w14:paraId="7C880F9F" w14:textId="4CF7B82E" w:rsidR="004B355D" w:rsidRPr="004B355D" w:rsidRDefault="004B355D" w:rsidP="00FB2062">
            <w:pPr>
              <w:jc w:val="both"/>
              <w:rPr>
                <w:sz w:val="20"/>
                <w:szCs w:val="22"/>
              </w:rPr>
            </w:pPr>
            <w:r w:rsidRPr="00F54D90">
              <w:t>No se presentaron</w:t>
            </w:r>
          </w:p>
        </w:tc>
      </w:tr>
    </w:tbl>
    <w:p w14:paraId="4162D6BC" w14:textId="77777777" w:rsidR="007E187A" w:rsidRDefault="007E187A" w:rsidP="00FB2062">
      <w:pPr>
        <w:pStyle w:val="Prrafodelista"/>
        <w:rPr>
          <w:rFonts w:cs="Arial"/>
          <w:b/>
        </w:rPr>
      </w:pPr>
    </w:p>
    <w:p w14:paraId="6C8CE5A8" w14:textId="77777777" w:rsidR="00F1402C" w:rsidRDefault="00F1402C" w:rsidP="00FB2062">
      <w:pPr>
        <w:pStyle w:val="Prrafodelista"/>
        <w:rPr>
          <w:rFonts w:cs="Arial"/>
          <w:b/>
        </w:rPr>
      </w:pPr>
    </w:p>
    <w:p w14:paraId="45635FF4" w14:textId="59482FE9" w:rsidR="007E187A" w:rsidRPr="007E187A" w:rsidRDefault="007E187A" w:rsidP="005F400D">
      <w:pPr>
        <w:pStyle w:val="Prrafodelista"/>
        <w:numPr>
          <w:ilvl w:val="0"/>
          <w:numId w:val="1"/>
        </w:numPr>
        <w:jc w:val="center"/>
        <w:rPr>
          <w:rFonts w:cs="Arial"/>
          <w:b/>
        </w:rPr>
      </w:pPr>
      <w:r w:rsidRPr="007E187A">
        <w:rPr>
          <w:rFonts w:cs="Arial"/>
          <w:b/>
        </w:rPr>
        <w:t>RESULTADOS DE LA EVALUACIÓN Y/O SEGUIMIENTO</w:t>
      </w:r>
    </w:p>
    <w:p w14:paraId="1064F87F" w14:textId="77777777" w:rsidR="007E187A" w:rsidRPr="007E187A" w:rsidRDefault="007E187A" w:rsidP="00FB2062">
      <w:pPr>
        <w:jc w:val="both"/>
        <w:rPr>
          <w:rFonts w:cs="Arial"/>
          <w:b/>
        </w:rPr>
      </w:pPr>
    </w:p>
    <w:p w14:paraId="5DE2F338" w14:textId="77777777" w:rsidR="00A4095B" w:rsidRPr="006B638C" w:rsidRDefault="00A4095B" w:rsidP="00FB2062">
      <w:pPr>
        <w:jc w:val="both"/>
        <w:rPr>
          <w:rFonts w:cs="Arial"/>
        </w:rPr>
      </w:pPr>
      <w:r w:rsidRPr="006B638C">
        <w:rPr>
          <w:rFonts w:cs="Arial"/>
        </w:rPr>
        <w:t>Conforme a lo preceptuado en el Manual Único de Rendición de Cuentas</w:t>
      </w:r>
      <w:r>
        <w:rPr>
          <w:rFonts w:cs="Arial"/>
        </w:rPr>
        <w:t xml:space="preserve"> - MURC</w:t>
      </w:r>
      <w:r w:rsidRPr="006B638C">
        <w:rPr>
          <w:rFonts w:cs="Arial"/>
        </w:rPr>
        <w:t>, las entidades públicas deben cumplir con tres elementos centrales para garantizar la responsabilidad pública de las autoridades y el derecho ciudadano a controlar la gestión</w:t>
      </w:r>
      <w:r>
        <w:rPr>
          <w:rFonts w:cs="Arial"/>
        </w:rPr>
        <w:t xml:space="preserve"> así: </w:t>
      </w:r>
    </w:p>
    <w:p w14:paraId="6699A433" w14:textId="77777777" w:rsidR="00A4095B" w:rsidRPr="0049541B" w:rsidRDefault="00A4095B" w:rsidP="00FB2062">
      <w:pPr>
        <w:jc w:val="both"/>
        <w:rPr>
          <w:rFonts w:cs="Arial"/>
          <w:b/>
          <w:highlight w:val="yellow"/>
        </w:rPr>
      </w:pPr>
    </w:p>
    <w:p w14:paraId="2F3D3835" w14:textId="77777777" w:rsidR="00A4095B" w:rsidRDefault="00A4095B" w:rsidP="005F400D">
      <w:pPr>
        <w:pStyle w:val="Prrafodelista"/>
        <w:numPr>
          <w:ilvl w:val="0"/>
          <w:numId w:val="3"/>
        </w:numPr>
        <w:jc w:val="both"/>
        <w:rPr>
          <w:rFonts w:cs="Arial"/>
        </w:rPr>
      </w:pPr>
      <w:r w:rsidRPr="00B375B4">
        <w:rPr>
          <w:rFonts w:cs="Arial"/>
          <w:b/>
        </w:rPr>
        <w:t>Información:</w:t>
      </w:r>
      <w:r w:rsidRPr="00A56F1A">
        <w:rPr>
          <w:rFonts w:cs="Arial"/>
        </w:rPr>
        <w:t xml:space="preserve"> </w:t>
      </w:r>
      <w:r w:rsidRPr="00893F1B">
        <w:rPr>
          <w:rFonts w:cs="Arial"/>
        </w:rPr>
        <w:t>Informar públicamente sobre las decisiones y explicar la gestión pública, sus resultados y los avances en la garantía de derechos.</w:t>
      </w:r>
      <w:r>
        <w:rPr>
          <w:rFonts w:cs="Arial"/>
        </w:rPr>
        <w:t xml:space="preserve"> </w:t>
      </w:r>
      <w:r w:rsidRPr="00A56F1A">
        <w:rPr>
          <w:rFonts w:cs="Arial"/>
        </w:rPr>
        <w:t xml:space="preserve">Producir y transmitir información y datos en leguaje claro; Medir los avances con datos cuantitativos y cualitativos; Cumplir con la transparencia activa, pasiva, focalizada y </w:t>
      </w:r>
      <w:r>
        <w:rPr>
          <w:rFonts w:cs="Arial"/>
        </w:rPr>
        <w:t>colaborativa; Implementar acciones de comunicación visual en espacios públicos.</w:t>
      </w:r>
    </w:p>
    <w:p w14:paraId="5AA21082" w14:textId="77777777" w:rsidR="00A4095B" w:rsidRDefault="00A4095B" w:rsidP="00FB2062">
      <w:pPr>
        <w:jc w:val="both"/>
        <w:rPr>
          <w:rFonts w:cs="Arial"/>
        </w:rPr>
      </w:pPr>
    </w:p>
    <w:p w14:paraId="16604177" w14:textId="77777777" w:rsidR="00A4095B" w:rsidRDefault="00A4095B" w:rsidP="005F400D">
      <w:pPr>
        <w:pStyle w:val="Prrafodelista"/>
        <w:numPr>
          <w:ilvl w:val="0"/>
          <w:numId w:val="3"/>
        </w:numPr>
        <w:jc w:val="both"/>
        <w:rPr>
          <w:rFonts w:cs="Arial"/>
        </w:rPr>
      </w:pPr>
      <w:r w:rsidRPr="00B375B4">
        <w:rPr>
          <w:rFonts w:cs="Arial"/>
          <w:b/>
        </w:rPr>
        <w:t>Diálogo:</w:t>
      </w:r>
      <w:r>
        <w:rPr>
          <w:rFonts w:cs="Arial"/>
        </w:rPr>
        <w:t xml:space="preserve"> </w:t>
      </w:r>
      <w:r w:rsidRPr="00893F1B">
        <w:rPr>
          <w:rFonts w:cs="Arial"/>
        </w:rPr>
        <w:t>Dialogar con los grupos de valor y de interés al respecto, explicando y justificando la gestión, permitiendo preguntas y cuestionamientos, en escenarios presenciales de encuentro, complementados, si existen las condiciones, con medios virtuales.</w:t>
      </w:r>
      <w:r>
        <w:rPr>
          <w:rFonts w:cs="Arial"/>
        </w:rPr>
        <w:t xml:space="preserve"> Diversificar leguajes, canales y uso de comunicación visual; Priorizar el dialogo público; Interactuar con todos de manera pacífica; Contar, consultar, escuchar, proponer y cogestionar.</w:t>
      </w:r>
    </w:p>
    <w:p w14:paraId="05BC3DD6" w14:textId="77777777" w:rsidR="00A4095B" w:rsidRPr="005F5CD7" w:rsidRDefault="00A4095B" w:rsidP="00FB2062">
      <w:pPr>
        <w:pStyle w:val="Prrafodelista"/>
        <w:rPr>
          <w:rFonts w:cs="Arial"/>
        </w:rPr>
      </w:pPr>
    </w:p>
    <w:p w14:paraId="219CF8C9" w14:textId="77777777" w:rsidR="00A4095B" w:rsidRPr="00DC587D" w:rsidRDefault="00A4095B" w:rsidP="005F400D">
      <w:pPr>
        <w:pStyle w:val="Prrafodelista"/>
        <w:numPr>
          <w:ilvl w:val="0"/>
          <w:numId w:val="3"/>
        </w:numPr>
        <w:jc w:val="both"/>
        <w:rPr>
          <w:rFonts w:cs="Arial"/>
        </w:rPr>
      </w:pPr>
      <w:r w:rsidRPr="00B375B4">
        <w:rPr>
          <w:rFonts w:cs="Arial"/>
          <w:b/>
        </w:rPr>
        <w:t>Responsabilidad:</w:t>
      </w:r>
      <w:r>
        <w:rPr>
          <w:rFonts w:cs="Arial"/>
        </w:rPr>
        <w:t xml:space="preserve"> </w:t>
      </w:r>
      <w:r w:rsidRPr="00893F1B">
        <w:rPr>
          <w:rFonts w:cs="Arial"/>
        </w:rPr>
        <w:t>Responder por los resultados de la gestión definiendo o asumiendo mecanismos de corrección o mejora en sus planes institucionales para atender los compromisos y evaluaciones identificadas en los espacios de diálogo. También incluye la capacidad de las autoridades para responder al control de la ciudadanía, los medios de comunicación, la sociedad civil y los órganos de control asegurando el cumplimiento de obligaciones o de imponer sanciones si la gestión no es satisfactoria.</w:t>
      </w:r>
      <w:r>
        <w:rPr>
          <w:rFonts w:cs="Arial"/>
        </w:rPr>
        <w:t xml:space="preserve"> </w:t>
      </w:r>
    </w:p>
    <w:p w14:paraId="1E00F9C8" w14:textId="77777777" w:rsidR="00A4095B" w:rsidRPr="000A29C4" w:rsidRDefault="00A4095B" w:rsidP="00FB2062">
      <w:pPr>
        <w:jc w:val="both"/>
        <w:rPr>
          <w:rFonts w:cs="Arial"/>
          <w:b/>
        </w:rPr>
      </w:pPr>
    </w:p>
    <w:p w14:paraId="4578DB9A" w14:textId="6A46126A" w:rsidR="00B375B4" w:rsidRDefault="00A4095B" w:rsidP="00FB2062">
      <w:pPr>
        <w:jc w:val="both"/>
        <w:rPr>
          <w:rFonts w:cs="Arial"/>
        </w:rPr>
      </w:pPr>
      <w:r>
        <w:rPr>
          <w:rFonts w:cs="Arial"/>
        </w:rPr>
        <w:t xml:space="preserve">De tal manera que la Rendición de Cuentas de la Entidad se desarrolló en el marco de la Sectorial liderada por la Secretaría Distrital de Cultura Recreación y Deporte, para la </w:t>
      </w:r>
      <w:r>
        <w:rPr>
          <w:rFonts w:cs="Arial"/>
        </w:rPr>
        <w:lastRenderedPageBreak/>
        <w:t>vigencia 202</w:t>
      </w:r>
      <w:r w:rsidR="008732B9">
        <w:rPr>
          <w:rFonts w:cs="Arial"/>
        </w:rPr>
        <w:t>1</w:t>
      </w:r>
      <w:r>
        <w:rPr>
          <w:rFonts w:cs="Arial"/>
        </w:rPr>
        <w:t xml:space="preserve">, </w:t>
      </w:r>
      <w:r w:rsidR="008732B9">
        <w:rPr>
          <w:rFonts w:cs="Arial"/>
        </w:rPr>
        <w:t>que,</w:t>
      </w:r>
      <w:r>
        <w:rPr>
          <w:rFonts w:cs="Arial"/>
        </w:rPr>
        <w:t xml:space="preserve"> a su vez, articuló la de las entidades adscritas y vinculadas a esta Secretarí</w:t>
      </w:r>
      <w:r w:rsidR="00B375B4">
        <w:rPr>
          <w:rFonts w:cs="Arial"/>
        </w:rPr>
        <w:t>a.</w:t>
      </w:r>
    </w:p>
    <w:p w14:paraId="1D3D5902" w14:textId="558C55CD" w:rsidR="00B375B4" w:rsidRDefault="00B375B4" w:rsidP="00FB2062">
      <w:pPr>
        <w:jc w:val="both"/>
        <w:rPr>
          <w:rFonts w:cs="Arial"/>
        </w:rPr>
      </w:pPr>
    </w:p>
    <w:p w14:paraId="03C47C88" w14:textId="608BB59D" w:rsidR="00B375B4" w:rsidRDefault="00B375B4" w:rsidP="00FB2062">
      <w:pPr>
        <w:jc w:val="both"/>
        <w:rPr>
          <w:rFonts w:cs="Arial"/>
        </w:rPr>
      </w:pPr>
      <w:r>
        <w:rPr>
          <w:rFonts w:cs="Arial"/>
        </w:rPr>
        <w:t xml:space="preserve">De otra parte, el Instituto Distrital de Patrimonio Cultural </w:t>
      </w:r>
      <w:r w:rsidR="00684A21">
        <w:rPr>
          <w:rFonts w:cs="Arial"/>
        </w:rPr>
        <w:t xml:space="preserve">adicionalmente </w:t>
      </w:r>
      <w:r>
        <w:rPr>
          <w:rFonts w:cs="Arial"/>
        </w:rPr>
        <w:t>realizó el 2 de diciembre ejercicio de dialogo ciudadano en la localidad de Bosa.</w:t>
      </w:r>
    </w:p>
    <w:p w14:paraId="7EE1F171" w14:textId="77777777" w:rsidR="00A4095B" w:rsidRDefault="00A4095B" w:rsidP="00FB2062">
      <w:pPr>
        <w:jc w:val="both"/>
        <w:rPr>
          <w:rFonts w:cs="Arial"/>
          <w:b/>
        </w:rPr>
      </w:pPr>
    </w:p>
    <w:p w14:paraId="3CF878A8" w14:textId="0A29742D" w:rsidR="00A4095B" w:rsidRPr="000676C0" w:rsidRDefault="00A4095B" w:rsidP="005F400D">
      <w:pPr>
        <w:pStyle w:val="Prrafodelista"/>
        <w:numPr>
          <w:ilvl w:val="1"/>
          <w:numId w:val="10"/>
        </w:numPr>
        <w:ind w:left="426"/>
        <w:jc w:val="center"/>
        <w:rPr>
          <w:rFonts w:cs="Arial"/>
          <w:b/>
        </w:rPr>
      </w:pPr>
      <w:r w:rsidRPr="000676C0">
        <w:rPr>
          <w:rFonts w:cs="Arial"/>
          <w:b/>
        </w:rPr>
        <w:t>EVALUACI</w:t>
      </w:r>
      <w:r w:rsidR="008732B9" w:rsidRPr="000676C0">
        <w:rPr>
          <w:rFonts w:cs="Arial"/>
          <w:b/>
        </w:rPr>
        <w:t>Ó</w:t>
      </w:r>
      <w:r w:rsidRPr="000676C0">
        <w:rPr>
          <w:rFonts w:cs="Arial"/>
          <w:b/>
        </w:rPr>
        <w:t>N DE LA ESTRATEGIA RENDICI</w:t>
      </w:r>
      <w:r w:rsidR="008732B9" w:rsidRPr="000676C0">
        <w:rPr>
          <w:rFonts w:cs="Arial"/>
          <w:b/>
        </w:rPr>
        <w:t>Ó</w:t>
      </w:r>
      <w:r w:rsidRPr="000676C0">
        <w:rPr>
          <w:rFonts w:cs="Arial"/>
          <w:b/>
        </w:rPr>
        <w:t>N DE CUENTAS VIGENCIA 202</w:t>
      </w:r>
      <w:r w:rsidR="008732B9" w:rsidRPr="000676C0">
        <w:rPr>
          <w:rFonts w:cs="Arial"/>
          <w:b/>
        </w:rPr>
        <w:t>1</w:t>
      </w:r>
    </w:p>
    <w:p w14:paraId="617ED40A" w14:textId="77777777" w:rsidR="00FB2062" w:rsidRDefault="00FB2062" w:rsidP="00FB2062">
      <w:pPr>
        <w:jc w:val="both"/>
        <w:rPr>
          <w:rFonts w:cs="Arial"/>
        </w:rPr>
      </w:pPr>
    </w:p>
    <w:p w14:paraId="3B3EEDD3" w14:textId="2E67BDBF" w:rsidR="001D75A6" w:rsidRDefault="001D75A6" w:rsidP="00FB2062">
      <w:pPr>
        <w:jc w:val="both"/>
        <w:rPr>
          <w:rFonts w:cs="Arial"/>
        </w:rPr>
      </w:pPr>
      <w:r>
        <w:rPr>
          <w:rFonts w:cs="Arial"/>
        </w:rPr>
        <w:t xml:space="preserve">El Instituto Distrital de Patrimonio Cultural – IDPC, adoptó la estrategia de rendición de cuentas 2021 – 2024 V.3 vigente desde el 24 de febrero de 2021, publicada en la página web de la entidad micrositio de transparencia y puede ser consultada en el siguiente link: </w:t>
      </w:r>
      <w:r w:rsidRPr="001D75A6">
        <w:rPr>
          <w:rFonts w:cs="Arial"/>
        </w:rPr>
        <w:t>https://drive.google.com/file/d/16m3S4-ArL_bNq1uWTl34IPNTxeygCcDf/view</w:t>
      </w:r>
      <w:r>
        <w:rPr>
          <w:rFonts w:cs="Arial"/>
        </w:rPr>
        <w:t xml:space="preserve"> </w:t>
      </w:r>
    </w:p>
    <w:p w14:paraId="33383239" w14:textId="77777777" w:rsidR="00FB2062" w:rsidRDefault="00FB2062" w:rsidP="00FB2062">
      <w:pPr>
        <w:jc w:val="both"/>
        <w:rPr>
          <w:rFonts w:cs="Arial"/>
        </w:rPr>
      </w:pPr>
    </w:p>
    <w:p w14:paraId="34431746" w14:textId="11381585" w:rsidR="0060306A" w:rsidRDefault="001D75A6" w:rsidP="00FB2062">
      <w:pPr>
        <w:jc w:val="both"/>
        <w:rPr>
          <w:rFonts w:cs="Arial"/>
        </w:rPr>
      </w:pPr>
      <w:r w:rsidRPr="00153F14">
        <w:rPr>
          <w:rFonts w:cs="Arial"/>
        </w:rPr>
        <w:t xml:space="preserve">Se evidenció que la estrategia de rendición de cuentas se </w:t>
      </w:r>
      <w:r w:rsidR="00A4095B" w:rsidRPr="00153F14">
        <w:rPr>
          <w:rFonts w:cs="Arial"/>
        </w:rPr>
        <w:t xml:space="preserve">estructuró </w:t>
      </w:r>
      <w:r w:rsidRPr="00153F14">
        <w:rPr>
          <w:rFonts w:cs="Arial"/>
        </w:rPr>
        <w:t>con base en el Manual único de Rendición de Cuentas – MURC – versión 2 emitido por el Departamento Administrativo de la Función Pública – DAFP</w:t>
      </w:r>
      <w:r w:rsidR="00153F14">
        <w:rPr>
          <w:rFonts w:cs="Arial"/>
        </w:rPr>
        <w:t>, así c</w:t>
      </w:r>
      <w:r w:rsidR="00E65613">
        <w:rPr>
          <w:rFonts w:cs="Arial"/>
        </w:rPr>
        <w:t xml:space="preserve">omo se tuvo en cuenta lo establecido en </w:t>
      </w:r>
      <w:r w:rsidR="00153F14">
        <w:rPr>
          <w:rFonts w:cs="Arial"/>
        </w:rPr>
        <w:t xml:space="preserve">el </w:t>
      </w:r>
      <w:r w:rsidR="00153F14" w:rsidRPr="00153F14">
        <w:rPr>
          <w:rFonts w:cs="Arial"/>
        </w:rPr>
        <w:t xml:space="preserve">lineamiento </w:t>
      </w:r>
      <w:r w:rsidR="00153F14">
        <w:rPr>
          <w:rFonts w:cs="Arial"/>
        </w:rPr>
        <w:t>emitido por el Gobierno Nacional</w:t>
      </w:r>
      <w:r w:rsidR="004321C3">
        <w:rPr>
          <w:rFonts w:cs="Arial"/>
        </w:rPr>
        <w:t xml:space="preserve"> para las entidades de la rama ejecutiva, a través del d</w:t>
      </w:r>
      <w:r w:rsidR="00153F14" w:rsidRPr="00153F14">
        <w:rPr>
          <w:rFonts w:cs="Arial"/>
        </w:rPr>
        <w:t xml:space="preserve">ocumento CONPES 3654 de 2010, que tiene como objetivo, </w:t>
      </w:r>
      <w:r w:rsidR="004321C3" w:rsidRPr="004321C3">
        <w:rPr>
          <w:rFonts w:cs="Arial"/>
        </w:rPr>
        <w:t>articular las</w:t>
      </w:r>
      <w:r w:rsidR="004321C3">
        <w:rPr>
          <w:rFonts w:cs="Arial"/>
        </w:rPr>
        <w:t xml:space="preserve"> </w:t>
      </w:r>
      <w:r w:rsidR="004321C3" w:rsidRPr="004321C3">
        <w:rPr>
          <w:rFonts w:cs="Arial"/>
        </w:rPr>
        <w:t>diferentes acciones desarrolladas por las entidades para ofrecer a la ciudadanía explicaciones sobre las</w:t>
      </w:r>
      <w:r w:rsidR="004321C3">
        <w:rPr>
          <w:rFonts w:cs="Arial"/>
        </w:rPr>
        <w:t xml:space="preserve"> </w:t>
      </w:r>
      <w:r w:rsidR="004321C3" w:rsidRPr="004321C3">
        <w:rPr>
          <w:rFonts w:cs="Arial"/>
        </w:rPr>
        <w:t>actuaciones del sector público</w:t>
      </w:r>
      <w:r w:rsidR="0060306A">
        <w:rPr>
          <w:rFonts w:cs="Arial"/>
        </w:rPr>
        <w:t xml:space="preserve">; lo establecido en </w:t>
      </w:r>
      <w:r w:rsidR="0060306A" w:rsidRPr="0060306A">
        <w:rPr>
          <w:rFonts w:cs="Arial"/>
        </w:rPr>
        <w:t xml:space="preserve">la ley </w:t>
      </w:r>
      <w:r w:rsidR="00865E55">
        <w:rPr>
          <w:rFonts w:cs="Arial"/>
        </w:rPr>
        <w:t xml:space="preserve">1712 de 2014 Ley </w:t>
      </w:r>
      <w:r w:rsidR="0060306A" w:rsidRPr="0060306A">
        <w:rPr>
          <w:rFonts w:cs="Arial"/>
        </w:rPr>
        <w:t>de Transparencia, el plan anticorrupción y de atención a la ciudadanía y la política de participación ciudadana</w:t>
      </w:r>
      <w:r w:rsidR="0060306A">
        <w:rPr>
          <w:rFonts w:cs="Arial"/>
        </w:rPr>
        <w:t xml:space="preserve"> </w:t>
      </w:r>
    </w:p>
    <w:p w14:paraId="0DEB7633" w14:textId="77777777" w:rsidR="00FB2062" w:rsidRDefault="00FB2062" w:rsidP="00FB2062">
      <w:pPr>
        <w:jc w:val="both"/>
        <w:rPr>
          <w:rFonts w:cs="Arial"/>
        </w:rPr>
      </w:pPr>
    </w:p>
    <w:p w14:paraId="50DA00A3" w14:textId="6F809E3A" w:rsidR="004321C3" w:rsidRDefault="00E65613" w:rsidP="00FB2062">
      <w:pPr>
        <w:jc w:val="both"/>
        <w:rPr>
          <w:rFonts w:cs="Arial"/>
        </w:rPr>
      </w:pPr>
      <w:r>
        <w:rPr>
          <w:rFonts w:cs="Arial"/>
        </w:rPr>
        <w:t xml:space="preserve">También cumple con el propósito definido en la </w:t>
      </w:r>
      <w:r w:rsidR="001D75A6" w:rsidRPr="00153F14">
        <w:rPr>
          <w:rFonts w:cs="Arial"/>
        </w:rPr>
        <w:t xml:space="preserve">dimensión de valores para resultados del Modelo Integrado de Planeación y Gestión – MIPG-; la cual incluye las políticas que permiten a las entidades mantener una constante y fluida interacción con la ciudadanía de manera transparente y participativa y la entrega efectiva de productos, servicios e información. </w:t>
      </w:r>
    </w:p>
    <w:p w14:paraId="1D222C91" w14:textId="77777777" w:rsidR="00FB2062" w:rsidRDefault="00FB2062" w:rsidP="00FB2062">
      <w:pPr>
        <w:jc w:val="both"/>
        <w:rPr>
          <w:rFonts w:cs="Arial"/>
        </w:rPr>
      </w:pPr>
    </w:p>
    <w:p w14:paraId="1D2D5170" w14:textId="3AB4403B" w:rsidR="001D75A6" w:rsidRDefault="00E65613" w:rsidP="00FB2062">
      <w:pPr>
        <w:jc w:val="both"/>
        <w:rPr>
          <w:rFonts w:cs="Arial"/>
        </w:rPr>
      </w:pPr>
      <w:r>
        <w:rPr>
          <w:rFonts w:cs="Arial"/>
        </w:rPr>
        <w:t xml:space="preserve">Con fundamento en lo anterior, el ejercicio de la rendición de cuentas del IDPC, </w:t>
      </w:r>
      <w:r w:rsidR="001D75A6" w:rsidRPr="00153F14">
        <w:rPr>
          <w:rFonts w:cs="Arial"/>
        </w:rPr>
        <w:t>se integra a los ejercicios de participación ciudadana en la gestión como un proceso que facilita la evaluación y control</w:t>
      </w:r>
      <w:r w:rsidR="00153F14" w:rsidRPr="00153F14">
        <w:rPr>
          <w:rFonts w:cs="Arial"/>
        </w:rPr>
        <w:t xml:space="preserve"> </w:t>
      </w:r>
      <w:r w:rsidR="001D75A6" w:rsidRPr="00153F14">
        <w:rPr>
          <w:rFonts w:cs="Arial"/>
        </w:rPr>
        <w:t>ciudadano en el ciclo de la gestión públic</w:t>
      </w:r>
      <w:r>
        <w:rPr>
          <w:rFonts w:cs="Arial"/>
        </w:rPr>
        <w:t>a</w:t>
      </w:r>
      <w:r w:rsidR="004F387A">
        <w:rPr>
          <w:rFonts w:cs="Arial"/>
        </w:rPr>
        <w:t xml:space="preserve"> para lo cual se informa y explica la gestión r</w:t>
      </w:r>
      <w:r w:rsidR="004F387A" w:rsidRPr="004F387A">
        <w:rPr>
          <w:rFonts w:cs="Arial"/>
        </w:rPr>
        <w:t xml:space="preserve">ealizada, los resultados de </w:t>
      </w:r>
      <w:r w:rsidR="004F387A">
        <w:rPr>
          <w:rFonts w:cs="Arial"/>
        </w:rPr>
        <w:t xml:space="preserve">los planes de </w:t>
      </w:r>
      <w:r w:rsidR="004F387A" w:rsidRPr="004F387A">
        <w:rPr>
          <w:rFonts w:cs="Arial"/>
        </w:rPr>
        <w:t>acción y el avance en la garantía de derechos, en un lenguaje dialógico y participativo.</w:t>
      </w:r>
    </w:p>
    <w:p w14:paraId="43146655" w14:textId="77777777" w:rsidR="00FB2062" w:rsidRDefault="00FB2062" w:rsidP="00FB2062">
      <w:pPr>
        <w:jc w:val="both"/>
        <w:rPr>
          <w:rFonts w:cs="Arial"/>
        </w:rPr>
      </w:pPr>
    </w:p>
    <w:p w14:paraId="6AB32965" w14:textId="4D0ABDFC" w:rsidR="004F387A" w:rsidRDefault="00F060FB" w:rsidP="00FB2062">
      <w:pPr>
        <w:jc w:val="both"/>
      </w:pPr>
      <w:r>
        <w:rPr>
          <w:rFonts w:cs="Arial"/>
        </w:rPr>
        <w:t xml:space="preserve">Es importante </w:t>
      </w:r>
      <w:r w:rsidR="009C2361">
        <w:rPr>
          <w:rFonts w:cs="Arial"/>
        </w:rPr>
        <w:t xml:space="preserve">señalar </w:t>
      </w:r>
      <w:r w:rsidR="00F952C5">
        <w:t>que la entidad, ademá</w:t>
      </w:r>
      <w:r w:rsidR="00FB2062">
        <w:t>s de participar en la audiencia pública</w:t>
      </w:r>
      <w:r w:rsidR="00F952C5">
        <w:t xml:space="preserve"> de Rendición de Cuentas, desarrolla procesos permanentes de diálogo participativos con la ciudadanía y grupos poblacionales interesados; espacios donde se permite a la ciudadanía ser partícipe de las actividades misionales de la entidad; aspecto relevante, considerado como una fortaleza en la gestión, basada en los pilares de transparencia, colaboración e innovación tecnológica, que permit</w:t>
      </w:r>
      <w:r w:rsidR="0060306A">
        <w:t>en</w:t>
      </w:r>
      <w:r w:rsidR="00F952C5">
        <w:t xml:space="preserve"> continuar con el apoyo y participación ciudadana.</w:t>
      </w:r>
    </w:p>
    <w:p w14:paraId="00A69271" w14:textId="77777777" w:rsidR="00FB2062" w:rsidRDefault="00FB2062" w:rsidP="00FB2062">
      <w:pPr>
        <w:jc w:val="both"/>
      </w:pPr>
    </w:p>
    <w:p w14:paraId="6DA756ED" w14:textId="0AC6A930" w:rsidR="00FB2062" w:rsidRPr="000676C0" w:rsidRDefault="00FB2062" w:rsidP="005F400D">
      <w:pPr>
        <w:pStyle w:val="Prrafodelista"/>
        <w:numPr>
          <w:ilvl w:val="1"/>
          <w:numId w:val="10"/>
        </w:numPr>
        <w:ind w:left="426"/>
        <w:jc w:val="center"/>
        <w:rPr>
          <w:rFonts w:cs="Arial"/>
          <w:b/>
        </w:rPr>
      </w:pPr>
      <w:r w:rsidRPr="000676C0">
        <w:rPr>
          <w:rFonts w:cs="Arial"/>
          <w:b/>
        </w:rPr>
        <w:t xml:space="preserve">EVALUACIÓN </w:t>
      </w:r>
      <w:r w:rsidR="00460856">
        <w:rPr>
          <w:rFonts w:cs="Arial"/>
          <w:b/>
        </w:rPr>
        <w:t>AUDIENCIA PÚBLICA SECTORIAL</w:t>
      </w:r>
      <w:r>
        <w:rPr>
          <w:rFonts w:cs="Arial"/>
          <w:b/>
        </w:rPr>
        <w:t xml:space="preserve"> DE</w:t>
      </w:r>
      <w:r w:rsidRPr="000676C0">
        <w:rPr>
          <w:rFonts w:cs="Arial"/>
          <w:b/>
        </w:rPr>
        <w:t xml:space="preserve"> RENDICIÓN DE CUENTAS VIGENCIA 2021</w:t>
      </w:r>
    </w:p>
    <w:p w14:paraId="302745A3" w14:textId="77777777" w:rsidR="00FB2062" w:rsidRDefault="00FB2062" w:rsidP="00FB2062">
      <w:pPr>
        <w:jc w:val="both"/>
      </w:pPr>
    </w:p>
    <w:p w14:paraId="2ECA1C5C" w14:textId="1568091E" w:rsidR="00123A60" w:rsidRPr="00AE2628" w:rsidRDefault="00123A60" w:rsidP="005F400D">
      <w:pPr>
        <w:pStyle w:val="Prrafodelista"/>
        <w:numPr>
          <w:ilvl w:val="1"/>
          <w:numId w:val="1"/>
        </w:numPr>
        <w:ind w:left="851"/>
        <w:jc w:val="both"/>
        <w:rPr>
          <w:rFonts w:cs="Arial"/>
          <w:b/>
        </w:rPr>
      </w:pPr>
      <w:r w:rsidRPr="00AE2628">
        <w:rPr>
          <w:rFonts w:cs="Arial"/>
          <w:b/>
        </w:rPr>
        <w:t xml:space="preserve">Convocatoria y divulgación </w:t>
      </w:r>
    </w:p>
    <w:p w14:paraId="00B694B3" w14:textId="6D55F039" w:rsidR="0045722A" w:rsidRDefault="0045722A" w:rsidP="00FB2062">
      <w:pPr>
        <w:shd w:val="clear" w:color="auto" w:fill="FFFFFF"/>
        <w:tabs>
          <w:tab w:val="left" w:pos="1095"/>
        </w:tabs>
        <w:jc w:val="both"/>
        <w:rPr>
          <w:rFonts w:eastAsia="Arial" w:cs="Arial"/>
          <w:szCs w:val="22"/>
        </w:rPr>
      </w:pPr>
    </w:p>
    <w:p w14:paraId="29C568D1" w14:textId="02809920" w:rsidR="0060306A" w:rsidRPr="00FF686A" w:rsidRDefault="0060306A" w:rsidP="00FB2062">
      <w:pPr>
        <w:pBdr>
          <w:top w:val="nil"/>
          <w:left w:val="nil"/>
          <w:bottom w:val="nil"/>
          <w:right w:val="nil"/>
          <w:between w:val="nil"/>
        </w:pBdr>
        <w:shd w:val="clear" w:color="auto" w:fill="FFFFFF" w:themeFill="background1"/>
        <w:rPr>
          <w:rFonts w:eastAsia="Arial" w:cs="Arial"/>
          <w:szCs w:val="22"/>
        </w:rPr>
      </w:pPr>
      <w:r w:rsidRPr="00FF686A">
        <w:rPr>
          <w:rFonts w:eastAsia="Arial" w:cs="Arial"/>
          <w:b/>
          <w:szCs w:val="22"/>
        </w:rPr>
        <w:t xml:space="preserve">Fase preparatoria a la audiencia pública de rendición de cuentas Sectorial: </w:t>
      </w:r>
    </w:p>
    <w:p w14:paraId="168CE109" w14:textId="77777777" w:rsidR="0060306A" w:rsidRDefault="0060306A" w:rsidP="00FB2062">
      <w:pPr>
        <w:shd w:val="clear" w:color="auto" w:fill="FFFFFF"/>
        <w:tabs>
          <w:tab w:val="left" w:pos="1095"/>
        </w:tabs>
        <w:jc w:val="both"/>
        <w:rPr>
          <w:rFonts w:eastAsia="Arial" w:cs="Arial"/>
          <w:szCs w:val="22"/>
        </w:rPr>
      </w:pPr>
    </w:p>
    <w:p w14:paraId="012561F9" w14:textId="6CC61DD3" w:rsidR="0060306A" w:rsidRPr="00123A60" w:rsidRDefault="0060306A" w:rsidP="00FB2062">
      <w:pPr>
        <w:tabs>
          <w:tab w:val="left" w:pos="1095"/>
        </w:tabs>
        <w:jc w:val="both"/>
      </w:pPr>
      <w:r w:rsidRPr="00123A60">
        <w:lastRenderedPageBreak/>
        <w:t xml:space="preserve">En atención a la directriz de la SCRD, la Oficina Asesora de Planeación del IDPC, solicitó vía correo electrónico a cada una de las dependencias la información para organizar la estructura del informe siguiendo los lineamientos de la Secretaría de Cultura y el Manual Único de Rendición de Cuentas, expedido por el Departamento Administrativo de la Función Pública.  </w:t>
      </w:r>
    </w:p>
    <w:p w14:paraId="122C4D26" w14:textId="77777777" w:rsidR="0060306A" w:rsidRPr="00123A60" w:rsidRDefault="0060306A" w:rsidP="00FB2062">
      <w:pPr>
        <w:tabs>
          <w:tab w:val="left" w:pos="1095"/>
        </w:tabs>
        <w:jc w:val="both"/>
      </w:pPr>
    </w:p>
    <w:p w14:paraId="48986D6B" w14:textId="77777777" w:rsidR="0060306A" w:rsidRPr="00123A60" w:rsidRDefault="0060306A" w:rsidP="00FB2062">
      <w:pPr>
        <w:tabs>
          <w:tab w:val="left" w:pos="1095"/>
        </w:tabs>
        <w:jc w:val="both"/>
      </w:pPr>
      <w:r w:rsidRPr="00123A60">
        <w:t xml:space="preserve">Los temas relevantes que contiene el informe están relacionados con el presupuesto de gastos, cumplimiento de metas, cumplimiento de la gestión en torno a la implementación del Modelo Integrado de Planeación y Gestión MIPG, contratación, impactos de la gestión, población beneficiada y acciones de mejoramiento. </w:t>
      </w:r>
    </w:p>
    <w:p w14:paraId="1AAA7335" w14:textId="77777777" w:rsidR="0060306A" w:rsidRPr="00123A60" w:rsidRDefault="0060306A" w:rsidP="00FB2062">
      <w:pPr>
        <w:tabs>
          <w:tab w:val="left" w:pos="1095"/>
        </w:tabs>
        <w:jc w:val="both"/>
      </w:pPr>
    </w:p>
    <w:p w14:paraId="1995AA40" w14:textId="4F7E7DAD" w:rsidR="0060306A" w:rsidRDefault="0060306A" w:rsidP="00FB2062">
      <w:pPr>
        <w:tabs>
          <w:tab w:val="left" w:pos="1095"/>
        </w:tabs>
        <w:jc w:val="both"/>
        <w:rPr>
          <w:rFonts w:ascii="Verdana" w:hAnsi="Verdana" w:cs="Arial"/>
          <w:color w:val="000000" w:themeColor="text1"/>
          <w:szCs w:val="22"/>
        </w:rPr>
      </w:pPr>
      <w:r w:rsidRPr="00123A60">
        <w:t xml:space="preserve">En consecuencia y de acuerdo con el cronograma y la directriz de la SCRD, el Instituto Distrital de Patrimonio Cultural, gestionó la publicación del informe en la página web con fecha 3 de noviembre, documento que fue compartido a la SCRD, a través del siguiente </w:t>
      </w:r>
      <w:r w:rsidR="00123A60">
        <w:t>link</w:t>
      </w:r>
      <w:r w:rsidRPr="00123A60">
        <w:t>:</w:t>
      </w:r>
      <w:r w:rsidR="00123A60">
        <w:t xml:space="preserve"> </w:t>
      </w:r>
    </w:p>
    <w:p w14:paraId="1DB11233" w14:textId="2CF919F0" w:rsidR="0060306A" w:rsidRPr="00123A60" w:rsidRDefault="00A54D97" w:rsidP="00FB2062">
      <w:pPr>
        <w:tabs>
          <w:tab w:val="left" w:pos="1095"/>
        </w:tabs>
        <w:jc w:val="both"/>
        <w:rPr>
          <w:color w:val="4472C4" w:themeColor="accent1"/>
          <w:u w:val="single"/>
        </w:rPr>
      </w:pPr>
      <w:hyperlink r:id="rId8" w:history="1">
        <w:r w:rsidR="0060306A" w:rsidRPr="00123A60">
          <w:rPr>
            <w:color w:val="4472C4" w:themeColor="accent1"/>
            <w:u w:val="single"/>
          </w:rPr>
          <w:t>https://www.idpc.gov.co/transparencia-y-acceso-a-la-informacion-publica-ley-1712-del-6-de-marzo-de-2014/participa/5-rendicion-de-cuentas</w:t>
        </w:r>
      </w:hyperlink>
    </w:p>
    <w:p w14:paraId="4B668D88" w14:textId="77777777" w:rsidR="0045722A" w:rsidRDefault="0045722A" w:rsidP="00FB2062">
      <w:pPr>
        <w:shd w:val="clear" w:color="auto" w:fill="FFFFFF"/>
        <w:tabs>
          <w:tab w:val="left" w:pos="1095"/>
        </w:tabs>
        <w:jc w:val="both"/>
        <w:rPr>
          <w:rFonts w:eastAsia="Arial" w:cs="Arial"/>
          <w:szCs w:val="22"/>
        </w:rPr>
      </w:pPr>
    </w:p>
    <w:p w14:paraId="761B61B0" w14:textId="5DD81F31" w:rsidR="0060306A" w:rsidRPr="00123A60" w:rsidRDefault="0060306A" w:rsidP="00FB2062">
      <w:pPr>
        <w:tabs>
          <w:tab w:val="left" w:pos="1095"/>
        </w:tabs>
        <w:jc w:val="both"/>
      </w:pPr>
      <w:r w:rsidRPr="00123A60">
        <w:t>Con el fin de asegurar la participación por parte de la ciudadanía, el Instituto Distrital de Patrimonio Cultural, en coordinación con la Secretaría de Cultura dispuso de los diferentes medios de comunicación (página web, redes sociales Face</w:t>
      </w:r>
      <w:r w:rsidR="00123A60">
        <w:t>b</w:t>
      </w:r>
      <w:r w:rsidRPr="00123A60">
        <w:t xml:space="preserve">ook, correo institucional y la transmisión con el apoyo de Canal Capital), para invitar a la ciudadanía y grupos poblacionales interesados en la gestión, a la Audiencia Pública de Rendición de Cuentas Sectorial, desarrollada en el auditorio de la Biblioteca Virgilio Barco, el pasado 3 de diciembre.  </w:t>
      </w:r>
    </w:p>
    <w:p w14:paraId="137FA0F7" w14:textId="77777777" w:rsidR="0060306A" w:rsidRPr="00123A60" w:rsidRDefault="0060306A" w:rsidP="00FB2062">
      <w:pPr>
        <w:tabs>
          <w:tab w:val="left" w:pos="1095"/>
        </w:tabs>
        <w:jc w:val="both"/>
      </w:pPr>
    </w:p>
    <w:p w14:paraId="4E2C5C14" w14:textId="1452EB3E" w:rsidR="00B7109B" w:rsidRPr="00123A60" w:rsidRDefault="00B7109B" w:rsidP="00FB2062">
      <w:pPr>
        <w:tabs>
          <w:tab w:val="left" w:pos="1095"/>
        </w:tabs>
        <w:jc w:val="both"/>
      </w:pPr>
      <w:r>
        <w:t>Se evidenció la estrategia d</w:t>
      </w:r>
      <w:r w:rsidR="0060306A" w:rsidRPr="00123A60">
        <w:t xml:space="preserve">el equipo de comunicaciones del IDPC, para invitar a la ciudadanía a </w:t>
      </w:r>
      <w:r w:rsidR="009037A8">
        <w:t xml:space="preserve">dar su opinión y a participar de </w:t>
      </w:r>
      <w:r w:rsidR="0060306A" w:rsidRPr="00123A60">
        <w:t xml:space="preserve">la Audiencia Pública de Rendición de Cuentas Sectorial: </w:t>
      </w:r>
    </w:p>
    <w:p w14:paraId="05A08AC9" w14:textId="77777777" w:rsidR="003F6E7F" w:rsidRDefault="00B7109B" w:rsidP="00FB2062">
      <w:pPr>
        <w:tabs>
          <w:tab w:val="left" w:pos="284"/>
        </w:tabs>
        <w:ind w:left="1843"/>
        <w:jc w:val="both"/>
        <w:rPr>
          <w:rFonts w:cs="Arial"/>
          <w:i/>
          <w:sz w:val="14"/>
          <w:szCs w:val="14"/>
        </w:rPr>
      </w:pPr>
      <w:r w:rsidRPr="00B7109B">
        <w:rPr>
          <w:rFonts w:ascii="Verdana" w:hAnsi="Verdana" w:cs="Arial"/>
          <w:noProof/>
          <w:color w:val="000000" w:themeColor="text1"/>
          <w:szCs w:val="22"/>
          <w:lang w:eastAsia="es-CO"/>
        </w:rPr>
        <w:drawing>
          <wp:inline distT="0" distB="0" distL="0" distR="0" wp14:anchorId="5F23A9FF" wp14:editId="48E61B34">
            <wp:extent cx="3122295" cy="177800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9124" cy="1787583"/>
                    </a:xfrm>
                    <a:prstGeom prst="rect">
                      <a:avLst/>
                    </a:prstGeom>
                  </pic:spPr>
                </pic:pic>
              </a:graphicData>
            </a:graphic>
          </wp:inline>
        </w:drawing>
      </w:r>
      <w:r w:rsidR="003F6E7F" w:rsidRPr="003F6E7F">
        <w:rPr>
          <w:rFonts w:cs="Arial"/>
          <w:i/>
          <w:sz w:val="14"/>
          <w:szCs w:val="14"/>
        </w:rPr>
        <w:t xml:space="preserve"> </w:t>
      </w:r>
    </w:p>
    <w:p w14:paraId="1853F0EB" w14:textId="7990A558" w:rsidR="003F6E7F" w:rsidRPr="00770519" w:rsidRDefault="003F6E7F" w:rsidP="00FB2062">
      <w:pPr>
        <w:tabs>
          <w:tab w:val="left" w:pos="284"/>
        </w:tabs>
        <w:jc w:val="both"/>
        <w:rPr>
          <w:rFonts w:cs="Arial"/>
          <w:i/>
          <w:sz w:val="14"/>
          <w:szCs w:val="14"/>
        </w:rPr>
      </w:pPr>
      <w:r>
        <w:rPr>
          <w:rFonts w:cs="Arial"/>
          <w:i/>
          <w:sz w:val="14"/>
          <w:szCs w:val="14"/>
        </w:rPr>
        <w:t xml:space="preserve">                                                </w:t>
      </w:r>
      <w:r w:rsidRPr="00770519">
        <w:rPr>
          <w:rFonts w:cs="Arial"/>
          <w:i/>
          <w:sz w:val="14"/>
          <w:szCs w:val="14"/>
        </w:rPr>
        <w:t>Registro</w:t>
      </w:r>
      <w:r>
        <w:rPr>
          <w:rFonts w:cs="Arial"/>
          <w:i/>
          <w:sz w:val="14"/>
          <w:szCs w:val="14"/>
        </w:rPr>
        <w:t xml:space="preserve"> </w:t>
      </w:r>
      <w:r w:rsidRPr="00770519">
        <w:rPr>
          <w:rFonts w:cs="Arial"/>
          <w:i/>
          <w:sz w:val="14"/>
          <w:szCs w:val="14"/>
        </w:rPr>
        <w:t>- IDPC</w:t>
      </w:r>
    </w:p>
    <w:p w14:paraId="7AF267ED" w14:textId="77777777" w:rsidR="00B7109B" w:rsidRDefault="00B7109B" w:rsidP="00FB2062">
      <w:pPr>
        <w:tabs>
          <w:tab w:val="left" w:pos="1095"/>
        </w:tabs>
        <w:ind w:left="1985"/>
        <w:jc w:val="both"/>
        <w:rPr>
          <w:rFonts w:ascii="Verdana" w:hAnsi="Verdana" w:cs="Arial"/>
          <w:noProof/>
          <w:color w:val="000000" w:themeColor="text1"/>
          <w:szCs w:val="22"/>
          <w:lang w:eastAsia="es-ES"/>
        </w:rPr>
      </w:pPr>
    </w:p>
    <w:p w14:paraId="45F35A4E" w14:textId="5FD99258" w:rsidR="0060306A" w:rsidRDefault="00B7109B" w:rsidP="00FB2062">
      <w:pPr>
        <w:tabs>
          <w:tab w:val="left" w:pos="1095"/>
        </w:tabs>
        <w:ind w:left="2127"/>
        <w:jc w:val="both"/>
        <w:rPr>
          <w:rFonts w:ascii="Verdana" w:hAnsi="Verdana" w:cs="Arial"/>
          <w:noProof/>
          <w:color w:val="000000" w:themeColor="text1"/>
          <w:szCs w:val="22"/>
          <w:lang w:eastAsia="es-ES"/>
        </w:rPr>
      </w:pPr>
      <w:r>
        <w:rPr>
          <w:rFonts w:ascii="Verdana" w:hAnsi="Verdana" w:cs="Arial"/>
          <w:noProof/>
          <w:color w:val="000000" w:themeColor="text1"/>
          <w:szCs w:val="22"/>
          <w:lang w:eastAsia="es-CO"/>
        </w:rPr>
        <w:lastRenderedPageBreak/>
        <w:drawing>
          <wp:inline distT="0" distB="0" distL="0" distR="0" wp14:anchorId="100AE000" wp14:editId="4AFF3E0F">
            <wp:extent cx="3001466" cy="222885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4193" cy="2245727"/>
                    </a:xfrm>
                    <a:prstGeom prst="rect">
                      <a:avLst/>
                    </a:prstGeom>
                    <a:noFill/>
                  </pic:spPr>
                </pic:pic>
              </a:graphicData>
            </a:graphic>
          </wp:inline>
        </w:drawing>
      </w:r>
    </w:p>
    <w:p w14:paraId="46112CC1" w14:textId="35F51707" w:rsidR="003F6E7F" w:rsidRPr="00770519" w:rsidRDefault="003F6E7F" w:rsidP="00FB2062">
      <w:pPr>
        <w:tabs>
          <w:tab w:val="left" w:pos="284"/>
        </w:tabs>
        <w:jc w:val="both"/>
        <w:rPr>
          <w:rFonts w:cs="Arial"/>
          <w:i/>
          <w:sz w:val="14"/>
          <w:szCs w:val="14"/>
        </w:rPr>
      </w:pPr>
      <w:r>
        <w:rPr>
          <w:rFonts w:cs="Arial"/>
          <w:i/>
          <w:sz w:val="14"/>
          <w:szCs w:val="14"/>
        </w:rPr>
        <w:tab/>
      </w:r>
      <w:r>
        <w:rPr>
          <w:rFonts w:cs="Arial"/>
          <w:i/>
          <w:sz w:val="14"/>
          <w:szCs w:val="14"/>
        </w:rPr>
        <w:tab/>
      </w:r>
      <w:r>
        <w:rPr>
          <w:rFonts w:cs="Arial"/>
          <w:i/>
          <w:sz w:val="14"/>
          <w:szCs w:val="14"/>
        </w:rPr>
        <w:tab/>
      </w:r>
      <w:r>
        <w:rPr>
          <w:rFonts w:cs="Arial"/>
          <w:i/>
          <w:sz w:val="14"/>
          <w:szCs w:val="14"/>
        </w:rPr>
        <w:tab/>
      </w:r>
      <w:r w:rsidR="004805B6" w:rsidRPr="00770519">
        <w:rPr>
          <w:rFonts w:cs="Arial"/>
          <w:i/>
          <w:sz w:val="14"/>
          <w:szCs w:val="14"/>
        </w:rPr>
        <w:t>Registro</w:t>
      </w:r>
      <w:r w:rsidR="004805B6">
        <w:rPr>
          <w:rFonts w:cs="Arial"/>
          <w:i/>
          <w:sz w:val="14"/>
          <w:szCs w:val="14"/>
        </w:rPr>
        <w:t xml:space="preserve"> -</w:t>
      </w:r>
      <w:r w:rsidRPr="00770519">
        <w:rPr>
          <w:rFonts w:cs="Arial"/>
          <w:i/>
          <w:sz w:val="14"/>
          <w:szCs w:val="14"/>
        </w:rPr>
        <w:t xml:space="preserve"> IDPC</w:t>
      </w:r>
    </w:p>
    <w:p w14:paraId="38D029EA" w14:textId="77777777" w:rsidR="00B7109B" w:rsidRDefault="00B7109B" w:rsidP="00FB2062">
      <w:pPr>
        <w:tabs>
          <w:tab w:val="left" w:pos="1095"/>
        </w:tabs>
        <w:ind w:left="2410"/>
        <w:jc w:val="both"/>
        <w:rPr>
          <w:rFonts w:ascii="Verdana" w:hAnsi="Verdana" w:cs="Arial"/>
          <w:noProof/>
          <w:color w:val="000000" w:themeColor="text1"/>
          <w:szCs w:val="22"/>
          <w:lang w:eastAsia="es-ES"/>
        </w:rPr>
      </w:pPr>
    </w:p>
    <w:p w14:paraId="05861BF8" w14:textId="77777777" w:rsidR="00B7109B" w:rsidRDefault="00B7109B" w:rsidP="00FB2062">
      <w:pPr>
        <w:tabs>
          <w:tab w:val="left" w:pos="1095"/>
        </w:tabs>
        <w:jc w:val="both"/>
        <w:rPr>
          <w:rFonts w:ascii="Verdana" w:hAnsi="Verdana" w:cs="Arial"/>
          <w:noProof/>
          <w:color w:val="000000" w:themeColor="text1"/>
          <w:szCs w:val="22"/>
          <w:lang w:eastAsia="es-ES"/>
        </w:rPr>
      </w:pPr>
    </w:p>
    <w:p w14:paraId="00C4EF5B" w14:textId="09EFCADB" w:rsidR="0045722A" w:rsidRDefault="004712F9" w:rsidP="00FB2062">
      <w:pPr>
        <w:shd w:val="clear" w:color="auto" w:fill="FFFFFF"/>
        <w:ind w:left="1134"/>
        <w:jc w:val="both"/>
        <w:rPr>
          <w:rFonts w:eastAsia="Arial" w:cs="Arial"/>
          <w:szCs w:val="22"/>
        </w:rPr>
      </w:pPr>
      <w:r>
        <w:rPr>
          <w:rFonts w:eastAsia="Arial" w:cs="Arial"/>
          <w:noProof/>
          <w:szCs w:val="22"/>
          <w:lang w:eastAsia="es-CO"/>
        </w:rPr>
        <w:drawing>
          <wp:inline distT="0" distB="0" distL="0" distR="0" wp14:anchorId="6ECB7D59" wp14:editId="24934BDC">
            <wp:extent cx="4103653" cy="2209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6172" cy="2216541"/>
                    </a:xfrm>
                    <a:prstGeom prst="rect">
                      <a:avLst/>
                    </a:prstGeom>
                    <a:noFill/>
                  </pic:spPr>
                </pic:pic>
              </a:graphicData>
            </a:graphic>
          </wp:inline>
        </w:drawing>
      </w:r>
    </w:p>
    <w:p w14:paraId="36904170" w14:textId="63621D76" w:rsidR="003F6E7F" w:rsidRPr="00770519" w:rsidRDefault="003F6E7F" w:rsidP="00FB2062">
      <w:pPr>
        <w:tabs>
          <w:tab w:val="left" w:pos="284"/>
        </w:tabs>
        <w:jc w:val="both"/>
        <w:rPr>
          <w:rFonts w:cs="Arial"/>
          <w:i/>
          <w:sz w:val="14"/>
          <w:szCs w:val="14"/>
        </w:rPr>
      </w:pPr>
      <w:r>
        <w:rPr>
          <w:rFonts w:cs="Arial"/>
          <w:i/>
          <w:sz w:val="14"/>
          <w:szCs w:val="14"/>
        </w:rPr>
        <w:tab/>
      </w:r>
      <w:r>
        <w:rPr>
          <w:rFonts w:cs="Arial"/>
          <w:i/>
          <w:sz w:val="14"/>
          <w:szCs w:val="14"/>
        </w:rPr>
        <w:tab/>
        <w:t xml:space="preserve">           </w:t>
      </w:r>
      <w:r w:rsidRPr="00770519">
        <w:rPr>
          <w:rFonts w:cs="Arial"/>
          <w:i/>
          <w:sz w:val="14"/>
          <w:szCs w:val="14"/>
        </w:rPr>
        <w:t xml:space="preserve">Registro </w:t>
      </w:r>
      <w:r>
        <w:rPr>
          <w:rFonts w:cs="Arial"/>
          <w:i/>
          <w:sz w:val="14"/>
          <w:szCs w:val="14"/>
        </w:rPr>
        <w:t>comunicaciones</w:t>
      </w:r>
      <w:r w:rsidRPr="00770519">
        <w:rPr>
          <w:rFonts w:cs="Arial"/>
          <w:i/>
          <w:sz w:val="14"/>
          <w:szCs w:val="14"/>
        </w:rPr>
        <w:t xml:space="preserve"> - IDPC</w:t>
      </w:r>
    </w:p>
    <w:p w14:paraId="7568F325" w14:textId="77777777" w:rsidR="00B7109B" w:rsidRDefault="00B7109B" w:rsidP="00FB2062">
      <w:pPr>
        <w:tabs>
          <w:tab w:val="left" w:pos="1095"/>
        </w:tabs>
        <w:jc w:val="both"/>
        <w:rPr>
          <w:rFonts w:eastAsia="Arial" w:cs="Arial"/>
          <w:szCs w:val="22"/>
        </w:rPr>
      </w:pPr>
    </w:p>
    <w:p w14:paraId="7188605F" w14:textId="24E4B7B9" w:rsidR="004712F9" w:rsidRPr="004712F9" w:rsidRDefault="004712F9" w:rsidP="00FB2062">
      <w:pPr>
        <w:tabs>
          <w:tab w:val="left" w:pos="1095"/>
        </w:tabs>
        <w:jc w:val="both"/>
        <w:rPr>
          <w:rFonts w:eastAsia="Arial" w:cs="Arial"/>
          <w:szCs w:val="22"/>
        </w:rPr>
      </w:pPr>
      <w:r w:rsidRPr="004712F9">
        <w:rPr>
          <w:rFonts w:eastAsia="Arial" w:cs="Arial"/>
          <w:szCs w:val="22"/>
        </w:rPr>
        <w:t xml:space="preserve">La Secretaría de Cultura Recreación y Deporte a través de su página web, invitó a la ciudadanía a la Audiencia Pública Sectorial, a través del siguiente banner:     </w:t>
      </w:r>
    </w:p>
    <w:p w14:paraId="5D974DD6" w14:textId="077D2D9A" w:rsidR="0045722A" w:rsidRDefault="0045722A" w:rsidP="00FB2062">
      <w:pPr>
        <w:shd w:val="clear" w:color="auto" w:fill="FFFFFF"/>
        <w:tabs>
          <w:tab w:val="left" w:pos="1095"/>
        </w:tabs>
        <w:jc w:val="both"/>
        <w:rPr>
          <w:rFonts w:eastAsia="Arial" w:cs="Arial"/>
          <w:szCs w:val="22"/>
        </w:rPr>
      </w:pPr>
    </w:p>
    <w:p w14:paraId="684B2DFB" w14:textId="7A163453" w:rsidR="0060306A" w:rsidRDefault="004712F9" w:rsidP="00FB2062">
      <w:pPr>
        <w:shd w:val="clear" w:color="auto" w:fill="FFFFFF"/>
        <w:tabs>
          <w:tab w:val="left" w:pos="1095"/>
        </w:tabs>
        <w:ind w:left="2694"/>
        <w:jc w:val="both"/>
        <w:rPr>
          <w:rFonts w:eastAsia="Arial" w:cs="Arial"/>
          <w:szCs w:val="22"/>
        </w:rPr>
      </w:pPr>
      <w:r>
        <w:rPr>
          <w:rFonts w:eastAsia="Arial" w:cs="Arial"/>
          <w:noProof/>
          <w:szCs w:val="22"/>
          <w:lang w:eastAsia="es-CO"/>
        </w:rPr>
        <w:drawing>
          <wp:inline distT="0" distB="0" distL="0" distR="0" wp14:anchorId="0D786539" wp14:editId="635A4734">
            <wp:extent cx="2239639" cy="2165350"/>
            <wp:effectExtent l="0" t="0" r="889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3159" cy="2168753"/>
                    </a:xfrm>
                    <a:prstGeom prst="rect">
                      <a:avLst/>
                    </a:prstGeom>
                    <a:noFill/>
                  </pic:spPr>
                </pic:pic>
              </a:graphicData>
            </a:graphic>
          </wp:inline>
        </w:drawing>
      </w:r>
    </w:p>
    <w:p w14:paraId="741D9BE1" w14:textId="2C6C1CA7" w:rsidR="0060306A" w:rsidRPr="00A224AA" w:rsidRDefault="00A224AA" w:rsidP="00FB2062">
      <w:pPr>
        <w:shd w:val="clear" w:color="auto" w:fill="FFFFFF"/>
        <w:tabs>
          <w:tab w:val="left" w:pos="1095"/>
        </w:tabs>
        <w:jc w:val="both"/>
        <w:rPr>
          <w:rFonts w:eastAsia="Arial" w:cs="Arial"/>
          <w:i/>
          <w:sz w:val="14"/>
          <w:szCs w:val="14"/>
        </w:rPr>
      </w:pPr>
      <w:r>
        <w:rPr>
          <w:rFonts w:eastAsia="Arial" w:cs="Arial"/>
          <w:szCs w:val="22"/>
        </w:rPr>
        <w:tab/>
      </w:r>
      <w:r>
        <w:rPr>
          <w:rFonts w:eastAsia="Arial" w:cs="Arial"/>
          <w:szCs w:val="22"/>
        </w:rPr>
        <w:tab/>
      </w:r>
      <w:r>
        <w:rPr>
          <w:rFonts w:eastAsia="Arial" w:cs="Arial"/>
          <w:szCs w:val="22"/>
        </w:rPr>
        <w:tab/>
      </w:r>
      <w:r>
        <w:rPr>
          <w:rFonts w:eastAsia="Arial" w:cs="Arial"/>
          <w:szCs w:val="22"/>
        </w:rPr>
        <w:tab/>
      </w:r>
      <w:r w:rsidRPr="00A224AA">
        <w:rPr>
          <w:rFonts w:eastAsia="Arial" w:cs="Arial"/>
          <w:i/>
          <w:sz w:val="14"/>
          <w:szCs w:val="14"/>
        </w:rPr>
        <w:t xml:space="preserve">Pieza Grafica </w:t>
      </w:r>
      <w:r w:rsidR="00B7109B">
        <w:rPr>
          <w:rFonts w:eastAsia="Arial" w:cs="Arial"/>
          <w:i/>
          <w:sz w:val="14"/>
          <w:szCs w:val="14"/>
        </w:rPr>
        <w:t>Secretaría de Cultura</w:t>
      </w:r>
    </w:p>
    <w:p w14:paraId="5D0E15C3" w14:textId="77777777" w:rsidR="004712F9" w:rsidRPr="004712F9" w:rsidRDefault="004712F9" w:rsidP="00FB2062">
      <w:pPr>
        <w:tabs>
          <w:tab w:val="left" w:pos="1095"/>
        </w:tabs>
        <w:jc w:val="both"/>
        <w:rPr>
          <w:rFonts w:eastAsia="Arial" w:cs="Arial"/>
          <w:szCs w:val="22"/>
        </w:rPr>
      </w:pPr>
      <w:r w:rsidRPr="004712F9">
        <w:rPr>
          <w:rFonts w:eastAsia="Arial" w:cs="Arial"/>
          <w:szCs w:val="22"/>
        </w:rPr>
        <w:lastRenderedPageBreak/>
        <w:t xml:space="preserve">A nivel interno el Instituto convocó al equipo de colaboradores a la Audiencia, mediante correo electrónico y a la ciudadanía a través de las redes sociales. </w:t>
      </w:r>
    </w:p>
    <w:p w14:paraId="418F38A4" w14:textId="77777777" w:rsidR="0060306A" w:rsidRDefault="0060306A" w:rsidP="00FB2062">
      <w:pPr>
        <w:shd w:val="clear" w:color="auto" w:fill="FFFFFF"/>
        <w:tabs>
          <w:tab w:val="left" w:pos="1095"/>
        </w:tabs>
        <w:jc w:val="both"/>
        <w:rPr>
          <w:rFonts w:eastAsia="Arial" w:cs="Arial"/>
          <w:szCs w:val="22"/>
        </w:rPr>
      </w:pPr>
    </w:p>
    <w:p w14:paraId="4CFFDFFE" w14:textId="30D4715C" w:rsidR="0045722A" w:rsidRDefault="004712F9" w:rsidP="00FB2062">
      <w:pPr>
        <w:shd w:val="clear" w:color="auto" w:fill="FFFFFF"/>
        <w:tabs>
          <w:tab w:val="left" w:pos="1095"/>
        </w:tabs>
        <w:ind w:left="1985"/>
        <w:jc w:val="both"/>
        <w:rPr>
          <w:rFonts w:eastAsia="Arial" w:cs="Arial"/>
          <w:szCs w:val="22"/>
        </w:rPr>
      </w:pPr>
      <w:r>
        <w:rPr>
          <w:rFonts w:eastAsia="Arial" w:cs="Arial"/>
          <w:noProof/>
          <w:szCs w:val="22"/>
          <w:lang w:eastAsia="es-CO"/>
        </w:rPr>
        <w:drawing>
          <wp:inline distT="0" distB="0" distL="0" distR="0" wp14:anchorId="771E07D6" wp14:editId="726A2E92">
            <wp:extent cx="3369310" cy="2851150"/>
            <wp:effectExtent l="0" t="0" r="254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0959" cy="2852545"/>
                    </a:xfrm>
                    <a:prstGeom prst="rect">
                      <a:avLst/>
                    </a:prstGeom>
                    <a:noFill/>
                  </pic:spPr>
                </pic:pic>
              </a:graphicData>
            </a:graphic>
          </wp:inline>
        </w:drawing>
      </w:r>
    </w:p>
    <w:p w14:paraId="7EFC3AB5" w14:textId="2D1C4BE0" w:rsidR="004712F9" w:rsidRDefault="00A224AA" w:rsidP="00FB2062">
      <w:pPr>
        <w:shd w:val="clear" w:color="auto" w:fill="FFFFFF"/>
        <w:tabs>
          <w:tab w:val="left" w:pos="1095"/>
        </w:tabs>
        <w:jc w:val="both"/>
        <w:rPr>
          <w:rFonts w:eastAsia="Arial" w:cs="Arial"/>
          <w:i/>
          <w:sz w:val="14"/>
          <w:szCs w:val="14"/>
        </w:rPr>
      </w:pPr>
      <w:r>
        <w:rPr>
          <w:rFonts w:eastAsia="Arial" w:cs="Arial"/>
          <w:i/>
          <w:sz w:val="14"/>
          <w:szCs w:val="14"/>
        </w:rPr>
        <w:tab/>
      </w:r>
      <w:r>
        <w:rPr>
          <w:rFonts w:eastAsia="Arial" w:cs="Arial"/>
          <w:i/>
          <w:sz w:val="14"/>
          <w:szCs w:val="14"/>
        </w:rPr>
        <w:tab/>
      </w:r>
      <w:r>
        <w:rPr>
          <w:rFonts w:eastAsia="Arial" w:cs="Arial"/>
          <w:i/>
          <w:sz w:val="14"/>
          <w:szCs w:val="14"/>
        </w:rPr>
        <w:tab/>
      </w:r>
      <w:r w:rsidRPr="00A224AA">
        <w:rPr>
          <w:rFonts w:eastAsia="Arial" w:cs="Arial"/>
          <w:i/>
          <w:sz w:val="14"/>
          <w:szCs w:val="14"/>
        </w:rPr>
        <w:t>Pieza Grafica IDPC</w:t>
      </w:r>
    </w:p>
    <w:p w14:paraId="319792FD" w14:textId="77777777" w:rsidR="00743014" w:rsidRDefault="00743014" w:rsidP="00FB2062">
      <w:pPr>
        <w:shd w:val="clear" w:color="auto" w:fill="FFFFFF"/>
        <w:tabs>
          <w:tab w:val="left" w:pos="1095"/>
        </w:tabs>
        <w:jc w:val="both"/>
        <w:rPr>
          <w:rFonts w:eastAsia="Arial" w:cs="Arial"/>
          <w:szCs w:val="22"/>
        </w:rPr>
      </w:pPr>
    </w:p>
    <w:p w14:paraId="20343EFE" w14:textId="6821282D" w:rsidR="004712F9" w:rsidRDefault="00B7109B" w:rsidP="00FB2062">
      <w:pPr>
        <w:shd w:val="clear" w:color="auto" w:fill="FFFFFF"/>
        <w:tabs>
          <w:tab w:val="left" w:pos="1095"/>
        </w:tabs>
        <w:jc w:val="both"/>
        <w:rPr>
          <w:rFonts w:eastAsia="Arial" w:cs="Arial"/>
          <w:szCs w:val="22"/>
        </w:rPr>
      </w:pPr>
      <w:r w:rsidRPr="00F011DB">
        <w:rPr>
          <w:rFonts w:eastAsia="Arial" w:cs="Arial"/>
          <w:szCs w:val="22"/>
        </w:rPr>
        <w:t xml:space="preserve">La transmisión de la Audiencia Pública se desarrolló con el apoyo del Canal Capital y a través de las redes sociales, así mismo se invitó a participar a los ciudadanos y ciudadanas así: #GestiónCulturaRecreaciónYDeporte2021.  </w:t>
      </w:r>
    </w:p>
    <w:p w14:paraId="23DB2AF7" w14:textId="2A0C0BDD" w:rsidR="004712F9" w:rsidRDefault="004712F9" w:rsidP="00FB2062">
      <w:pPr>
        <w:shd w:val="clear" w:color="auto" w:fill="FFFFFF"/>
        <w:tabs>
          <w:tab w:val="left" w:pos="1095"/>
        </w:tabs>
        <w:jc w:val="both"/>
        <w:rPr>
          <w:rFonts w:eastAsia="Arial" w:cs="Arial"/>
          <w:szCs w:val="22"/>
        </w:rPr>
      </w:pPr>
    </w:p>
    <w:p w14:paraId="020519FA" w14:textId="2235B262" w:rsidR="00C97413" w:rsidRPr="00C97413" w:rsidRDefault="00C97413" w:rsidP="00FB2062">
      <w:pPr>
        <w:tabs>
          <w:tab w:val="left" w:pos="1095"/>
        </w:tabs>
        <w:jc w:val="both"/>
        <w:rPr>
          <w:rFonts w:eastAsia="Arial" w:cs="Arial"/>
          <w:szCs w:val="22"/>
        </w:rPr>
      </w:pPr>
      <w:r w:rsidRPr="00C97413">
        <w:rPr>
          <w:rFonts w:eastAsia="Arial" w:cs="Arial"/>
          <w:szCs w:val="22"/>
        </w:rPr>
        <w:t xml:space="preserve">El registro de asistencia al auditorio de la Biblioteca Virgilio Barco, evidencia la participación </w:t>
      </w:r>
      <w:r w:rsidR="00FB2062">
        <w:rPr>
          <w:rFonts w:eastAsia="Arial" w:cs="Arial"/>
          <w:szCs w:val="22"/>
        </w:rPr>
        <w:t xml:space="preserve">de 107 personas, de las cuales, el </w:t>
      </w:r>
      <w:r w:rsidRPr="00C97413">
        <w:rPr>
          <w:rFonts w:eastAsia="Arial" w:cs="Arial"/>
          <w:szCs w:val="22"/>
        </w:rPr>
        <w:t>12</w:t>
      </w:r>
      <w:r w:rsidR="00FB2062">
        <w:rPr>
          <w:rFonts w:eastAsia="Arial" w:cs="Arial"/>
          <w:szCs w:val="22"/>
        </w:rPr>
        <w:t>%</w:t>
      </w:r>
      <w:r w:rsidRPr="00C97413">
        <w:rPr>
          <w:rFonts w:eastAsia="Arial" w:cs="Arial"/>
          <w:szCs w:val="22"/>
        </w:rPr>
        <w:t xml:space="preserve"> forman parte de gremios ciudadanos interesados en la oferta cultural del sector, el 88% restante lo conformaron los diferentes grupos de servidores públicos de las entidades distritales que forman parte del sector y otras de ellas que apoyaron. </w:t>
      </w:r>
    </w:p>
    <w:p w14:paraId="2B2FF7BA" w14:textId="0711F353" w:rsidR="004712F9" w:rsidRDefault="004712F9" w:rsidP="00FB2062">
      <w:pPr>
        <w:shd w:val="clear" w:color="auto" w:fill="FFFFFF"/>
        <w:tabs>
          <w:tab w:val="left" w:pos="1095"/>
        </w:tabs>
        <w:jc w:val="both"/>
        <w:rPr>
          <w:rFonts w:eastAsia="Arial" w:cs="Arial"/>
          <w:szCs w:val="22"/>
        </w:rPr>
      </w:pPr>
    </w:p>
    <w:p w14:paraId="56B05AD1" w14:textId="7042BA65" w:rsidR="00DD3922" w:rsidRPr="00FB2062" w:rsidRDefault="00DD3922" w:rsidP="005F400D">
      <w:pPr>
        <w:pStyle w:val="Prrafodelista"/>
        <w:numPr>
          <w:ilvl w:val="1"/>
          <w:numId w:val="1"/>
        </w:numPr>
        <w:ind w:left="851"/>
        <w:jc w:val="both"/>
        <w:rPr>
          <w:rFonts w:cs="Arial"/>
          <w:b/>
        </w:rPr>
      </w:pPr>
      <w:r w:rsidRPr="00FB2062">
        <w:rPr>
          <w:rFonts w:cs="Arial"/>
          <w:b/>
        </w:rPr>
        <w:t xml:space="preserve">Desarrollo de la audiencia </w:t>
      </w:r>
    </w:p>
    <w:p w14:paraId="62298F54" w14:textId="6F6C6514" w:rsidR="00DD3922" w:rsidRDefault="00DD3922" w:rsidP="00FB2062">
      <w:pPr>
        <w:shd w:val="clear" w:color="auto" w:fill="FFFFFF"/>
        <w:tabs>
          <w:tab w:val="left" w:pos="1095"/>
        </w:tabs>
        <w:jc w:val="both"/>
        <w:rPr>
          <w:rFonts w:eastAsia="Arial" w:cs="Arial"/>
          <w:b/>
          <w:szCs w:val="22"/>
        </w:rPr>
      </w:pPr>
    </w:p>
    <w:p w14:paraId="16E233E4" w14:textId="263D9A37" w:rsidR="00914F6F" w:rsidRDefault="00DD3922" w:rsidP="00FB2062">
      <w:pPr>
        <w:tabs>
          <w:tab w:val="left" w:pos="1095"/>
        </w:tabs>
        <w:jc w:val="both"/>
        <w:rPr>
          <w:rFonts w:eastAsia="Arial" w:cs="Arial"/>
          <w:szCs w:val="22"/>
        </w:rPr>
      </w:pPr>
      <w:r w:rsidRPr="00743014">
        <w:rPr>
          <w:rFonts w:eastAsia="Arial" w:cs="Arial"/>
          <w:szCs w:val="22"/>
        </w:rPr>
        <w:t xml:space="preserve">La Audiencia Pública estuvo liderada por la Secretaría de Cultura Recreación y Deporte – SCRD, con la intervención de los 6 directores de las entidades que forman parte del Sector: </w:t>
      </w:r>
    </w:p>
    <w:p w14:paraId="2451E8EE" w14:textId="77777777" w:rsidR="00743014" w:rsidRPr="00743014" w:rsidRDefault="00743014" w:rsidP="00FB2062">
      <w:pPr>
        <w:tabs>
          <w:tab w:val="left" w:pos="1095"/>
        </w:tabs>
        <w:jc w:val="both"/>
        <w:rPr>
          <w:rFonts w:eastAsia="Arial" w:cs="Arial"/>
          <w:szCs w:val="22"/>
        </w:rPr>
      </w:pPr>
    </w:p>
    <w:p w14:paraId="08A80BD9" w14:textId="6FFEFD13" w:rsidR="00535307" w:rsidRPr="00743014" w:rsidRDefault="00DD3922" w:rsidP="005F400D">
      <w:pPr>
        <w:pStyle w:val="Prrafodelista"/>
        <w:numPr>
          <w:ilvl w:val="0"/>
          <w:numId w:val="6"/>
        </w:numPr>
        <w:tabs>
          <w:tab w:val="left" w:pos="1095"/>
        </w:tabs>
        <w:jc w:val="both"/>
        <w:rPr>
          <w:rFonts w:eastAsia="Arial" w:cs="Arial"/>
          <w:szCs w:val="22"/>
        </w:rPr>
      </w:pPr>
      <w:r w:rsidRPr="00743014">
        <w:rPr>
          <w:rFonts w:eastAsia="Arial" w:cs="Arial"/>
          <w:szCs w:val="22"/>
        </w:rPr>
        <w:t xml:space="preserve">Instituto Distrital de Recreación y Deporte IDRD </w:t>
      </w:r>
    </w:p>
    <w:p w14:paraId="4361124D" w14:textId="243FA2C9" w:rsidR="00535307" w:rsidRPr="00743014" w:rsidRDefault="00DD3922" w:rsidP="005F400D">
      <w:pPr>
        <w:pStyle w:val="Prrafodelista"/>
        <w:numPr>
          <w:ilvl w:val="0"/>
          <w:numId w:val="6"/>
        </w:numPr>
        <w:tabs>
          <w:tab w:val="left" w:pos="1095"/>
        </w:tabs>
        <w:jc w:val="both"/>
        <w:rPr>
          <w:rFonts w:eastAsia="Arial" w:cs="Arial"/>
          <w:szCs w:val="22"/>
        </w:rPr>
      </w:pPr>
      <w:r w:rsidRPr="00743014">
        <w:rPr>
          <w:rFonts w:eastAsia="Arial" w:cs="Arial"/>
          <w:szCs w:val="22"/>
        </w:rPr>
        <w:t xml:space="preserve">Fundación Gilberto Alzate Avendaño FUGA </w:t>
      </w:r>
    </w:p>
    <w:p w14:paraId="102162E9" w14:textId="3854CD9D" w:rsidR="00535307" w:rsidRPr="00743014" w:rsidRDefault="00DD3922" w:rsidP="005F400D">
      <w:pPr>
        <w:pStyle w:val="Prrafodelista"/>
        <w:numPr>
          <w:ilvl w:val="0"/>
          <w:numId w:val="6"/>
        </w:numPr>
        <w:tabs>
          <w:tab w:val="left" w:pos="1095"/>
        </w:tabs>
        <w:jc w:val="both"/>
        <w:rPr>
          <w:rFonts w:eastAsia="Arial" w:cs="Arial"/>
          <w:szCs w:val="22"/>
        </w:rPr>
      </w:pPr>
      <w:r w:rsidRPr="00743014">
        <w:rPr>
          <w:rFonts w:eastAsia="Arial" w:cs="Arial"/>
          <w:szCs w:val="22"/>
        </w:rPr>
        <w:t xml:space="preserve">Instituto Distrital de las Artes IDARTES </w:t>
      </w:r>
    </w:p>
    <w:p w14:paraId="7D58ACCA" w14:textId="2860DCA6" w:rsidR="00535307" w:rsidRPr="00743014" w:rsidRDefault="00DD3922" w:rsidP="005F400D">
      <w:pPr>
        <w:pStyle w:val="Prrafodelista"/>
        <w:numPr>
          <w:ilvl w:val="0"/>
          <w:numId w:val="6"/>
        </w:numPr>
        <w:tabs>
          <w:tab w:val="left" w:pos="1095"/>
        </w:tabs>
        <w:jc w:val="both"/>
        <w:rPr>
          <w:rFonts w:eastAsia="Arial" w:cs="Arial"/>
          <w:szCs w:val="22"/>
        </w:rPr>
      </w:pPr>
      <w:r w:rsidRPr="00743014">
        <w:rPr>
          <w:rFonts w:eastAsia="Arial" w:cs="Arial"/>
          <w:szCs w:val="22"/>
        </w:rPr>
        <w:t xml:space="preserve">Instituto Distrital de Patrimonio Cultural IDPC </w:t>
      </w:r>
    </w:p>
    <w:p w14:paraId="13D8B74E" w14:textId="77777777" w:rsidR="00535307" w:rsidRPr="00743014" w:rsidRDefault="00DD3922" w:rsidP="005F400D">
      <w:pPr>
        <w:pStyle w:val="Prrafodelista"/>
        <w:numPr>
          <w:ilvl w:val="0"/>
          <w:numId w:val="6"/>
        </w:numPr>
        <w:tabs>
          <w:tab w:val="left" w:pos="1095"/>
        </w:tabs>
        <w:jc w:val="both"/>
        <w:rPr>
          <w:rFonts w:eastAsia="Arial" w:cs="Arial"/>
          <w:szCs w:val="22"/>
        </w:rPr>
      </w:pPr>
      <w:r w:rsidRPr="00743014">
        <w:rPr>
          <w:rFonts w:eastAsia="Arial" w:cs="Arial"/>
          <w:szCs w:val="22"/>
        </w:rPr>
        <w:t xml:space="preserve">Orquesta Filarmónica de Bogotá OFB </w:t>
      </w:r>
    </w:p>
    <w:p w14:paraId="7C12F696" w14:textId="77777777" w:rsidR="00535307" w:rsidRPr="00743014" w:rsidRDefault="00535307" w:rsidP="005F400D">
      <w:pPr>
        <w:pStyle w:val="Prrafodelista"/>
        <w:numPr>
          <w:ilvl w:val="0"/>
          <w:numId w:val="6"/>
        </w:numPr>
        <w:tabs>
          <w:tab w:val="left" w:pos="1095"/>
        </w:tabs>
        <w:jc w:val="both"/>
        <w:rPr>
          <w:rFonts w:eastAsia="Arial" w:cs="Arial"/>
          <w:szCs w:val="22"/>
        </w:rPr>
      </w:pPr>
      <w:r w:rsidRPr="00743014">
        <w:rPr>
          <w:rFonts w:eastAsia="Arial" w:cs="Arial"/>
          <w:szCs w:val="22"/>
        </w:rPr>
        <w:t xml:space="preserve">Canal </w:t>
      </w:r>
      <w:r w:rsidR="00DD3922" w:rsidRPr="00743014">
        <w:rPr>
          <w:rFonts w:eastAsia="Arial" w:cs="Arial"/>
          <w:szCs w:val="22"/>
        </w:rPr>
        <w:t>Capital</w:t>
      </w:r>
    </w:p>
    <w:p w14:paraId="2C6E9FC3" w14:textId="6D58D2FA" w:rsidR="00DD3922" w:rsidRDefault="00DD3922" w:rsidP="00FB2062">
      <w:pPr>
        <w:shd w:val="clear" w:color="auto" w:fill="FFFFFF"/>
        <w:tabs>
          <w:tab w:val="left" w:pos="1095"/>
        </w:tabs>
        <w:jc w:val="both"/>
        <w:rPr>
          <w:rFonts w:eastAsia="Arial" w:cs="Arial"/>
          <w:b/>
          <w:szCs w:val="22"/>
        </w:rPr>
      </w:pPr>
    </w:p>
    <w:p w14:paraId="03A2A142" w14:textId="4888F75F" w:rsidR="00DD3922" w:rsidRDefault="00DD3922" w:rsidP="00FB2062">
      <w:pPr>
        <w:shd w:val="clear" w:color="auto" w:fill="FFFFFF"/>
        <w:tabs>
          <w:tab w:val="left" w:pos="1095"/>
        </w:tabs>
        <w:jc w:val="both"/>
        <w:rPr>
          <w:rFonts w:eastAsia="Arial" w:cs="Arial"/>
          <w:szCs w:val="22"/>
        </w:rPr>
      </w:pPr>
      <w:r w:rsidRPr="00743014">
        <w:rPr>
          <w:rFonts w:eastAsia="Arial" w:cs="Arial"/>
          <w:szCs w:val="22"/>
        </w:rPr>
        <w:t>La intervención del Secretario de Cultura, Nicolás Montero, estuvo orientada a destacar la importancia de la generación de la confianza con los diferentes grupos poblacionales y comunidades a las que se debe el sector.</w:t>
      </w:r>
    </w:p>
    <w:p w14:paraId="01091A92" w14:textId="77777777" w:rsidR="00FB2062" w:rsidRDefault="00FB2062" w:rsidP="00FB2062">
      <w:pPr>
        <w:tabs>
          <w:tab w:val="left" w:pos="1095"/>
        </w:tabs>
        <w:jc w:val="both"/>
        <w:rPr>
          <w:rFonts w:eastAsia="Arial" w:cs="Arial"/>
          <w:szCs w:val="22"/>
        </w:rPr>
      </w:pPr>
    </w:p>
    <w:p w14:paraId="4AB7D5EB" w14:textId="77777777" w:rsidR="000D2476" w:rsidRPr="00EB0DCE" w:rsidRDefault="000D2476" w:rsidP="00FB2062">
      <w:pPr>
        <w:tabs>
          <w:tab w:val="left" w:pos="1095"/>
        </w:tabs>
        <w:jc w:val="both"/>
        <w:rPr>
          <w:rFonts w:eastAsia="Arial" w:cs="Arial"/>
          <w:szCs w:val="22"/>
        </w:rPr>
      </w:pPr>
      <w:r w:rsidRPr="00EB0DCE">
        <w:rPr>
          <w:rFonts w:eastAsia="Arial" w:cs="Arial"/>
          <w:szCs w:val="22"/>
        </w:rPr>
        <w:lastRenderedPageBreak/>
        <w:t xml:space="preserve">Resaltó tres pasos que se consideran importantes en la generación de confianza: La información, los diálogos con los grupos de valor del sector y la responsabilidad. </w:t>
      </w:r>
    </w:p>
    <w:p w14:paraId="09967237" w14:textId="77777777" w:rsidR="000D2476" w:rsidRPr="00EB0DCE" w:rsidRDefault="000D2476" w:rsidP="00FB2062">
      <w:pPr>
        <w:tabs>
          <w:tab w:val="left" w:pos="1095"/>
        </w:tabs>
        <w:jc w:val="both"/>
        <w:rPr>
          <w:rFonts w:eastAsia="Arial" w:cs="Arial"/>
          <w:szCs w:val="22"/>
        </w:rPr>
      </w:pPr>
    </w:p>
    <w:p w14:paraId="6BA85349" w14:textId="77777777" w:rsidR="000D2476" w:rsidRPr="00EB0DCE" w:rsidRDefault="000D2476" w:rsidP="00FB2062">
      <w:pPr>
        <w:tabs>
          <w:tab w:val="left" w:pos="1095"/>
        </w:tabs>
        <w:jc w:val="both"/>
        <w:rPr>
          <w:rFonts w:eastAsia="Arial" w:cs="Arial"/>
          <w:szCs w:val="22"/>
        </w:rPr>
      </w:pPr>
      <w:r w:rsidRPr="00EB0DCE">
        <w:rPr>
          <w:rFonts w:eastAsia="Arial" w:cs="Arial"/>
          <w:szCs w:val="22"/>
        </w:rPr>
        <w:t xml:space="preserve">Mencionó que en los dos primeros ítems se han generado 635 espacios de diálogo de información con todos los grupos de valor y con responsabilidad se están gestando los compromisos con la plataforma Colibrí. </w:t>
      </w:r>
    </w:p>
    <w:p w14:paraId="33901746" w14:textId="77777777" w:rsidR="000D2476" w:rsidRPr="00EB0DCE" w:rsidRDefault="000D2476" w:rsidP="00FB2062">
      <w:pPr>
        <w:tabs>
          <w:tab w:val="left" w:pos="1095"/>
        </w:tabs>
        <w:jc w:val="both"/>
        <w:rPr>
          <w:rFonts w:eastAsia="Arial" w:cs="Arial"/>
          <w:szCs w:val="22"/>
        </w:rPr>
      </w:pPr>
    </w:p>
    <w:p w14:paraId="39D9A6BB" w14:textId="77777777" w:rsidR="000D2476" w:rsidRPr="00EB0DCE" w:rsidRDefault="000D2476" w:rsidP="00FB2062">
      <w:pPr>
        <w:tabs>
          <w:tab w:val="left" w:pos="1095"/>
        </w:tabs>
        <w:jc w:val="both"/>
        <w:rPr>
          <w:rFonts w:eastAsia="Arial" w:cs="Arial"/>
          <w:szCs w:val="22"/>
        </w:rPr>
      </w:pPr>
      <w:r w:rsidRPr="00EB0DCE">
        <w:rPr>
          <w:rFonts w:eastAsia="Arial" w:cs="Arial"/>
          <w:szCs w:val="22"/>
        </w:rPr>
        <w:t>Uno de los ejercicios que hace el sector cultura en coordinación con las entidades, es la reactivación económica a través del programa distrital de estímulos, en el cual se han entregado más de 45 mil millones de pesos y adicional a esto los recursos que se han entregado a los gestores culturales para aliviar la crisis generada por la pandemia del COVID, que en conjunto suman más de los 70 mil millones de pesos, aproximadamente.</w:t>
      </w:r>
    </w:p>
    <w:p w14:paraId="6DDE26A7" w14:textId="77777777" w:rsidR="000D2476" w:rsidRPr="00EB0DCE" w:rsidRDefault="000D2476" w:rsidP="00FB2062">
      <w:pPr>
        <w:tabs>
          <w:tab w:val="left" w:pos="1095"/>
        </w:tabs>
        <w:jc w:val="both"/>
        <w:rPr>
          <w:rFonts w:eastAsia="Arial" w:cs="Arial"/>
          <w:szCs w:val="22"/>
        </w:rPr>
      </w:pPr>
    </w:p>
    <w:p w14:paraId="7E7DC2E2" w14:textId="201DBB0D" w:rsidR="000D2476" w:rsidRPr="00EB0DCE" w:rsidRDefault="000D2476" w:rsidP="00FB2062">
      <w:pPr>
        <w:tabs>
          <w:tab w:val="left" w:pos="1095"/>
        </w:tabs>
        <w:jc w:val="both"/>
        <w:rPr>
          <w:rFonts w:eastAsia="Arial" w:cs="Arial"/>
          <w:szCs w:val="22"/>
        </w:rPr>
      </w:pPr>
      <w:r w:rsidRPr="00EB0DCE">
        <w:rPr>
          <w:rFonts w:eastAsia="Arial" w:cs="Arial"/>
          <w:szCs w:val="22"/>
        </w:rPr>
        <w:t xml:space="preserve">Así mismo, respecto a la participación ciudadana, se ha invitado a la propuesta de cabildo abierto por la cultura, lo que llevó en medio de la protesta social a que se tuvieran cinco asambleas </w:t>
      </w:r>
      <w:r w:rsidR="00A70FA3" w:rsidRPr="00EB0DCE">
        <w:rPr>
          <w:rFonts w:eastAsia="Arial" w:cs="Arial"/>
          <w:szCs w:val="22"/>
        </w:rPr>
        <w:t>Inter locales</w:t>
      </w:r>
      <w:r w:rsidRPr="00EB0DCE">
        <w:rPr>
          <w:rFonts w:eastAsia="Arial" w:cs="Arial"/>
          <w:szCs w:val="22"/>
        </w:rPr>
        <w:t>, allí se recogieron 125 propuestas de las reuniones, para posteriormente gestionar proyectos a los presupuestos locales (1.519 propuestas del sector cultura).</w:t>
      </w:r>
    </w:p>
    <w:p w14:paraId="39AA5FCC" w14:textId="77777777" w:rsidR="000D2476" w:rsidRPr="00EB0DCE" w:rsidRDefault="000D2476" w:rsidP="00FB2062">
      <w:pPr>
        <w:tabs>
          <w:tab w:val="left" w:pos="1095"/>
        </w:tabs>
        <w:jc w:val="both"/>
        <w:rPr>
          <w:rFonts w:eastAsia="Arial" w:cs="Arial"/>
          <w:szCs w:val="22"/>
        </w:rPr>
      </w:pPr>
    </w:p>
    <w:p w14:paraId="5829ED26" w14:textId="77777777" w:rsidR="000D2476" w:rsidRPr="00EB0DCE" w:rsidRDefault="000D2476" w:rsidP="00FB2062">
      <w:pPr>
        <w:tabs>
          <w:tab w:val="left" w:pos="1095"/>
        </w:tabs>
        <w:jc w:val="both"/>
        <w:rPr>
          <w:rFonts w:eastAsia="Arial" w:cs="Arial"/>
          <w:szCs w:val="22"/>
        </w:rPr>
      </w:pPr>
      <w:r w:rsidRPr="00EB0DCE">
        <w:rPr>
          <w:rFonts w:eastAsia="Arial" w:cs="Arial"/>
          <w:szCs w:val="22"/>
        </w:rPr>
        <w:t xml:space="preserve">Otro de los esfuerzos realizados está orientado a reincorporar las casas de la cultura al ejercicio local y al sistema de participación.  </w:t>
      </w:r>
    </w:p>
    <w:p w14:paraId="5B7BB50D" w14:textId="77777777" w:rsidR="000D2476" w:rsidRPr="00EB0DCE" w:rsidRDefault="000D2476" w:rsidP="00FB2062">
      <w:pPr>
        <w:tabs>
          <w:tab w:val="left" w:pos="1095"/>
        </w:tabs>
        <w:jc w:val="both"/>
        <w:rPr>
          <w:rFonts w:eastAsia="Arial" w:cs="Arial"/>
          <w:szCs w:val="22"/>
        </w:rPr>
      </w:pPr>
    </w:p>
    <w:p w14:paraId="33DDA34B" w14:textId="77777777" w:rsidR="000D2476" w:rsidRPr="00EB0DCE" w:rsidRDefault="000D2476" w:rsidP="00FB2062">
      <w:pPr>
        <w:tabs>
          <w:tab w:val="left" w:pos="1095"/>
        </w:tabs>
        <w:jc w:val="both"/>
        <w:rPr>
          <w:rFonts w:eastAsia="Arial" w:cs="Arial"/>
          <w:szCs w:val="22"/>
        </w:rPr>
      </w:pPr>
      <w:r w:rsidRPr="00EB0DCE">
        <w:rPr>
          <w:rFonts w:eastAsia="Arial" w:cs="Arial"/>
          <w:szCs w:val="22"/>
        </w:rPr>
        <w:t>En términos de infraestructura cultural, se entregó el Teatro El Ensueño en la localidad de Ciudad Bolívar y el Museo de la Ciudad Autoconstruida, con la biblioteca del mirador.</w:t>
      </w:r>
    </w:p>
    <w:p w14:paraId="58CE397B" w14:textId="77777777" w:rsidR="000D2476" w:rsidRPr="00EB0DCE" w:rsidRDefault="000D2476" w:rsidP="00FB2062">
      <w:pPr>
        <w:tabs>
          <w:tab w:val="left" w:pos="1095"/>
        </w:tabs>
        <w:jc w:val="both"/>
        <w:rPr>
          <w:rFonts w:eastAsia="Arial" w:cs="Arial"/>
          <w:szCs w:val="22"/>
        </w:rPr>
      </w:pPr>
    </w:p>
    <w:p w14:paraId="7A7FF73A" w14:textId="77777777" w:rsidR="000D2476" w:rsidRPr="00EB0DCE" w:rsidRDefault="000D2476" w:rsidP="00FB2062">
      <w:pPr>
        <w:tabs>
          <w:tab w:val="left" w:pos="1095"/>
        </w:tabs>
        <w:jc w:val="both"/>
        <w:rPr>
          <w:rFonts w:eastAsia="Arial" w:cs="Arial"/>
          <w:szCs w:val="22"/>
        </w:rPr>
      </w:pPr>
      <w:r w:rsidRPr="00EB0DCE">
        <w:rPr>
          <w:rFonts w:eastAsia="Arial" w:cs="Arial"/>
          <w:szCs w:val="22"/>
        </w:rPr>
        <w:t xml:space="preserve">Otra de las estrategias formuladas que contribuyó a la reactivación del sector, es el aprovechamiento de la infraestructura cultural, mediante la cual se logró la disminución de permisos que requieren tramitar los equipamientos culturales para desarrollar los eventos. </w:t>
      </w:r>
    </w:p>
    <w:p w14:paraId="1A3C5A38" w14:textId="77777777" w:rsidR="000D2476" w:rsidRPr="00EB0DCE" w:rsidRDefault="000D2476" w:rsidP="00FB2062">
      <w:pPr>
        <w:tabs>
          <w:tab w:val="left" w:pos="1095"/>
        </w:tabs>
        <w:jc w:val="both"/>
        <w:rPr>
          <w:rFonts w:eastAsia="Arial" w:cs="Arial"/>
          <w:szCs w:val="22"/>
        </w:rPr>
      </w:pPr>
    </w:p>
    <w:p w14:paraId="185DCA6C" w14:textId="4DAD9D76" w:rsidR="000D2476" w:rsidRPr="00EB0DCE" w:rsidRDefault="000D2476" w:rsidP="00FB2062">
      <w:pPr>
        <w:tabs>
          <w:tab w:val="left" w:pos="1095"/>
        </w:tabs>
        <w:jc w:val="both"/>
        <w:rPr>
          <w:rFonts w:eastAsia="Arial" w:cs="Arial"/>
          <w:szCs w:val="22"/>
        </w:rPr>
      </w:pPr>
      <w:r w:rsidRPr="00EB0DCE">
        <w:rPr>
          <w:rFonts w:eastAsia="Arial" w:cs="Arial"/>
          <w:szCs w:val="22"/>
        </w:rPr>
        <w:t xml:space="preserve">En materia de patrimonio cultural, se le da el espacio al </w:t>
      </w:r>
      <w:r w:rsidR="00A70FA3" w:rsidRPr="00EB0DCE">
        <w:rPr>
          <w:rFonts w:eastAsia="Arial" w:cs="Arial"/>
          <w:szCs w:val="22"/>
        </w:rPr>
        <w:t>director</w:t>
      </w:r>
      <w:r w:rsidRPr="00EB0DCE">
        <w:rPr>
          <w:rFonts w:eastAsia="Arial" w:cs="Arial"/>
          <w:szCs w:val="22"/>
        </w:rPr>
        <w:t xml:space="preserve"> del Instituto Distrital de Patrimonio Cultural – IDPC, quien en su intervención le apuesta a los patrimonios integrados, las relaciones entre distintas categorías, el patrimonio material e inmaterial, el patrimonio natural y el espacio público.</w:t>
      </w:r>
    </w:p>
    <w:p w14:paraId="612B4DED" w14:textId="77777777" w:rsidR="000D2476" w:rsidRPr="00EB0DCE" w:rsidRDefault="000D2476" w:rsidP="00FB2062">
      <w:pPr>
        <w:tabs>
          <w:tab w:val="left" w:pos="1095"/>
        </w:tabs>
        <w:jc w:val="both"/>
        <w:rPr>
          <w:rFonts w:eastAsia="Arial" w:cs="Arial"/>
          <w:szCs w:val="22"/>
        </w:rPr>
      </w:pPr>
    </w:p>
    <w:p w14:paraId="55595BE2" w14:textId="77777777" w:rsidR="000D2476" w:rsidRPr="00EB0DCE" w:rsidRDefault="000D2476" w:rsidP="00FB2062">
      <w:pPr>
        <w:tabs>
          <w:tab w:val="left" w:pos="1095"/>
        </w:tabs>
        <w:jc w:val="both"/>
        <w:rPr>
          <w:rFonts w:eastAsia="Arial" w:cs="Arial"/>
          <w:szCs w:val="22"/>
        </w:rPr>
      </w:pPr>
      <w:r w:rsidRPr="00EB0DCE">
        <w:rPr>
          <w:rFonts w:eastAsia="Arial" w:cs="Arial"/>
          <w:szCs w:val="22"/>
        </w:rPr>
        <w:t xml:space="preserve">El tema central del IDPC en la Rendición de Cuentas es la activación de patrimonios en el Borde Sur en la ciudad y la propuesta de un lente nuevo para leer y reconocer los territorios. Resaltó que no sólo es importante el patrimonio monumental, el patrimonio material, sino reconocer las formas de habitar en el territorio, cómo se reconoce el vínculo social de lo que ahí se moviliza. </w:t>
      </w:r>
    </w:p>
    <w:p w14:paraId="6026BE52" w14:textId="77777777" w:rsidR="000D2476" w:rsidRPr="00EB0DCE" w:rsidRDefault="000D2476" w:rsidP="00FB2062">
      <w:pPr>
        <w:tabs>
          <w:tab w:val="left" w:pos="1095"/>
        </w:tabs>
        <w:jc w:val="both"/>
        <w:rPr>
          <w:rFonts w:eastAsia="Arial" w:cs="Arial"/>
          <w:szCs w:val="22"/>
        </w:rPr>
      </w:pPr>
    </w:p>
    <w:p w14:paraId="49604C18" w14:textId="77777777" w:rsidR="000D2476" w:rsidRPr="00EB0DCE" w:rsidRDefault="000D2476" w:rsidP="00FB2062">
      <w:pPr>
        <w:tabs>
          <w:tab w:val="left" w:pos="1095"/>
        </w:tabs>
        <w:jc w:val="both"/>
        <w:rPr>
          <w:rFonts w:eastAsia="Arial" w:cs="Arial"/>
          <w:szCs w:val="22"/>
        </w:rPr>
      </w:pPr>
      <w:r w:rsidRPr="00EB0DCE">
        <w:rPr>
          <w:rFonts w:eastAsia="Arial" w:cs="Arial"/>
          <w:szCs w:val="22"/>
        </w:rPr>
        <w:t>El patrimonio es la mirada de lo integrado, el soporte vital, las prácticas culturales que se reconocían como patrimonio inmaterial, el soporte que da el patrimonio natural, el soporte de creencias y el lugar de encuentros que constituye el espacio público patrimonial.</w:t>
      </w:r>
    </w:p>
    <w:p w14:paraId="0E541BAC" w14:textId="77777777" w:rsidR="000D2476" w:rsidRPr="00EB0DCE" w:rsidRDefault="000D2476" w:rsidP="00FB2062">
      <w:pPr>
        <w:tabs>
          <w:tab w:val="left" w:pos="1095"/>
        </w:tabs>
        <w:jc w:val="both"/>
        <w:rPr>
          <w:rFonts w:eastAsia="Arial" w:cs="Arial"/>
          <w:szCs w:val="22"/>
        </w:rPr>
      </w:pPr>
    </w:p>
    <w:p w14:paraId="4BB65EFD" w14:textId="77777777" w:rsidR="000D2476" w:rsidRPr="00EB0DCE" w:rsidRDefault="000D2476" w:rsidP="00FB2062">
      <w:pPr>
        <w:tabs>
          <w:tab w:val="left" w:pos="1095"/>
        </w:tabs>
        <w:jc w:val="both"/>
        <w:rPr>
          <w:rFonts w:eastAsia="Arial" w:cs="Arial"/>
          <w:szCs w:val="22"/>
        </w:rPr>
      </w:pPr>
      <w:r w:rsidRPr="00EB0DCE">
        <w:rPr>
          <w:rFonts w:eastAsia="Arial" w:cs="Arial"/>
          <w:szCs w:val="22"/>
        </w:rPr>
        <w:t>Al final es un tema de reconocimiento de los vínculos sociales y la manera como la gente construye territorialidades.</w:t>
      </w:r>
    </w:p>
    <w:p w14:paraId="2E66F105" w14:textId="77777777" w:rsidR="000D2476" w:rsidRPr="00EB0DCE" w:rsidRDefault="000D2476" w:rsidP="00FB2062">
      <w:pPr>
        <w:tabs>
          <w:tab w:val="left" w:pos="1095"/>
        </w:tabs>
        <w:jc w:val="both"/>
        <w:rPr>
          <w:rFonts w:eastAsia="Arial" w:cs="Arial"/>
          <w:szCs w:val="22"/>
        </w:rPr>
      </w:pPr>
    </w:p>
    <w:p w14:paraId="3E390FE1" w14:textId="554CF2A8" w:rsidR="000D2476" w:rsidRPr="00EB0DCE" w:rsidRDefault="000D2476" w:rsidP="00FB2062">
      <w:pPr>
        <w:tabs>
          <w:tab w:val="left" w:pos="1095"/>
        </w:tabs>
        <w:jc w:val="both"/>
        <w:rPr>
          <w:rFonts w:eastAsia="Arial" w:cs="Arial"/>
          <w:szCs w:val="22"/>
        </w:rPr>
      </w:pPr>
      <w:r w:rsidRPr="00EB0DCE">
        <w:rPr>
          <w:rFonts w:eastAsia="Arial" w:cs="Arial"/>
          <w:szCs w:val="22"/>
        </w:rPr>
        <w:t>Esos aprendizajes son fundamentales para entender los territorios; así mismo</w:t>
      </w:r>
      <w:r w:rsidR="00FB2062">
        <w:rPr>
          <w:rFonts w:eastAsia="Arial" w:cs="Arial"/>
          <w:szCs w:val="22"/>
        </w:rPr>
        <w:t>,</w:t>
      </w:r>
      <w:r w:rsidRPr="00EB0DCE">
        <w:rPr>
          <w:rFonts w:eastAsia="Arial" w:cs="Arial"/>
          <w:szCs w:val="22"/>
        </w:rPr>
        <w:t xml:space="preserve"> son importantes para expresar uno de los hitos sobre los que ha venido trabajando el IDPC, la implementación del Plan Especial de Manejo y Protección del Centro Histórico-PEMP.   </w:t>
      </w:r>
    </w:p>
    <w:p w14:paraId="2E22F405" w14:textId="77777777" w:rsidR="000D2476" w:rsidRPr="00EB0DCE" w:rsidRDefault="000D2476" w:rsidP="00FB2062">
      <w:pPr>
        <w:tabs>
          <w:tab w:val="left" w:pos="1095"/>
        </w:tabs>
        <w:jc w:val="both"/>
        <w:rPr>
          <w:rFonts w:eastAsia="Arial" w:cs="Arial"/>
          <w:szCs w:val="22"/>
        </w:rPr>
      </w:pPr>
    </w:p>
    <w:p w14:paraId="0DF83006" w14:textId="77777777" w:rsidR="000D2476" w:rsidRPr="00EB0DCE" w:rsidRDefault="000D2476" w:rsidP="00FB2062">
      <w:pPr>
        <w:tabs>
          <w:tab w:val="left" w:pos="1095"/>
        </w:tabs>
        <w:jc w:val="both"/>
        <w:rPr>
          <w:rFonts w:eastAsia="Arial" w:cs="Arial"/>
          <w:szCs w:val="22"/>
        </w:rPr>
      </w:pPr>
      <w:r w:rsidRPr="00EB0DCE">
        <w:rPr>
          <w:rFonts w:eastAsia="Arial" w:cs="Arial"/>
          <w:szCs w:val="22"/>
        </w:rPr>
        <w:t xml:space="preserve">Otro de los temas expuestos es la declaratoria del Páramo de Sumapaz, en su forma de reconocer cómo los campesinos han construido una relación con el entorno, la declaratoria pasa por una serie de procesos de inventario de patrimonio en dos cuencas; la del Río blanco y la del Rio Sumapaz y por unos procesos de reflexión desde los comités campesinos de mujeres sobre cuáles son las identidades campesinas que están en el páramo de Sumapaz, donde se encuentra una riqueza natural y una relación cultural construida con el entorno que permite defender el territorio más biodiverso y que al final es el reservorio de agua para nuestra ciudad. En Sumapaz se ha avanzado con el sindicato campesino en este proceso. </w:t>
      </w:r>
    </w:p>
    <w:p w14:paraId="0556FF3F" w14:textId="77777777" w:rsidR="000D2476" w:rsidRPr="00EB0DCE" w:rsidRDefault="000D2476" w:rsidP="00FB2062">
      <w:pPr>
        <w:tabs>
          <w:tab w:val="left" w:pos="1095"/>
        </w:tabs>
        <w:jc w:val="both"/>
        <w:rPr>
          <w:rFonts w:eastAsia="Arial" w:cs="Arial"/>
          <w:szCs w:val="22"/>
        </w:rPr>
      </w:pPr>
    </w:p>
    <w:p w14:paraId="758AB5AD" w14:textId="35DDB9AA" w:rsidR="000D2476" w:rsidRPr="00EB0DCE" w:rsidRDefault="000D2476" w:rsidP="00FB2062">
      <w:pPr>
        <w:tabs>
          <w:tab w:val="left" w:pos="1095"/>
        </w:tabs>
        <w:jc w:val="both"/>
        <w:rPr>
          <w:rFonts w:eastAsia="Arial" w:cs="Arial"/>
          <w:szCs w:val="22"/>
        </w:rPr>
      </w:pPr>
      <w:r w:rsidRPr="00EB0DCE">
        <w:rPr>
          <w:rFonts w:eastAsia="Arial" w:cs="Arial"/>
          <w:szCs w:val="22"/>
        </w:rPr>
        <w:t xml:space="preserve">Finalmente, el Museo de la Ciudad Autoconstruida, proyecto importante para el sector cultura, </w:t>
      </w:r>
      <w:r w:rsidR="00FB2062">
        <w:rPr>
          <w:rFonts w:eastAsia="Arial" w:cs="Arial"/>
          <w:szCs w:val="22"/>
        </w:rPr>
        <w:t>producto</w:t>
      </w:r>
      <w:r w:rsidRPr="00EB0DCE">
        <w:rPr>
          <w:rFonts w:eastAsia="Arial" w:cs="Arial"/>
          <w:szCs w:val="22"/>
        </w:rPr>
        <w:t xml:space="preserve"> de más de 35 reuniones con las mesas de memoria de ciudad Bolívar que congrega 15 organizaciones comunitarias, se construyó el g</w:t>
      </w:r>
      <w:r w:rsidR="00FB2062">
        <w:rPr>
          <w:rFonts w:eastAsia="Arial" w:cs="Arial"/>
          <w:szCs w:val="22"/>
        </w:rPr>
        <w:t>uion museográfico conjuntamente</w:t>
      </w:r>
      <w:r w:rsidRPr="00EB0DCE">
        <w:rPr>
          <w:rFonts w:eastAsia="Arial" w:cs="Arial"/>
          <w:szCs w:val="22"/>
        </w:rPr>
        <w:t xml:space="preserve">. El problema de Ciudad Bolívar se concentra en los vínculos sociales de una ciudad que se autoconstruye, es un tema de solidaridad y resistencia en el territorio de reconocimiento de agentes sociales. </w:t>
      </w:r>
    </w:p>
    <w:p w14:paraId="6568AAFA" w14:textId="77777777" w:rsidR="000D2476" w:rsidRPr="00EB0DCE" w:rsidRDefault="000D2476" w:rsidP="00FB2062">
      <w:pPr>
        <w:tabs>
          <w:tab w:val="left" w:pos="1095"/>
        </w:tabs>
        <w:jc w:val="both"/>
        <w:rPr>
          <w:rFonts w:eastAsia="Arial" w:cs="Arial"/>
          <w:szCs w:val="22"/>
        </w:rPr>
      </w:pPr>
    </w:p>
    <w:p w14:paraId="7B741FD8" w14:textId="77777777" w:rsidR="000D2476" w:rsidRPr="00EB0DCE" w:rsidRDefault="000D2476" w:rsidP="00FB2062">
      <w:pPr>
        <w:tabs>
          <w:tab w:val="left" w:pos="1095"/>
        </w:tabs>
        <w:jc w:val="both"/>
        <w:rPr>
          <w:rFonts w:eastAsia="Arial" w:cs="Arial"/>
          <w:szCs w:val="22"/>
        </w:rPr>
      </w:pPr>
      <w:r w:rsidRPr="00EB0DCE">
        <w:rPr>
          <w:rFonts w:eastAsia="Arial" w:cs="Arial"/>
          <w:szCs w:val="22"/>
        </w:rPr>
        <w:t>Ciudad Bolívar será una plataforma importante en la reflexión y la conversación como sector cultura, sobre cuáles son las identidades que se quiere construir en Bogotá. En el desarrollo del trabajo se escogieron 8 mediadores de las hojas de vida que llegaron, para trabajar con esos mediadores en los proyectos del territorio.</w:t>
      </w:r>
    </w:p>
    <w:p w14:paraId="30F6984E" w14:textId="77777777" w:rsidR="000D2476" w:rsidRPr="00EB0DCE" w:rsidRDefault="000D2476" w:rsidP="00FB2062">
      <w:pPr>
        <w:tabs>
          <w:tab w:val="left" w:pos="1095"/>
        </w:tabs>
        <w:jc w:val="both"/>
        <w:rPr>
          <w:rFonts w:eastAsia="Arial" w:cs="Arial"/>
          <w:szCs w:val="22"/>
        </w:rPr>
      </w:pPr>
    </w:p>
    <w:p w14:paraId="7F3DC578" w14:textId="77777777" w:rsidR="000D2476" w:rsidRPr="00EB0DCE" w:rsidRDefault="000D2476" w:rsidP="00FB2062">
      <w:pPr>
        <w:tabs>
          <w:tab w:val="left" w:pos="1095"/>
        </w:tabs>
        <w:jc w:val="both"/>
        <w:rPr>
          <w:rFonts w:eastAsia="Arial" w:cs="Arial"/>
          <w:szCs w:val="22"/>
        </w:rPr>
      </w:pPr>
      <w:r w:rsidRPr="00EB0DCE">
        <w:rPr>
          <w:rFonts w:eastAsia="Arial" w:cs="Arial"/>
          <w:szCs w:val="22"/>
        </w:rPr>
        <w:t xml:space="preserve">La apuesta del Museo de Bogotá en coordinación con el trabajo del Museo de la Ciudad Autoconstruida, será la territorialización del Museo de la ciudad, para que deje de ser percibido solamente como una plataforma de reflexión sobre el desarrollo urbano de la ciudad de Bogotá y en perspectiva turística para convertirlo en un Museo que llega como plataforma a los debates museográficos y de construcción de representación de la ciudadanía en localidades donde nunca había llegado. </w:t>
      </w:r>
    </w:p>
    <w:p w14:paraId="7FCD8453" w14:textId="77777777" w:rsidR="000D2476" w:rsidRPr="00EB0DCE" w:rsidRDefault="000D2476" w:rsidP="00FB2062">
      <w:pPr>
        <w:tabs>
          <w:tab w:val="left" w:pos="1095"/>
        </w:tabs>
        <w:jc w:val="both"/>
        <w:rPr>
          <w:rFonts w:eastAsia="Arial" w:cs="Arial"/>
          <w:szCs w:val="22"/>
        </w:rPr>
      </w:pPr>
    </w:p>
    <w:p w14:paraId="0A5A6E8C" w14:textId="612A86EF" w:rsidR="000D2476" w:rsidRPr="00EB0DCE" w:rsidRDefault="000D2476" w:rsidP="00FB2062">
      <w:pPr>
        <w:tabs>
          <w:tab w:val="left" w:pos="1095"/>
        </w:tabs>
        <w:jc w:val="both"/>
        <w:rPr>
          <w:rFonts w:eastAsia="Arial" w:cs="Arial"/>
          <w:szCs w:val="22"/>
        </w:rPr>
      </w:pPr>
      <w:r w:rsidRPr="00EB0DCE">
        <w:rPr>
          <w:rFonts w:eastAsia="Arial" w:cs="Arial"/>
          <w:szCs w:val="22"/>
        </w:rPr>
        <w:t>La apuesta del Museo de Bogotá luego de la apertura del Museo de la Ciudad Autoconstruida, el pasado 28 de noviembre, es el posicionamiento de la exposición permanente en clave de ser la plataforma de otros debates que no han sido visibilizados, como por ejemplo, qué no hemos visto</w:t>
      </w:r>
      <w:r>
        <w:rPr>
          <w:rFonts w:ascii="Verdana" w:hAnsi="Verdana" w:cs="Arial"/>
          <w:color w:val="000000" w:themeColor="text1"/>
          <w:szCs w:val="22"/>
        </w:rPr>
        <w:t xml:space="preserve"> </w:t>
      </w:r>
      <w:r w:rsidRPr="00EB0DCE">
        <w:rPr>
          <w:rFonts w:eastAsia="Arial" w:cs="Arial"/>
          <w:szCs w:val="22"/>
        </w:rPr>
        <w:t xml:space="preserve">en la construcción de ciudadanía.  </w:t>
      </w:r>
    </w:p>
    <w:p w14:paraId="7464997D" w14:textId="526135DD" w:rsidR="000D2476" w:rsidRDefault="000D2476" w:rsidP="00FB2062">
      <w:pPr>
        <w:tabs>
          <w:tab w:val="left" w:pos="1095"/>
        </w:tabs>
        <w:jc w:val="both"/>
        <w:rPr>
          <w:rFonts w:eastAsia="Arial" w:cs="Arial"/>
          <w:szCs w:val="22"/>
        </w:rPr>
      </w:pPr>
    </w:p>
    <w:p w14:paraId="674960CF" w14:textId="5D1C9261" w:rsidR="00800C82" w:rsidRPr="00FB2062" w:rsidRDefault="00800C82" w:rsidP="005F400D">
      <w:pPr>
        <w:pStyle w:val="Prrafodelista"/>
        <w:numPr>
          <w:ilvl w:val="1"/>
          <w:numId w:val="1"/>
        </w:numPr>
        <w:ind w:left="851"/>
        <w:jc w:val="both"/>
        <w:rPr>
          <w:rFonts w:cs="Arial"/>
          <w:b/>
        </w:rPr>
      </w:pPr>
      <w:r w:rsidRPr="00FB2062">
        <w:rPr>
          <w:rFonts w:cs="Arial"/>
          <w:b/>
        </w:rPr>
        <w:t xml:space="preserve">Espacio para Presentar Preguntas </w:t>
      </w:r>
      <w:r w:rsidR="00DD3922" w:rsidRPr="00FB2062">
        <w:rPr>
          <w:rFonts w:cs="Arial"/>
          <w:b/>
        </w:rPr>
        <w:t>y</w:t>
      </w:r>
      <w:r w:rsidRPr="00FB2062">
        <w:rPr>
          <w:rFonts w:cs="Arial"/>
          <w:b/>
        </w:rPr>
        <w:t xml:space="preserve"> Propuestas </w:t>
      </w:r>
    </w:p>
    <w:p w14:paraId="5F20F3BB" w14:textId="0B870261" w:rsidR="00800C82" w:rsidRDefault="00800C82" w:rsidP="00FB2062">
      <w:pPr>
        <w:shd w:val="clear" w:color="auto" w:fill="FFFFFF"/>
        <w:tabs>
          <w:tab w:val="left" w:pos="1095"/>
        </w:tabs>
        <w:jc w:val="both"/>
        <w:rPr>
          <w:rFonts w:eastAsia="Arial" w:cs="Arial"/>
          <w:szCs w:val="22"/>
        </w:rPr>
      </w:pPr>
    </w:p>
    <w:p w14:paraId="356FC7AA" w14:textId="6DDD38F6" w:rsidR="00DD3922" w:rsidRPr="00743014" w:rsidRDefault="00DD3922" w:rsidP="00FB2062">
      <w:pPr>
        <w:shd w:val="clear" w:color="auto" w:fill="FFFFFF"/>
        <w:tabs>
          <w:tab w:val="left" w:pos="1095"/>
        </w:tabs>
        <w:jc w:val="both"/>
        <w:rPr>
          <w:rFonts w:eastAsia="Arial" w:cs="Arial"/>
          <w:szCs w:val="22"/>
        </w:rPr>
      </w:pPr>
      <w:r w:rsidRPr="00743014">
        <w:rPr>
          <w:rFonts w:eastAsia="Arial" w:cs="Arial"/>
          <w:szCs w:val="22"/>
        </w:rPr>
        <w:t xml:space="preserve">Dentro de la jornada de la Audiencia Pública de Rendición de Cuentas, </w:t>
      </w:r>
      <w:r w:rsidR="00C0375A">
        <w:rPr>
          <w:rFonts w:eastAsia="Arial" w:cs="Arial"/>
          <w:szCs w:val="22"/>
        </w:rPr>
        <w:t xml:space="preserve">fueron formuladas </w:t>
      </w:r>
      <w:r w:rsidR="00460856">
        <w:rPr>
          <w:rFonts w:eastAsia="Arial" w:cs="Arial"/>
          <w:szCs w:val="22"/>
        </w:rPr>
        <w:t>algunas</w:t>
      </w:r>
      <w:r w:rsidR="00C0375A">
        <w:rPr>
          <w:rFonts w:eastAsia="Arial" w:cs="Arial"/>
          <w:szCs w:val="22"/>
        </w:rPr>
        <w:t xml:space="preserve"> </w:t>
      </w:r>
      <w:r w:rsidRPr="00743014">
        <w:rPr>
          <w:rFonts w:eastAsia="Arial" w:cs="Arial"/>
          <w:szCs w:val="22"/>
        </w:rPr>
        <w:t>pregunta</w:t>
      </w:r>
      <w:r w:rsidR="00C0375A">
        <w:rPr>
          <w:rFonts w:eastAsia="Arial" w:cs="Arial"/>
          <w:szCs w:val="22"/>
        </w:rPr>
        <w:t>s</w:t>
      </w:r>
      <w:r w:rsidR="00460856">
        <w:rPr>
          <w:rFonts w:eastAsia="Arial" w:cs="Arial"/>
          <w:szCs w:val="22"/>
        </w:rPr>
        <w:t xml:space="preserve"> a las cuales el IDPC, les dio como respuesta:</w:t>
      </w:r>
    </w:p>
    <w:p w14:paraId="1C4B8D4A" w14:textId="77777777" w:rsidR="00DD3922" w:rsidRPr="00743014" w:rsidRDefault="00DD3922" w:rsidP="00FB2062">
      <w:pPr>
        <w:shd w:val="clear" w:color="auto" w:fill="FFFFFF"/>
        <w:tabs>
          <w:tab w:val="left" w:pos="1095"/>
        </w:tabs>
        <w:jc w:val="both"/>
        <w:rPr>
          <w:rFonts w:eastAsia="Arial" w:cs="Arial"/>
          <w:szCs w:val="22"/>
        </w:rPr>
      </w:pPr>
    </w:p>
    <w:p w14:paraId="19782321" w14:textId="77777777" w:rsidR="00DD3922" w:rsidRPr="00743014" w:rsidRDefault="00DD3922" w:rsidP="005F400D">
      <w:pPr>
        <w:pStyle w:val="Prrafodelista"/>
        <w:widowControl w:val="0"/>
        <w:numPr>
          <w:ilvl w:val="0"/>
          <w:numId w:val="8"/>
        </w:numPr>
        <w:tabs>
          <w:tab w:val="left" w:pos="1095"/>
        </w:tabs>
        <w:suppressAutoHyphens/>
        <w:spacing w:line="100" w:lineRule="atLeast"/>
        <w:jc w:val="both"/>
        <w:rPr>
          <w:rFonts w:eastAsia="Arial" w:cs="Arial"/>
          <w:b/>
          <w:szCs w:val="22"/>
        </w:rPr>
      </w:pPr>
      <w:r w:rsidRPr="00743014">
        <w:rPr>
          <w:rFonts w:eastAsia="Arial" w:cs="Arial"/>
          <w:b/>
          <w:szCs w:val="22"/>
        </w:rPr>
        <w:t>¿Qué pasó con el vínculo social con el Monumento de los Héroes? ¿Cuál fue ahí el papel del IDPC?</w:t>
      </w:r>
    </w:p>
    <w:p w14:paraId="30E87B43" w14:textId="77777777" w:rsidR="00DD3922" w:rsidRDefault="00DD3922" w:rsidP="00FB2062">
      <w:pPr>
        <w:tabs>
          <w:tab w:val="left" w:pos="1095"/>
        </w:tabs>
        <w:jc w:val="both"/>
        <w:rPr>
          <w:rFonts w:ascii="Verdana" w:hAnsi="Verdana" w:cs="Arial"/>
          <w:b/>
          <w:color w:val="5B9BD5" w:themeColor="accent5"/>
          <w:szCs w:val="22"/>
        </w:rPr>
      </w:pPr>
    </w:p>
    <w:p w14:paraId="61CD7DBF" w14:textId="3975BFD3" w:rsidR="00DD3922" w:rsidRPr="00743014" w:rsidRDefault="00E57CCC" w:rsidP="00FB2062">
      <w:pPr>
        <w:shd w:val="clear" w:color="auto" w:fill="FFFFFF"/>
        <w:tabs>
          <w:tab w:val="left" w:pos="1095"/>
        </w:tabs>
        <w:jc w:val="both"/>
        <w:rPr>
          <w:rFonts w:eastAsia="Arial" w:cs="Arial"/>
          <w:szCs w:val="22"/>
        </w:rPr>
      </w:pPr>
      <w:r w:rsidRPr="00E57CCC">
        <w:rPr>
          <w:rFonts w:eastAsia="Arial" w:cs="Arial"/>
          <w:b/>
          <w:szCs w:val="22"/>
        </w:rPr>
        <w:t>Rta/:</w:t>
      </w:r>
      <w:r>
        <w:rPr>
          <w:rFonts w:eastAsia="Arial" w:cs="Arial"/>
          <w:szCs w:val="22"/>
        </w:rPr>
        <w:t xml:space="preserve"> </w:t>
      </w:r>
      <w:r w:rsidR="00DD3922" w:rsidRPr="00743014">
        <w:rPr>
          <w:rFonts w:eastAsia="Arial" w:cs="Arial"/>
          <w:szCs w:val="22"/>
        </w:rPr>
        <w:t xml:space="preserve">El Instituto Distrital de Patrimonio Cultural viene realizando acciones permanentes de reconocimiento y visibilización de las dinámicas culturales y de apropiación de la ciudadanía sobre el Monumento a Los Héroes y en general, sobre los monumentos y referentes simbólicos en el espacio público de la ciudad. </w:t>
      </w:r>
    </w:p>
    <w:p w14:paraId="71DFA7D4" w14:textId="77777777" w:rsidR="00460856" w:rsidRDefault="00460856" w:rsidP="00FB2062">
      <w:pPr>
        <w:shd w:val="clear" w:color="auto" w:fill="FFFFFF"/>
        <w:tabs>
          <w:tab w:val="left" w:pos="1095"/>
        </w:tabs>
        <w:jc w:val="both"/>
        <w:rPr>
          <w:rFonts w:eastAsia="Arial" w:cs="Arial"/>
          <w:szCs w:val="22"/>
        </w:rPr>
      </w:pPr>
    </w:p>
    <w:p w14:paraId="235E025F" w14:textId="29B407CD" w:rsidR="00DD3922" w:rsidRPr="00743014" w:rsidRDefault="00DD3922" w:rsidP="00FB2062">
      <w:pPr>
        <w:shd w:val="clear" w:color="auto" w:fill="FFFFFF"/>
        <w:tabs>
          <w:tab w:val="left" w:pos="1095"/>
        </w:tabs>
        <w:jc w:val="both"/>
        <w:rPr>
          <w:rFonts w:eastAsia="Arial" w:cs="Arial"/>
          <w:szCs w:val="22"/>
        </w:rPr>
      </w:pPr>
      <w:r w:rsidRPr="00743014">
        <w:rPr>
          <w:rFonts w:eastAsia="Arial" w:cs="Arial"/>
          <w:szCs w:val="22"/>
        </w:rPr>
        <w:t xml:space="preserve">Durante el 2021 el equipo de participación del IDPC ha conformado la mesa interinstitucional con la Empresa Metro, el IDPAC y la Secretaría de Cultura, dando </w:t>
      </w:r>
      <w:r w:rsidRPr="00743014">
        <w:rPr>
          <w:rFonts w:eastAsia="Arial" w:cs="Arial"/>
          <w:szCs w:val="22"/>
        </w:rPr>
        <w:lastRenderedPageBreak/>
        <w:t>lineamientos y acompañamiento técnico para el diseño y desarrollo de las acciones de participación ciudadana que compensan la demolición efectuada del Monumento a los Héroes con dos procesos concretos: la creación del nuevo referente urbano y el aporte al contenido del nuevo equipamiento cultural.</w:t>
      </w:r>
    </w:p>
    <w:p w14:paraId="7DF4549F" w14:textId="77777777" w:rsidR="00460856" w:rsidRDefault="00460856" w:rsidP="00FB2062">
      <w:pPr>
        <w:shd w:val="clear" w:color="auto" w:fill="FFFFFF"/>
        <w:tabs>
          <w:tab w:val="left" w:pos="1095"/>
        </w:tabs>
        <w:jc w:val="both"/>
        <w:rPr>
          <w:rFonts w:eastAsia="Arial" w:cs="Arial"/>
          <w:szCs w:val="22"/>
        </w:rPr>
      </w:pPr>
    </w:p>
    <w:p w14:paraId="688DC542" w14:textId="77777777" w:rsidR="00DD3922" w:rsidRPr="00743014" w:rsidRDefault="00DD3922" w:rsidP="00FB2062">
      <w:pPr>
        <w:shd w:val="clear" w:color="auto" w:fill="FFFFFF"/>
        <w:tabs>
          <w:tab w:val="left" w:pos="1095"/>
        </w:tabs>
        <w:jc w:val="both"/>
        <w:rPr>
          <w:rFonts w:eastAsia="Arial" w:cs="Arial"/>
          <w:szCs w:val="22"/>
        </w:rPr>
      </w:pPr>
      <w:r w:rsidRPr="00743014">
        <w:rPr>
          <w:rFonts w:eastAsia="Arial" w:cs="Arial"/>
          <w:szCs w:val="22"/>
        </w:rPr>
        <w:t xml:space="preserve">Estas acciones parten sin lugar a dudas, de la necesidad de reconocer los vínculos sociales de la ciudadanía con el Monumento a Los Héroes a lo largo de su historia (incluidas las recientes acciones de apropiación social del monumento por parte de los colectivos juveniles y feministas, entre otros, en el marco del paro nacional) y ampliar y fortalecer la valoración participativa del monumento, reconociendo la relación de distintos actores con el monumento, las narrativas y representaciones plurales que existen sobre él. </w:t>
      </w:r>
    </w:p>
    <w:p w14:paraId="21D57182" w14:textId="77777777" w:rsidR="00DD3922" w:rsidRPr="00743014" w:rsidRDefault="00DD3922" w:rsidP="00FB2062">
      <w:pPr>
        <w:jc w:val="both"/>
        <w:rPr>
          <w:rFonts w:eastAsia="Arial" w:cs="Arial"/>
          <w:szCs w:val="22"/>
        </w:rPr>
      </w:pPr>
    </w:p>
    <w:p w14:paraId="14705DB9" w14:textId="77777777" w:rsidR="00DD3922" w:rsidRPr="00743014" w:rsidRDefault="00DD3922" w:rsidP="00FB2062">
      <w:pPr>
        <w:jc w:val="both"/>
        <w:rPr>
          <w:rFonts w:eastAsia="Arial" w:cs="Arial"/>
          <w:szCs w:val="22"/>
        </w:rPr>
      </w:pPr>
      <w:r w:rsidRPr="00743014">
        <w:rPr>
          <w:rFonts w:eastAsia="Arial" w:cs="Arial"/>
          <w:szCs w:val="22"/>
        </w:rPr>
        <w:t xml:space="preserve">El proceso de diálogo y participación que lidera la Empresa Metro y el IDPAC y que ha contado con el acompañamiento del IDPC, busca generar espacios de diálogo con la ciudadanía con el objetivo de reconocer la resignificación del monumento y la relación que distintos actores han establecido con el mismo. Estos diálogos, además de nutrir la documentación y reconocimiento de las memorias del monumento, son el marco en el cual se van a recoger los insumos para la creación del nuevo referente urbano y el equipamiento cultural. </w:t>
      </w:r>
    </w:p>
    <w:p w14:paraId="35C83F59" w14:textId="77777777" w:rsidR="00DD3922" w:rsidRPr="00743014" w:rsidRDefault="00DD3922" w:rsidP="00FB2062">
      <w:pPr>
        <w:jc w:val="both"/>
        <w:rPr>
          <w:rFonts w:eastAsia="Arial" w:cs="Arial"/>
          <w:szCs w:val="22"/>
        </w:rPr>
      </w:pPr>
    </w:p>
    <w:p w14:paraId="5E331B90" w14:textId="77777777" w:rsidR="00DD3922" w:rsidRPr="00743014" w:rsidRDefault="00DD3922" w:rsidP="00FB2062">
      <w:pPr>
        <w:jc w:val="both"/>
        <w:rPr>
          <w:rFonts w:eastAsia="Arial" w:cs="Arial"/>
          <w:szCs w:val="22"/>
        </w:rPr>
      </w:pPr>
      <w:r w:rsidRPr="00743014">
        <w:rPr>
          <w:rFonts w:eastAsia="Arial" w:cs="Arial"/>
          <w:szCs w:val="22"/>
        </w:rPr>
        <w:t>De forma paralela a las acciones interinstitucionales, el IDPC ha realizado desde el mes de junio de la presente vigencia, 9 mesas de diálogo en las que han participado 115 personas, incluidos miembros de los Consejos Locales de Patrimonio y de la Asociación Colombiana de restauradores, académicos y organizaciones sociales representantes de pueblos étnicos, colectivos feministas y colectivos de jóvenes que trabajan en temas concernientes a la memoria, al patrimonio y las prácticas artísticas, entre otros ciudadanos interesados en la discusión sobre los monumentos, incluido el Monumento a Los Héroes. Simultáneamente, desde el Instituto se ha hecho un seguimiento detallado de más de 17 conversatorios académicos y espacios de discusión acerca de la coyuntura de los monumentos en el espacio público.</w:t>
      </w:r>
    </w:p>
    <w:p w14:paraId="69B5422B" w14:textId="77777777" w:rsidR="00DD3922" w:rsidRPr="00743014" w:rsidRDefault="00DD3922" w:rsidP="00FB2062">
      <w:pPr>
        <w:jc w:val="both"/>
        <w:rPr>
          <w:rFonts w:eastAsia="Arial" w:cs="Arial"/>
          <w:szCs w:val="22"/>
        </w:rPr>
      </w:pPr>
    </w:p>
    <w:p w14:paraId="69B86A2C" w14:textId="77777777" w:rsidR="00DD3922" w:rsidRPr="00743014" w:rsidRDefault="00DD3922" w:rsidP="00FB2062">
      <w:pPr>
        <w:jc w:val="both"/>
        <w:rPr>
          <w:rFonts w:eastAsia="Arial" w:cs="Arial"/>
          <w:szCs w:val="22"/>
        </w:rPr>
      </w:pPr>
      <w:r w:rsidRPr="00743014">
        <w:rPr>
          <w:rFonts w:eastAsia="Arial" w:cs="Arial"/>
          <w:szCs w:val="22"/>
        </w:rPr>
        <w:t>El Museo de Bogotá por su parte, desarrolló en el marco del mes de patrimonio (17 y 18 de septiembre), dos acciones colectivas de activación y reconocimiento de narrativas sobre el Monumento a Los Héroes:  El taller apropiar y ocupar Los Héroes que tuvo como objetivo generar una conversación sobre las transformaciones que ha tenido el monumento de Los Héroes, los sentidos que se le han otorgado y la apropiación social que éste ha tenido en el pasar del tiempo, de manera que se reflexione conjuntamente sobre cómo la apropiación del espacio público es una muestra de cómo vivir las dificultades de manera creativa y solidaria y vivir sin miedo lejos de prejuicios y estigmas; y el taller Distintos cuerpos y voces en el monumento de Los Héroes con el objetivo de invitar a la ciudadanía a hacer de forma colectiva un contramonumento corporal en el espacio público, para reflexionar sobre ¿qué son los monumentos?, ¿cuál es su relevancia social en el presente?, ¿de qué manera nos queremos relacionar con ellos?, ¿qué preguntas les hacemos? ¿Cuáles son los monumentos que queremos para el futuro de la ciudad?</w:t>
      </w:r>
    </w:p>
    <w:p w14:paraId="62CE122B" w14:textId="77777777" w:rsidR="00DD3922" w:rsidRPr="00743014" w:rsidRDefault="00DD3922" w:rsidP="00FB2062">
      <w:pPr>
        <w:jc w:val="both"/>
        <w:rPr>
          <w:rFonts w:eastAsia="Arial" w:cs="Arial"/>
          <w:szCs w:val="22"/>
        </w:rPr>
      </w:pPr>
    </w:p>
    <w:p w14:paraId="169BE2F3" w14:textId="77777777" w:rsidR="00DD3922" w:rsidRPr="00743014" w:rsidRDefault="00DD3922" w:rsidP="00FB2062">
      <w:pPr>
        <w:jc w:val="both"/>
        <w:rPr>
          <w:rFonts w:eastAsia="Arial" w:cs="Arial"/>
          <w:szCs w:val="22"/>
        </w:rPr>
      </w:pPr>
      <w:r w:rsidRPr="00743014">
        <w:rPr>
          <w:rFonts w:eastAsia="Arial" w:cs="Arial"/>
          <w:szCs w:val="22"/>
        </w:rPr>
        <w:t xml:space="preserve">En el 2022 el IDPC en coordinación con el Museo de Bogotá, continuará realizando acciones de activación de las memorias y sentidos que tiene la ciudadanía sobre los monumentos de la ciudad, a través de diálogos y procesos de creación colaborativa que reconozcan los vínculos de la ciudadanía con los monumentos y las tensiones existentes </w:t>
      </w:r>
      <w:r w:rsidRPr="00743014">
        <w:rPr>
          <w:rFonts w:eastAsia="Arial" w:cs="Arial"/>
          <w:szCs w:val="22"/>
        </w:rPr>
        <w:lastRenderedPageBreak/>
        <w:t xml:space="preserve">sobre la representación en el espacio público. Todas estas reflexiones incidirán en la gestión del patrimonio bogotano.  </w:t>
      </w:r>
    </w:p>
    <w:p w14:paraId="755E4A42" w14:textId="77777777" w:rsidR="00DD3922" w:rsidRPr="00743014" w:rsidRDefault="00DD3922" w:rsidP="00FB2062">
      <w:pPr>
        <w:tabs>
          <w:tab w:val="left" w:pos="1095"/>
        </w:tabs>
        <w:jc w:val="both"/>
        <w:rPr>
          <w:rFonts w:eastAsia="Arial" w:cs="Arial"/>
          <w:szCs w:val="22"/>
        </w:rPr>
      </w:pPr>
    </w:p>
    <w:p w14:paraId="3D53B8D8" w14:textId="77777777" w:rsidR="00DD3922" w:rsidRPr="00743014" w:rsidRDefault="00DD3922" w:rsidP="00FB2062">
      <w:pPr>
        <w:tabs>
          <w:tab w:val="left" w:pos="1095"/>
        </w:tabs>
        <w:jc w:val="both"/>
        <w:rPr>
          <w:rFonts w:eastAsia="Arial" w:cs="Arial"/>
          <w:szCs w:val="22"/>
        </w:rPr>
      </w:pPr>
      <w:r w:rsidRPr="00743014">
        <w:rPr>
          <w:rFonts w:eastAsia="Arial" w:cs="Arial"/>
          <w:szCs w:val="22"/>
        </w:rPr>
        <w:t xml:space="preserve">También se formularon tres preguntas por parte de uno de los asistentes, dirigidas a todas las entidades del sector cultura, relacionadas con: </w:t>
      </w:r>
    </w:p>
    <w:p w14:paraId="4FE6FB7A" w14:textId="77777777" w:rsidR="00DD3922" w:rsidRDefault="00DD3922" w:rsidP="00FB2062">
      <w:pPr>
        <w:tabs>
          <w:tab w:val="left" w:pos="1095"/>
        </w:tabs>
        <w:jc w:val="both"/>
        <w:rPr>
          <w:rFonts w:ascii="Verdana" w:hAnsi="Verdana" w:cs="Arial"/>
          <w:color w:val="000000" w:themeColor="text1"/>
          <w:szCs w:val="22"/>
        </w:rPr>
      </w:pPr>
    </w:p>
    <w:p w14:paraId="6B4A5C52" w14:textId="77777777" w:rsidR="00DD3922" w:rsidRPr="004717EB" w:rsidRDefault="00DD3922" w:rsidP="005F400D">
      <w:pPr>
        <w:pStyle w:val="Prrafodelista"/>
        <w:widowControl w:val="0"/>
        <w:numPr>
          <w:ilvl w:val="0"/>
          <w:numId w:val="8"/>
        </w:numPr>
        <w:suppressAutoHyphens/>
        <w:spacing w:line="100" w:lineRule="atLeast"/>
        <w:jc w:val="both"/>
        <w:rPr>
          <w:rFonts w:eastAsia="Arial" w:cs="Arial"/>
          <w:b/>
          <w:szCs w:val="22"/>
        </w:rPr>
      </w:pPr>
      <w:r w:rsidRPr="004717EB">
        <w:rPr>
          <w:rFonts w:eastAsia="Arial" w:cs="Arial"/>
          <w:b/>
          <w:szCs w:val="22"/>
        </w:rPr>
        <w:t>Se habla de Rendición de Cuentas; pero debería haber una evolución presupuesto vs resultados contra eficiencia en costos de burocracia.</w:t>
      </w:r>
    </w:p>
    <w:p w14:paraId="1EC4B04D" w14:textId="77777777" w:rsidR="00DD3922" w:rsidRPr="004717EB" w:rsidRDefault="00DD3922" w:rsidP="00FB2062">
      <w:pPr>
        <w:tabs>
          <w:tab w:val="left" w:pos="1095"/>
        </w:tabs>
        <w:jc w:val="both"/>
        <w:rPr>
          <w:rFonts w:eastAsia="Arial" w:cs="Arial"/>
          <w:b/>
          <w:szCs w:val="22"/>
        </w:rPr>
      </w:pPr>
    </w:p>
    <w:p w14:paraId="7AAC2CD9" w14:textId="2A381BE6" w:rsidR="00DD3922" w:rsidRPr="00743014" w:rsidRDefault="00E57CCC" w:rsidP="00FB2062">
      <w:pPr>
        <w:tabs>
          <w:tab w:val="left" w:pos="1095"/>
        </w:tabs>
        <w:jc w:val="both"/>
        <w:rPr>
          <w:rFonts w:eastAsia="Arial" w:cs="Arial"/>
          <w:szCs w:val="22"/>
        </w:rPr>
      </w:pPr>
      <w:r w:rsidRPr="00E57CCC">
        <w:rPr>
          <w:rFonts w:eastAsia="Arial" w:cs="Arial"/>
          <w:b/>
          <w:szCs w:val="22"/>
        </w:rPr>
        <w:t>Rta/:</w:t>
      </w:r>
      <w:r>
        <w:rPr>
          <w:rFonts w:eastAsia="Arial" w:cs="Arial"/>
          <w:szCs w:val="22"/>
        </w:rPr>
        <w:t xml:space="preserve"> </w:t>
      </w:r>
      <w:r w:rsidR="00DD3922" w:rsidRPr="00743014">
        <w:rPr>
          <w:rFonts w:eastAsia="Arial" w:cs="Arial"/>
          <w:szCs w:val="22"/>
        </w:rPr>
        <w:t xml:space="preserve">El Instituto Distrital de Patrimonio Cultural, para dar cumplimiento a los programas, proyectos y metas del Plan de Desarrollo Distrital, el Plan Anticorrupción y la plataforma estratégica institucional, formula en cada vigencia el Plan de Acción de Inversión con la discriminación de gastos por cada componente de proyecto y efectúa mensualmente el seguimiento, lo que permite efectuar un control a la ejecución de los recursos en concordancia con las metas, productos e indicadores programados. </w:t>
      </w:r>
    </w:p>
    <w:p w14:paraId="3A41677C" w14:textId="77777777" w:rsidR="00DD3922" w:rsidRPr="00743014" w:rsidRDefault="00DD3922" w:rsidP="00FB2062">
      <w:pPr>
        <w:tabs>
          <w:tab w:val="left" w:pos="1095"/>
        </w:tabs>
        <w:jc w:val="both"/>
        <w:rPr>
          <w:rFonts w:eastAsia="Arial" w:cs="Arial"/>
          <w:szCs w:val="22"/>
        </w:rPr>
      </w:pPr>
    </w:p>
    <w:p w14:paraId="31D93E85" w14:textId="5946A9FB" w:rsidR="00C97413" w:rsidRDefault="00DD3922" w:rsidP="00FB2062">
      <w:pPr>
        <w:shd w:val="clear" w:color="auto" w:fill="FFFFFF"/>
        <w:tabs>
          <w:tab w:val="left" w:pos="1095"/>
        </w:tabs>
        <w:jc w:val="both"/>
        <w:rPr>
          <w:rStyle w:val="Hipervnculo"/>
          <w:rFonts w:ascii="Verdana" w:hAnsi="Verdana" w:cs="Arial"/>
          <w:color w:val="0070C0"/>
          <w:szCs w:val="22"/>
        </w:rPr>
      </w:pPr>
      <w:r w:rsidRPr="00743014">
        <w:rPr>
          <w:rFonts w:eastAsia="Arial" w:cs="Arial"/>
          <w:szCs w:val="22"/>
        </w:rPr>
        <w:t xml:space="preserve">En este mismo sentido, la entidad publicó el informe de gestión de rendición de cuentas que contiene la información relacionada con el presupuesto, y el cumplimiento de las metas en concordancia con el Plan de Desarrollo “Un Nuevo Contrato Social y Ambiental para la Bogotá del siglo XXI 2020-2024”. La información está disponible en el link: </w:t>
      </w:r>
      <w:hyperlink r:id="rId14" w:history="1">
        <w:r w:rsidR="007C4AFA" w:rsidRPr="00890328">
          <w:rPr>
            <w:rStyle w:val="Hipervnculo"/>
            <w:rFonts w:eastAsia="Arial"/>
          </w:rPr>
          <w:t>https://www.idpc.gov.co/transparencia-y-acceso-a-la-informacion-publica-ley-1712-del-6-de-marzo-de-2014/participa/5-rendicion-de-cuentas</w:t>
        </w:r>
        <w:r w:rsidR="007C4AFA" w:rsidRPr="00890328">
          <w:rPr>
            <w:rStyle w:val="Hipervnculo"/>
            <w:rFonts w:ascii="Verdana" w:hAnsi="Verdana" w:cs="Arial"/>
            <w:szCs w:val="22"/>
          </w:rPr>
          <w:t>/</w:t>
        </w:r>
      </w:hyperlink>
    </w:p>
    <w:p w14:paraId="60EF65A6" w14:textId="06F3F14E" w:rsidR="007C4AFA" w:rsidRDefault="007C4AFA" w:rsidP="00FB2062">
      <w:pPr>
        <w:shd w:val="clear" w:color="auto" w:fill="FFFFFF"/>
        <w:tabs>
          <w:tab w:val="left" w:pos="1095"/>
        </w:tabs>
        <w:jc w:val="both"/>
        <w:rPr>
          <w:rFonts w:eastAsia="Arial" w:cs="Arial"/>
          <w:color w:val="0070C0"/>
          <w:szCs w:val="22"/>
          <w:u w:val="single"/>
        </w:rPr>
      </w:pPr>
    </w:p>
    <w:p w14:paraId="577CFF1F" w14:textId="71543488" w:rsidR="007C4AFA" w:rsidRDefault="007C4AFA" w:rsidP="00FB2062">
      <w:pPr>
        <w:shd w:val="clear" w:color="auto" w:fill="FFFFFF"/>
        <w:tabs>
          <w:tab w:val="left" w:pos="1095"/>
        </w:tabs>
        <w:jc w:val="both"/>
        <w:rPr>
          <w:rFonts w:eastAsia="Arial" w:cs="Arial"/>
          <w:color w:val="0070C0"/>
          <w:szCs w:val="22"/>
          <w:u w:val="single"/>
        </w:rPr>
      </w:pPr>
    </w:p>
    <w:p w14:paraId="59204664" w14:textId="77777777" w:rsidR="007C4AFA" w:rsidRPr="00667F44" w:rsidRDefault="007C4AFA" w:rsidP="005F400D">
      <w:pPr>
        <w:pStyle w:val="Prrafodelista"/>
        <w:widowControl w:val="0"/>
        <w:numPr>
          <w:ilvl w:val="0"/>
          <w:numId w:val="8"/>
        </w:numPr>
        <w:tabs>
          <w:tab w:val="left" w:pos="709"/>
        </w:tabs>
        <w:suppressAutoHyphens/>
        <w:spacing w:line="100" w:lineRule="atLeast"/>
        <w:jc w:val="both"/>
        <w:rPr>
          <w:rFonts w:eastAsia="Arial" w:cs="Arial"/>
          <w:b/>
          <w:szCs w:val="22"/>
        </w:rPr>
      </w:pPr>
      <w:r w:rsidRPr="00667F44">
        <w:rPr>
          <w:rFonts w:eastAsia="Arial" w:cs="Arial"/>
          <w:b/>
          <w:szCs w:val="22"/>
        </w:rPr>
        <w:t>Generar en cada institución un organigrama de secciones, departamentos etc. con una función, cargo y sueldo.</w:t>
      </w:r>
    </w:p>
    <w:p w14:paraId="463947FD" w14:textId="77777777" w:rsidR="007C4AFA" w:rsidRPr="00C0375A" w:rsidRDefault="007C4AFA" w:rsidP="00FB2062">
      <w:pPr>
        <w:tabs>
          <w:tab w:val="left" w:pos="1095"/>
        </w:tabs>
        <w:jc w:val="both"/>
        <w:rPr>
          <w:rFonts w:eastAsia="Arial" w:cs="Arial"/>
          <w:b/>
          <w:szCs w:val="22"/>
        </w:rPr>
      </w:pPr>
    </w:p>
    <w:p w14:paraId="4670314E" w14:textId="406338C2" w:rsidR="007C4AFA" w:rsidRPr="00C0375A" w:rsidRDefault="00E57CCC" w:rsidP="00FB2062">
      <w:pPr>
        <w:shd w:val="clear" w:color="auto" w:fill="FFFFFF"/>
        <w:tabs>
          <w:tab w:val="left" w:pos="1095"/>
        </w:tabs>
        <w:jc w:val="both"/>
        <w:rPr>
          <w:rFonts w:eastAsia="Arial" w:cs="Arial"/>
          <w:szCs w:val="22"/>
        </w:rPr>
      </w:pPr>
      <w:r w:rsidRPr="00E57CCC">
        <w:rPr>
          <w:rFonts w:eastAsia="Arial" w:cs="Arial"/>
          <w:b/>
          <w:szCs w:val="22"/>
        </w:rPr>
        <w:t>Rta/:</w:t>
      </w:r>
      <w:r>
        <w:rPr>
          <w:rFonts w:eastAsia="Arial" w:cs="Arial"/>
          <w:szCs w:val="22"/>
        </w:rPr>
        <w:t xml:space="preserve"> </w:t>
      </w:r>
      <w:r w:rsidR="007C4AFA" w:rsidRPr="00C0375A">
        <w:rPr>
          <w:rFonts w:eastAsia="Arial" w:cs="Arial"/>
          <w:szCs w:val="22"/>
        </w:rPr>
        <w:t>El Instituto Distrital de Patrimonio Cultural, mediante Acuerdo 001 del 21 de enero de 2019, modificó la estructura organizacional quedando la planta de personal conformada por 37 servidores públicos de los cuales 8 profesionales hacen parte del grupo directivo de la entidad</w:t>
      </w:r>
    </w:p>
    <w:p w14:paraId="5ADF2216" w14:textId="77777777" w:rsidR="00460856" w:rsidRDefault="00460856" w:rsidP="00FB2062">
      <w:pPr>
        <w:tabs>
          <w:tab w:val="left" w:pos="1095"/>
        </w:tabs>
        <w:jc w:val="both"/>
        <w:rPr>
          <w:rFonts w:eastAsia="Arial" w:cs="Arial"/>
          <w:szCs w:val="22"/>
        </w:rPr>
      </w:pPr>
    </w:p>
    <w:p w14:paraId="3AF7B769" w14:textId="77777777" w:rsidR="00C0375A" w:rsidRPr="00C0375A" w:rsidRDefault="00C0375A" w:rsidP="00FB2062">
      <w:pPr>
        <w:tabs>
          <w:tab w:val="left" w:pos="1095"/>
        </w:tabs>
        <w:jc w:val="both"/>
        <w:rPr>
          <w:rFonts w:eastAsia="Arial" w:cs="Arial"/>
          <w:szCs w:val="22"/>
        </w:rPr>
      </w:pPr>
      <w:r w:rsidRPr="00C0375A">
        <w:rPr>
          <w:rFonts w:eastAsia="Arial" w:cs="Arial"/>
          <w:szCs w:val="22"/>
        </w:rPr>
        <w:t>En el Acuerdo 001 de 2019 aprobado en Junta Directiva, en su artículo 2, se señalan las funciones de la estructura organizacional para el cumplimiento de su objeto misional, orientado a la ejecución de políticas, planes y proyectos para el ejercicio efectivo de los derechos patrimoniales y culturales de los habitantes del Distrito Capital, así como la protección, intervención, investigación, promoción y divulgación del patrimonio cultural tangible e intangible y de los bienes de interés cultural – BIC del Distrito Capital.</w:t>
      </w:r>
    </w:p>
    <w:p w14:paraId="4C43FCC1" w14:textId="77777777" w:rsidR="00C0375A" w:rsidRPr="00C0375A" w:rsidRDefault="00C0375A" w:rsidP="00FB2062">
      <w:pPr>
        <w:tabs>
          <w:tab w:val="left" w:pos="1095"/>
        </w:tabs>
        <w:jc w:val="both"/>
        <w:rPr>
          <w:rFonts w:eastAsia="Arial" w:cs="Arial"/>
          <w:szCs w:val="22"/>
        </w:rPr>
      </w:pPr>
    </w:p>
    <w:p w14:paraId="67444822" w14:textId="77777777" w:rsidR="00C0375A" w:rsidRPr="00C0375A" w:rsidRDefault="00C0375A" w:rsidP="00FB2062">
      <w:pPr>
        <w:tabs>
          <w:tab w:val="left" w:pos="1095"/>
        </w:tabs>
        <w:jc w:val="both"/>
        <w:rPr>
          <w:rFonts w:eastAsia="Arial" w:cs="Arial"/>
          <w:szCs w:val="22"/>
        </w:rPr>
      </w:pPr>
      <w:r w:rsidRPr="00C0375A">
        <w:rPr>
          <w:rFonts w:eastAsia="Arial" w:cs="Arial"/>
          <w:szCs w:val="22"/>
        </w:rPr>
        <w:t>Así mismo mediante Acuerdo 001 de noviembre 11 de 2021 se fija el incremento salarial para los servidores públicos del Instituto Distrital de Patrimonio Cultural, para la vigencia fiscal 2021.</w:t>
      </w:r>
    </w:p>
    <w:p w14:paraId="41904041" w14:textId="77777777" w:rsidR="00C0375A" w:rsidRPr="00C0375A" w:rsidRDefault="00C0375A" w:rsidP="00FB2062">
      <w:pPr>
        <w:tabs>
          <w:tab w:val="left" w:pos="1095"/>
        </w:tabs>
        <w:jc w:val="both"/>
        <w:rPr>
          <w:rFonts w:eastAsia="Arial" w:cs="Arial"/>
          <w:szCs w:val="22"/>
        </w:rPr>
      </w:pPr>
    </w:p>
    <w:p w14:paraId="55FDD9C6" w14:textId="77777777" w:rsidR="00C0375A" w:rsidRPr="00C0375A" w:rsidRDefault="00C0375A" w:rsidP="00FB2062">
      <w:pPr>
        <w:tabs>
          <w:tab w:val="left" w:pos="1095"/>
        </w:tabs>
        <w:jc w:val="both"/>
        <w:rPr>
          <w:rFonts w:eastAsia="Arial" w:cs="Arial"/>
          <w:szCs w:val="22"/>
        </w:rPr>
      </w:pPr>
      <w:r w:rsidRPr="00C0375A">
        <w:rPr>
          <w:rFonts w:eastAsia="Arial" w:cs="Arial"/>
          <w:szCs w:val="22"/>
        </w:rPr>
        <w:t>Mediante Acuerdo 005 del 11 de noviembre de 2021, se modifica la planta de personal del Instituto Distrital de Patrimonio Cultural IDPC.</w:t>
      </w:r>
    </w:p>
    <w:p w14:paraId="06986ACF" w14:textId="77777777" w:rsidR="00C0375A" w:rsidRPr="00C0375A" w:rsidRDefault="00C0375A" w:rsidP="00FB2062">
      <w:pPr>
        <w:tabs>
          <w:tab w:val="left" w:pos="1095"/>
        </w:tabs>
        <w:jc w:val="both"/>
        <w:rPr>
          <w:rFonts w:eastAsia="Arial" w:cs="Arial"/>
          <w:szCs w:val="22"/>
        </w:rPr>
      </w:pPr>
    </w:p>
    <w:p w14:paraId="20462D91" w14:textId="7A36D276" w:rsidR="00C0375A" w:rsidRPr="00C0375A" w:rsidRDefault="00C0375A" w:rsidP="00FB2062">
      <w:pPr>
        <w:tabs>
          <w:tab w:val="left" w:pos="1095"/>
        </w:tabs>
        <w:jc w:val="both"/>
        <w:rPr>
          <w:rFonts w:eastAsia="Arial" w:cs="Arial"/>
          <w:color w:val="0070C0"/>
          <w:szCs w:val="22"/>
          <w:u w:val="single"/>
        </w:rPr>
      </w:pPr>
      <w:r w:rsidRPr="00C0375A">
        <w:rPr>
          <w:rFonts w:eastAsia="Arial" w:cs="Arial"/>
          <w:szCs w:val="22"/>
        </w:rPr>
        <w:t xml:space="preserve">Mediante Acuerdo 004 del 11 de noviembre de 2021, se modifica la estructura del IDPC y se dictan otras disposiciones. La información relacionada con el contenido de los Acuerdos </w:t>
      </w:r>
      <w:r w:rsidRPr="00C0375A">
        <w:rPr>
          <w:rFonts w:eastAsia="Arial" w:cs="Arial"/>
          <w:szCs w:val="22"/>
        </w:rPr>
        <w:lastRenderedPageBreak/>
        <w:t xml:space="preserve">en mención se encuentra disponible para su consulta en el link:  </w:t>
      </w:r>
      <w:hyperlink r:id="rId15" w:history="1">
        <w:r w:rsidRPr="00C0375A">
          <w:rPr>
            <w:rFonts w:eastAsia="Arial"/>
            <w:color w:val="0070C0"/>
            <w:u w:val="single"/>
          </w:rPr>
          <w:t>https://www.idpc.gov.co/3-4-organigrama</w:t>
        </w:r>
      </w:hyperlink>
      <w:r w:rsidRPr="00C0375A">
        <w:rPr>
          <w:rFonts w:eastAsia="Arial" w:cs="Arial"/>
          <w:color w:val="0070C0"/>
          <w:szCs w:val="22"/>
          <w:u w:val="single"/>
        </w:rPr>
        <w:t xml:space="preserve">  </w:t>
      </w:r>
    </w:p>
    <w:p w14:paraId="3F4EC727" w14:textId="77777777" w:rsidR="00C0375A" w:rsidRDefault="00C0375A" w:rsidP="00FB2062">
      <w:pPr>
        <w:tabs>
          <w:tab w:val="left" w:pos="1095"/>
        </w:tabs>
        <w:jc w:val="both"/>
        <w:rPr>
          <w:rFonts w:ascii="Verdana" w:hAnsi="Verdana" w:cs="Arial"/>
          <w:color w:val="000000" w:themeColor="text1"/>
          <w:szCs w:val="22"/>
        </w:rPr>
      </w:pPr>
      <w:r>
        <w:rPr>
          <w:rFonts w:ascii="Verdana" w:hAnsi="Verdana" w:cs="Arial"/>
          <w:color w:val="000000" w:themeColor="text1"/>
          <w:szCs w:val="22"/>
        </w:rPr>
        <w:t xml:space="preserve"> </w:t>
      </w:r>
    </w:p>
    <w:p w14:paraId="4C3AF4D7" w14:textId="77777777" w:rsidR="00C0375A" w:rsidRPr="00C0375A" w:rsidRDefault="00C0375A" w:rsidP="00FB2062">
      <w:pPr>
        <w:tabs>
          <w:tab w:val="left" w:pos="1095"/>
        </w:tabs>
        <w:jc w:val="both"/>
        <w:rPr>
          <w:rFonts w:eastAsia="Arial" w:cs="Arial"/>
          <w:szCs w:val="22"/>
        </w:rPr>
      </w:pPr>
      <w:r w:rsidRPr="00C0375A">
        <w:rPr>
          <w:rFonts w:eastAsia="Arial" w:cs="Arial"/>
          <w:szCs w:val="22"/>
        </w:rPr>
        <w:t xml:space="preserve">En cumplimiento del Acuerdo 1712 de 2014 “Por medio del cual se crea la ley de transparencia y del derecho de acceso a la información pública nacional”, en su artículo 9. Información mínima obligatoria respecto a la estructura del sujeto obligado; el Instituto a través de la página web, en el micrositio de Transparencia y acceso a la información pública: </w:t>
      </w:r>
      <w:hyperlink r:id="rId16" w:history="1">
        <w:r w:rsidRPr="00C0375A">
          <w:rPr>
            <w:rFonts w:eastAsia="Arial"/>
            <w:color w:val="0070C0"/>
            <w:u w:val="single"/>
          </w:rPr>
          <w:t>https://www.idpc.gov.co/transparencia-y-acceso-a-la-informacion-publica-ley-1712-del-6-de-marzo-de-2014</w:t>
        </w:r>
      </w:hyperlink>
      <w:r w:rsidRPr="00C0375A">
        <w:rPr>
          <w:rFonts w:eastAsia="Arial" w:cs="Arial"/>
          <w:color w:val="0070C0"/>
          <w:szCs w:val="22"/>
          <w:u w:val="single"/>
        </w:rPr>
        <w:t>,</w:t>
      </w:r>
      <w:r w:rsidRPr="00C0375A">
        <w:rPr>
          <w:rFonts w:eastAsia="Arial" w:cs="Arial"/>
          <w:szCs w:val="22"/>
        </w:rPr>
        <w:t xml:space="preserve"> registra la información relacionada con la gestión administrativa de la entidad.      </w:t>
      </w:r>
    </w:p>
    <w:p w14:paraId="0CCFB580" w14:textId="77777777" w:rsidR="00C0375A" w:rsidRPr="00C0375A" w:rsidRDefault="00C0375A" w:rsidP="00FB2062">
      <w:pPr>
        <w:tabs>
          <w:tab w:val="left" w:pos="1095"/>
        </w:tabs>
        <w:jc w:val="both"/>
        <w:rPr>
          <w:rFonts w:eastAsia="Arial" w:cs="Arial"/>
          <w:szCs w:val="22"/>
        </w:rPr>
      </w:pPr>
      <w:r w:rsidRPr="00C0375A">
        <w:rPr>
          <w:rFonts w:eastAsia="Arial" w:cs="Arial"/>
          <w:szCs w:val="22"/>
        </w:rPr>
        <w:t xml:space="preserve">  </w:t>
      </w:r>
    </w:p>
    <w:p w14:paraId="1772975D" w14:textId="77777777" w:rsidR="00C0375A" w:rsidRPr="00667F44" w:rsidRDefault="00C0375A" w:rsidP="005F400D">
      <w:pPr>
        <w:pStyle w:val="Prrafodelista"/>
        <w:widowControl w:val="0"/>
        <w:numPr>
          <w:ilvl w:val="0"/>
          <w:numId w:val="8"/>
        </w:numPr>
        <w:tabs>
          <w:tab w:val="left" w:pos="426"/>
        </w:tabs>
        <w:suppressAutoHyphens/>
        <w:spacing w:line="100" w:lineRule="atLeast"/>
        <w:jc w:val="both"/>
        <w:rPr>
          <w:rFonts w:eastAsia="Arial" w:cs="Arial"/>
          <w:b/>
          <w:szCs w:val="22"/>
        </w:rPr>
      </w:pPr>
      <w:r w:rsidRPr="00667F44">
        <w:rPr>
          <w:rFonts w:eastAsia="Arial" w:cs="Arial"/>
          <w:b/>
          <w:szCs w:val="22"/>
        </w:rPr>
        <w:t>Mucho dinero y mucho por hacer espero más transparencia y menos burocracia y más eficiencia.</w:t>
      </w:r>
    </w:p>
    <w:p w14:paraId="2225968A" w14:textId="77777777" w:rsidR="00C0375A" w:rsidRDefault="00C0375A" w:rsidP="00FB2062">
      <w:pPr>
        <w:tabs>
          <w:tab w:val="left" w:pos="426"/>
        </w:tabs>
        <w:jc w:val="both"/>
        <w:rPr>
          <w:rFonts w:ascii="Verdana" w:hAnsi="Verdana" w:cs="Arial"/>
          <w:color w:val="000000" w:themeColor="text1"/>
          <w:szCs w:val="22"/>
        </w:rPr>
      </w:pPr>
    </w:p>
    <w:p w14:paraId="170CF81D" w14:textId="4057CA18" w:rsidR="00C0375A" w:rsidRPr="00C0375A" w:rsidRDefault="00E57CCC" w:rsidP="00FB2062">
      <w:pPr>
        <w:tabs>
          <w:tab w:val="left" w:pos="426"/>
        </w:tabs>
        <w:jc w:val="both"/>
        <w:rPr>
          <w:rFonts w:eastAsia="Arial" w:cs="Arial"/>
          <w:szCs w:val="22"/>
        </w:rPr>
      </w:pPr>
      <w:r w:rsidRPr="00E57CCC">
        <w:rPr>
          <w:rFonts w:eastAsia="Arial" w:cs="Arial"/>
          <w:b/>
          <w:szCs w:val="22"/>
        </w:rPr>
        <w:t>Rta/:</w:t>
      </w:r>
      <w:r>
        <w:rPr>
          <w:rFonts w:eastAsia="Arial" w:cs="Arial"/>
          <w:szCs w:val="22"/>
        </w:rPr>
        <w:t xml:space="preserve"> </w:t>
      </w:r>
      <w:r w:rsidR="00C0375A" w:rsidRPr="00C0375A">
        <w:rPr>
          <w:rFonts w:eastAsia="Arial" w:cs="Arial"/>
          <w:szCs w:val="22"/>
        </w:rPr>
        <w:t xml:space="preserve">El IDPC, en el marco de la Ley de Transparencia, el plan anticorrupción y atención al ciudadano, publica periódicamente en la página Web los avances en la gestión de los planes institucionales. </w:t>
      </w:r>
    </w:p>
    <w:p w14:paraId="67972B0D" w14:textId="77777777" w:rsidR="00C0375A" w:rsidRPr="00C0375A" w:rsidRDefault="00C0375A" w:rsidP="00FB2062">
      <w:pPr>
        <w:tabs>
          <w:tab w:val="left" w:pos="426"/>
        </w:tabs>
        <w:jc w:val="both"/>
        <w:rPr>
          <w:rFonts w:eastAsia="Arial" w:cs="Arial"/>
          <w:szCs w:val="22"/>
        </w:rPr>
      </w:pPr>
    </w:p>
    <w:p w14:paraId="2D5B8C9B" w14:textId="77777777" w:rsidR="00C0375A" w:rsidRPr="00C0375A" w:rsidRDefault="00C0375A" w:rsidP="00FB2062">
      <w:pPr>
        <w:tabs>
          <w:tab w:val="left" w:pos="426"/>
        </w:tabs>
        <w:jc w:val="both"/>
        <w:rPr>
          <w:rFonts w:eastAsia="Arial" w:cs="Arial"/>
          <w:szCs w:val="22"/>
        </w:rPr>
      </w:pPr>
      <w:r w:rsidRPr="00C0375A">
        <w:rPr>
          <w:rFonts w:eastAsia="Arial" w:cs="Arial"/>
          <w:szCs w:val="22"/>
        </w:rPr>
        <w:t>De igual forma, en el botón de acceso PARTICIPA</w:t>
      </w:r>
      <w:r w:rsidRPr="00C0375A">
        <w:rPr>
          <w:rFonts w:eastAsia="Arial" w:cs="Arial"/>
          <w:color w:val="0070C0"/>
          <w:szCs w:val="22"/>
          <w:u w:val="single"/>
        </w:rPr>
        <w:t xml:space="preserve">, </w:t>
      </w:r>
      <w:hyperlink r:id="rId17" w:history="1">
        <w:r w:rsidRPr="00C0375A">
          <w:rPr>
            <w:rFonts w:eastAsia="Arial"/>
            <w:color w:val="0070C0"/>
            <w:u w:val="single"/>
          </w:rPr>
          <w:t>https://www.idpc.gov.co/transparencia-y-acceso-a-la-informacion-publica-ley-1712-del-6-de-marzo-de-2014/participa/6-control-social</w:t>
        </w:r>
      </w:hyperlink>
      <w:r w:rsidRPr="00C0375A">
        <w:rPr>
          <w:rFonts w:eastAsia="Arial" w:cs="Arial"/>
          <w:szCs w:val="22"/>
        </w:rPr>
        <w:t xml:space="preserve">, invita a la ciudadanía a ejercer la vigilancia sobre la gestión pública y denunciar hechos de corrupción, a través del enlace: </w:t>
      </w:r>
      <w:hyperlink r:id="rId18" w:history="1">
        <w:r w:rsidRPr="00C0375A">
          <w:rPr>
            <w:rFonts w:eastAsia="Arial"/>
          </w:rPr>
          <w:t>https://bogota.gov.co/sdqs/crear-peticion</w:t>
        </w:r>
      </w:hyperlink>
      <w:r w:rsidRPr="00C0375A">
        <w:rPr>
          <w:rFonts w:eastAsia="Arial" w:cs="Arial"/>
          <w:szCs w:val="22"/>
        </w:rPr>
        <w:t xml:space="preserve">; botón a través del cual el IDPC lo invita a participar y ejercer el control social.     </w:t>
      </w:r>
    </w:p>
    <w:p w14:paraId="1B038420" w14:textId="02F0C8F3" w:rsidR="004712F9" w:rsidRDefault="004712F9" w:rsidP="00FB2062">
      <w:pPr>
        <w:shd w:val="clear" w:color="auto" w:fill="FFFFFF"/>
        <w:tabs>
          <w:tab w:val="left" w:pos="1095"/>
        </w:tabs>
        <w:jc w:val="both"/>
        <w:rPr>
          <w:rFonts w:eastAsia="Arial" w:cs="Arial"/>
          <w:szCs w:val="22"/>
        </w:rPr>
      </w:pPr>
    </w:p>
    <w:p w14:paraId="734DB063" w14:textId="1F73A589" w:rsidR="00E57CCC" w:rsidRPr="00460856" w:rsidRDefault="00E57CCC" w:rsidP="005F400D">
      <w:pPr>
        <w:pStyle w:val="Prrafodelista"/>
        <w:numPr>
          <w:ilvl w:val="1"/>
          <w:numId w:val="1"/>
        </w:numPr>
        <w:ind w:left="851"/>
        <w:jc w:val="both"/>
        <w:rPr>
          <w:rFonts w:cs="Arial"/>
          <w:b/>
        </w:rPr>
      </w:pPr>
      <w:r w:rsidRPr="00460856">
        <w:rPr>
          <w:rFonts w:cs="Arial"/>
          <w:b/>
        </w:rPr>
        <w:t>Informe para Audiencia Pública de Rendición de Cuentas vigencia 202</w:t>
      </w:r>
      <w:r w:rsidR="006A2CCB" w:rsidRPr="00460856">
        <w:rPr>
          <w:rFonts w:cs="Arial"/>
          <w:b/>
        </w:rPr>
        <w:t>1</w:t>
      </w:r>
    </w:p>
    <w:p w14:paraId="0674BB3B" w14:textId="77777777" w:rsidR="00E57CCC" w:rsidRPr="00891B70" w:rsidRDefault="00E57CCC" w:rsidP="00FB2062">
      <w:pPr>
        <w:ind w:left="142" w:hanging="709"/>
        <w:jc w:val="both"/>
      </w:pPr>
      <w:r w:rsidRPr="00891B70">
        <w:t xml:space="preserve">         </w:t>
      </w:r>
    </w:p>
    <w:p w14:paraId="40D11B53" w14:textId="792735B2" w:rsidR="00C52A69" w:rsidRPr="00891B70" w:rsidRDefault="00E57CCC" w:rsidP="00FB2062">
      <w:pPr>
        <w:jc w:val="both"/>
      </w:pPr>
      <w:r w:rsidRPr="00891B70">
        <w:t xml:space="preserve">El informe en referencia se estructuró en 6 Capítulos, en cumplimiento a lo establecido en el Manual Único de Rendición de Cuentas – MURC del Departamento Administrativo de la Función Pública – DAFP, según requerimientos de la Veeduría Distrital, así: </w:t>
      </w:r>
    </w:p>
    <w:p w14:paraId="7043F821" w14:textId="77777777" w:rsidR="00C52A69" w:rsidRPr="00891B70" w:rsidRDefault="00C52A69" w:rsidP="00FB2062">
      <w:pPr>
        <w:jc w:val="both"/>
      </w:pPr>
    </w:p>
    <w:p w14:paraId="5EB781FB" w14:textId="3F2C7CE5" w:rsidR="00C52A69" w:rsidRPr="00891B70" w:rsidRDefault="00E57CCC" w:rsidP="005F400D">
      <w:pPr>
        <w:pStyle w:val="Prrafodelista"/>
        <w:numPr>
          <w:ilvl w:val="0"/>
          <w:numId w:val="7"/>
        </w:numPr>
        <w:jc w:val="both"/>
        <w:rPr>
          <w:u w:val="single"/>
        </w:rPr>
      </w:pPr>
      <w:r w:rsidRPr="00891B70">
        <w:t>Capitulo I</w:t>
      </w:r>
      <w:r w:rsidR="00C52A69" w:rsidRPr="00891B70">
        <w:t>.</w:t>
      </w:r>
      <w:r w:rsidRPr="00891B70">
        <w:t xml:space="preserve"> Presupuesto </w:t>
      </w:r>
    </w:p>
    <w:p w14:paraId="1C2DA5FB" w14:textId="29CEFFB0" w:rsidR="00C52A69" w:rsidRPr="00891B70" w:rsidRDefault="00C52A69" w:rsidP="005F400D">
      <w:pPr>
        <w:pStyle w:val="Prrafodelista"/>
        <w:numPr>
          <w:ilvl w:val="0"/>
          <w:numId w:val="7"/>
        </w:numPr>
        <w:jc w:val="both"/>
        <w:rPr>
          <w:u w:val="single"/>
        </w:rPr>
      </w:pPr>
      <w:r w:rsidRPr="00891B70">
        <w:t>C</w:t>
      </w:r>
      <w:r w:rsidR="00E57CCC" w:rsidRPr="00891B70">
        <w:t>apitulo II</w:t>
      </w:r>
      <w:r w:rsidRPr="00891B70">
        <w:t>.</w:t>
      </w:r>
      <w:r w:rsidR="00E57CCC" w:rsidRPr="00891B70">
        <w:t xml:space="preserve"> Cumplimiento de Metas PDD</w:t>
      </w:r>
    </w:p>
    <w:p w14:paraId="0A61EC05" w14:textId="74F4A5D8" w:rsidR="00C52A69" w:rsidRPr="00891B70" w:rsidRDefault="00C52A69" w:rsidP="005F400D">
      <w:pPr>
        <w:pStyle w:val="Prrafodelista"/>
        <w:numPr>
          <w:ilvl w:val="0"/>
          <w:numId w:val="7"/>
        </w:numPr>
        <w:jc w:val="both"/>
        <w:rPr>
          <w:u w:val="single"/>
        </w:rPr>
      </w:pPr>
      <w:r w:rsidRPr="00891B70">
        <w:t>C</w:t>
      </w:r>
      <w:r w:rsidR="00E57CCC" w:rsidRPr="00891B70">
        <w:t>apitulo III</w:t>
      </w:r>
      <w:r w:rsidRPr="00891B70">
        <w:t>.</w:t>
      </w:r>
      <w:r w:rsidR="00E57CCC" w:rsidRPr="00891B70">
        <w:t xml:space="preserve"> Gestión</w:t>
      </w:r>
    </w:p>
    <w:p w14:paraId="428E00CC" w14:textId="6846EC1F" w:rsidR="00C52A69" w:rsidRPr="00891B70" w:rsidRDefault="00C52A69" w:rsidP="005F400D">
      <w:pPr>
        <w:pStyle w:val="Prrafodelista"/>
        <w:numPr>
          <w:ilvl w:val="0"/>
          <w:numId w:val="7"/>
        </w:numPr>
        <w:jc w:val="both"/>
        <w:rPr>
          <w:u w:val="single"/>
        </w:rPr>
      </w:pPr>
      <w:r w:rsidRPr="00891B70">
        <w:t>C</w:t>
      </w:r>
      <w:r w:rsidR="00E57CCC" w:rsidRPr="00891B70">
        <w:t>apitulo IV</w:t>
      </w:r>
      <w:r w:rsidRPr="00891B70">
        <w:t>.</w:t>
      </w:r>
      <w:r w:rsidR="00E57CCC" w:rsidRPr="00891B70">
        <w:t xml:space="preserve"> </w:t>
      </w:r>
      <w:r w:rsidR="00667F44">
        <w:t>C</w:t>
      </w:r>
      <w:r w:rsidR="00E57CCC" w:rsidRPr="00891B70">
        <w:t>ontratación</w:t>
      </w:r>
    </w:p>
    <w:p w14:paraId="04A7D0A2" w14:textId="68B1FE75" w:rsidR="00C52A69" w:rsidRPr="00891B70" w:rsidRDefault="00C52A69" w:rsidP="005F400D">
      <w:pPr>
        <w:pStyle w:val="Prrafodelista"/>
        <w:numPr>
          <w:ilvl w:val="0"/>
          <w:numId w:val="7"/>
        </w:numPr>
        <w:jc w:val="both"/>
        <w:rPr>
          <w:u w:val="single"/>
        </w:rPr>
      </w:pPr>
      <w:r w:rsidRPr="00891B70">
        <w:t>C</w:t>
      </w:r>
      <w:r w:rsidR="00E57CCC" w:rsidRPr="00891B70">
        <w:t>apítulo V</w:t>
      </w:r>
      <w:r w:rsidRPr="00891B70">
        <w:t>.</w:t>
      </w:r>
      <w:r w:rsidR="00E57CCC" w:rsidRPr="00891B70">
        <w:t xml:space="preserve"> Impactos de la gestión</w:t>
      </w:r>
      <w:r w:rsidR="008F6DC3" w:rsidRPr="00891B70">
        <w:t xml:space="preserve"> y población beneficiada</w:t>
      </w:r>
    </w:p>
    <w:p w14:paraId="39808AE7" w14:textId="1A98A5EE" w:rsidR="00C52A69" w:rsidRPr="00891B70" w:rsidRDefault="00C52A69" w:rsidP="005F400D">
      <w:pPr>
        <w:pStyle w:val="Prrafodelista"/>
        <w:numPr>
          <w:ilvl w:val="0"/>
          <w:numId w:val="7"/>
        </w:numPr>
        <w:jc w:val="both"/>
        <w:rPr>
          <w:u w:val="single"/>
        </w:rPr>
      </w:pPr>
      <w:r w:rsidRPr="00891B70">
        <w:t>C</w:t>
      </w:r>
      <w:r w:rsidR="00E57CCC" w:rsidRPr="00891B70">
        <w:t>apítulo VI</w:t>
      </w:r>
      <w:r w:rsidRPr="00891B70">
        <w:t xml:space="preserve">. </w:t>
      </w:r>
      <w:r w:rsidR="00E57CCC" w:rsidRPr="00891B70">
        <w:t xml:space="preserve"> Acciones de mejoramiento</w:t>
      </w:r>
      <w:r w:rsidR="008F6DC3" w:rsidRPr="00891B70">
        <w:t xml:space="preserve"> de la entidad</w:t>
      </w:r>
    </w:p>
    <w:p w14:paraId="06009A42" w14:textId="77777777" w:rsidR="00C52A69" w:rsidRPr="00891B70" w:rsidRDefault="00C52A69" w:rsidP="00FB2062">
      <w:pPr>
        <w:pStyle w:val="Prrafodelista"/>
        <w:jc w:val="both"/>
        <w:rPr>
          <w:u w:val="single"/>
        </w:rPr>
      </w:pPr>
    </w:p>
    <w:p w14:paraId="6AC15F78" w14:textId="70ED9EC4" w:rsidR="00E57CCC" w:rsidRDefault="00E57CCC" w:rsidP="00460856">
      <w:pPr>
        <w:jc w:val="both"/>
        <w:rPr>
          <w:rStyle w:val="Hipervnculo"/>
          <w:color w:val="C00000"/>
        </w:rPr>
      </w:pPr>
      <w:r w:rsidRPr="00891B70">
        <w:t>El Informe fue publicado en la página Web del IDPC,</w:t>
      </w:r>
      <w:r w:rsidR="00891B70" w:rsidRPr="00891B70">
        <w:t xml:space="preserve"> el 3 de noviembre de 2021,</w:t>
      </w:r>
      <w:r w:rsidRPr="00891B70">
        <w:t xml:space="preserve"> previo a la audiencia pública, el cual puede ser verificado en siguiente link: </w:t>
      </w:r>
      <w:hyperlink r:id="rId19" w:history="1">
        <w:r w:rsidR="00460856" w:rsidRPr="00575B52">
          <w:rPr>
            <w:rStyle w:val="Hipervnculo"/>
          </w:rPr>
          <w:t>https://idpc.gov.co/transparencia-y-acceso-a-la-informacion-publica-ley-1712-del-6-de-marzo-de-2014/participa/5-rendicion-de-cuentas/</w:t>
        </w:r>
      </w:hyperlink>
    </w:p>
    <w:p w14:paraId="414AA917" w14:textId="594345D8" w:rsidR="008D719F" w:rsidRDefault="008D719F" w:rsidP="00FB2062">
      <w:pPr>
        <w:jc w:val="both"/>
        <w:rPr>
          <w:rStyle w:val="Hipervnculo"/>
          <w:color w:val="C00000"/>
        </w:rPr>
      </w:pPr>
    </w:p>
    <w:p w14:paraId="4D738DFF" w14:textId="77777777" w:rsidR="001F3121" w:rsidRDefault="00C86977" w:rsidP="00FB2062">
      <w:pPr>
        <w:shd w:val="clear" w:color="auto" w:fill="FFFFFF"/>
        <w:tabs>
          <w:tab w:val="left" w:pos="1095"/>
        </w:tabs>
        <w:jc w:val="both"/>
        <w:rPr>
          <w:rFonts w:eastAsia="Arial" w:cs="Arial"/>
          <w:szCs w:val="22"/>
        </w:rPr>
      </w:pPr>
      <w:r w:rsidRPr="00C86977">
        <w:rPr>
          <w:rStyle w:val="Hipervnculo"/>
          <w:color w:val="auto"/>
          <w:u w:val="none"/>
        </w:rPr>
        <w:t xml:space="preserve">Así mismo </w:t>
      </w:r>
      <w:r w:rsidR="00403D37">
        <w:rPr>
          <w:rFonts w:eastAsia="Arial" w:cs="Arial"/>
          <w:szCs w:val="22"/>
        </w:rPr>
        <w:t>y con base en el objetivo formulado en la estrategia de Rendición de Cuentas RdC para el período 2020-2024</w:t>
      </w:r>
    </w:p>
    <w:p w14:paraId="66F0BE36" w14:textId="77777777" w:rsidR="00460856" w:rsidRDefault="00460856" w:rsidP="00FB2062">
      <w:pPr>
        <w:shd w:val="clear" w:color="auto" w:fill="FFFFFF"/>
        <w:tabs>
          <w:tab w:val="left" w:pos="1095"/>
        </w:tabs>
        <w:jc w:val="both"/>
        <w:rPr>
          <w:rFonts w:eastAsia="Arial" w:cs="Arial"/>
          <w:szCs w:val="22"/>
        </w:rPr>
      </w:pPr>
    </w:p>
    <w:p w14:paraId="612F7264" w14:textId="77777777" w:rsidR="001F3121" w:rsidRDefault="00570C9A" w:rsidP="00FB2062">
      <w:pPr>
        <w:shd w:val="clear" w:color="auto" w:fill="FFFFFF"/>
        <w:tabs>
          <w:tab w:val="left" w:pos="1095"/>
        </w:tabs>
        <w:ind w:left="1418" w:right="1325"/>
        <w:jc w:val="both"/>
        <w:rPr>
          <w:rFonts w:eastAsia="Arial" w:cs="Arial"/>
          <w:szCs w:val="22"/>
        </w:rPr>
      </w:pPr>
      <w:r>
        <w:rPr>
          <w:rFonts w:eastAsia="Arial" w:cs="Arial"/>
          <w:szCs w:val="22"/>
        </w:rPr>
        <w:t xml:space="preserve"> </w:t>
      </w:r>
      <w:r w:rsidRPr="001F3121">
        <w:rPr>
          <w:rFonts w:eastAsia="Arial" w:cs="Arial"/>
          <w:i/>
          <w:sz w:val="20"/>
          <w:szCs w:val="22"/>
        </w:rPr>
        <w:t>“(…) L</w:t>
      </w:r>
      <w:r w:rsidR="00403D37" w:rsidRPr="001F3121">
        <w:rPr>
          <w:rFonts w:eastAsia="Arial" w:cs="Arial"/>
          <w:i/>
          <w:sz w:val="20"/>
          <w:szCs w:val="22"/>
        </w:rPr>
        <w:t xml:space="preserve">a rendición permanente de cuentas es un ejercicio de construcción de comunidad, orientado fundamentalmente al ciudadano, para informar y hacerlo partícipe de las decisiones que se han tomado en la ciudad con respecto a la valoración del patrimonio y su importancia dentro de la memoria histórica; dando cuenta de </w:t>
      </w:r>
      <w:r w:rsidR="00403D37" w:rsidRPr="001F3121">
        <w:rPr>
          <w:rFonts w:eastAsia="Arial" w:cs="Arial"/>
          <w:i/>
          <w:sz w:val="20"/>
          <w:szCs w:val="22"/>
        </w:rPr>
        <w:lastRenderedPageBreak/>
        <w:t>aspectos que los afectan en su calidad y condiciones de vida y de las acciones que desarrolla para garantizar su derecho a la vida cultural, incluida la capacidad de acceder al patrimonio</w:t>
      </w:r>
      <w:r w:rsidR="001F3121" w:rsidRPr="001F3121">
        <w:rPr>
          <w:rFonts w:eastAsia="Arial" w:cs="Arial"/>
          <w:i/>
          <w:sz w:val="20"/>
          <w:szCs w:val="22"/>
        </w:rPr>
        <w:t xml:space="preserve"> (…)</w:t>
      </w:r>
      <w:r w:rsidR="001F3121">
        <w:rPr>
          <w:rFonts w:eastAsia="Arial" w:cs="Arial"/>
          <w:szCs w:val="22"/>
        </w:rPr>
        <w:t>”</w:t>
      </w:r>
      <w:r w:rsidR="00403D37">
        <w:rPr>
          <w:rFonts w:eastAsia="Arial" w:cs="Arial"/>
          <w:szCs w:val="22"/>
        </w:rPr>
        <w:t xml:space="preserve"> </w:t>
      </w:r>
    </w:p>
    <w:p w14:paraId="6B2CC38C" w14:textId="77777777" w:rsidR="001F3121" w:rsidRDefault="001F3121" w:rsidP="00FB2062">
      <w:pPr>
        <w:shd w:val="clear" w:color="auto" w:fill="FFFFFF"/>
        <w:tabs>
          <w:tab w:val="left" w:pos="1095"/>
        </w:tabs>
        <w:jc w:val="both"/>
        <w:rPr>
          <w:rFonts w:eastAsia="Arial" w:cs="Arial"/>
          <w:szCs w:val="22"/>
        </w:rPr>
      </w:pPr>
    </w:p>
    <w:p w14:paraId="04DB5A19" w14:textId="61A305C1" w:rsidR="00C86977" w:rsidRDefault="001F3121" w:rsidP="00FB2062">
      <w:pPr>
        <w:shd w:val="clear" w:color="auto" w:fill="FFFFFF"/>
        <w:tabs>
          <w:tab w:val="left" w:pos="1095"/>
        </w:tabs>
        <w:jc w:val="both"/>
        <w:rPr>
          <w:rFonts w:eastAsia="Arial" w:cs="Arial"/>
          <w:szCs w:val="22"/>
        </w:rPr>
      </w:pPr>
      <w:r>
        <w:rPr>
          <w:rFonts w:eastAsia="Arial" w:cs="Arial"/>
          <w:szCs w:val="22"/>
        </w:rPr>
        <w:t>E</w:t>
      </w:r>
      <w:r w:rsidR="00403D37">
        <w:rPr>
          <w:rFonts w:eastAsia="Arial" w:cs="Arial"/>
          <w:szCs w:val="22"/>
        </w:rPr>
        <w:t xml:space="preserve">l </w:t>
      </w:r>
      <w:r w:rsidR="00C86977">
        <w:rPr>
          <w:rStyle w:val="Hipervnculo"/>
          <w:color w:val="auto"/>
          <w:u w:val="none"/>
        </w:rPr>
        <w:t>IDPC publicó</w:t>
      </w:r>
      <w:r>
        <w:rPr>
          <w:rStyle w:val="Hipervnculo"/>
          <w:color w:val="auto"/>
          <w:u w:val="none"/>
        </w:rPr>
        <w:t xml:space="preserve"> en el micrositio web de la entidad botón de transparencia </w:t>
      </w:r>
      <w:r w:rsidR="00C86977">
        <w:rPr>
          <w:rStyle w:val="Hipervnculo"/>
          <w:color w:val="auto"/>
          <w:u w:val="none"/>
        </w:rPr>
        <w:t xml:space="preserve">un documento denominado </w:t>
      </w:r>
      <w:r w:rsidR="00C86977" w:rsidRPr="001F3121">
        <w:rPr>
          <w:rStyle w:val="Hipervnculo"/>
          <w:b/>
          <w:color w:val="auto"/>
          <w:u w:val="none"/>
        </w:rPr>
        <w:t>“</w:t>
      </w:r>
      <w:r w:rsidR="00C86977" w:rsidRPr="001F3121">
        <w:rPr>
          <w:rFonts w:eastAsia="Arial" w:cs="Arial"/>
          <w:b/>
          <w:u w:val="single"/>
        </w:rPr>
        <w:t>Memorias: Espacios de Rendición de Cuentas desarrollados en los ámbitos de control social durante la vigencia 2021</w:t>
      </w:r>
      <w:r w:rsidR="00C86977" w:rsidRPr="001F3121">
        <w:rPr>
          <w:rFonts w:eastAsia="Arial" w:cs="Arial"/>
          <w:b/>
        </w:rPr>
        <w:t>”</w:t>
      </w:r>
      <w:r w:rsidR="00403D37" w:rsidRPr="001F3121">
        <w:rPr>
          <w:rFonts w:eastAsia="Arial" w:cs="Arial"/>
          <w:b/>
        </w:rPr>
        <w:t xml:space="preserve">, </w:t>
      </w:r>
      <w:r w:rsidR="00403D37">
        <w:rPr>
          <w:rFonts w:eastAsia="Arial" w:cs="Arial"/>
          <w:szCs w:val="22"/>
        </w:rPr>
        <w:t>como parte del ejercicio de rendición de cuentas</w:t>
      </w:r>
      <w:r w:rsidR="00403D37">
        <w:rPr>
          <w:rFonts w:eastAsia="Arial" w:cs="Arial"/>
          <w:b/>
          <w:szCs w:val="22"/>
        </w:rPr>
        <w:t xml:space="preserve"> </w:t>
      </w:r>
      <w:r w:rsidR="00403D37" w:rsidRPr="001F3121">
        <w:rPr>
          <w:rFonts w:eastAsia="Arial" w:cs="Arial"/>
          <w:szCs w:val="22"/>
        </w:rPr>
        <w:t>que r</w:t>
      </w:r>
      <w:r w:rsidR="00403D37">
        <w:rPr>
          <w:rFonts w:eastAsia="Arial" w:cs="Arial"/>
          <w:szCs w:val="22"/>
        </w:rPr>
        <w:t>esponde a la importancia de asegurar la transparencia, la participación y el control social en las diferentes etapas de la gestión pública</w:t>
      </w:r>
      <w:r>
        <w:rPr>
          <w:rFonts w:eastAsia="Arial" w:cs="Arial"/>
          <w:szCs w:val="22"/>
        </w:rPr>
        <w:t xml:space="preserve">, documento que puede ser consultado en el siguiente link: </w:t>
      </w:r>
      <w:r w:rsidR="00403D37">
        <w:rPr>
          <w:rFonts w:eastAsia="Arial" w:cs="Arial"/>
          <w:szCs w:val="22"/>
        </w:rPr>
        <w:t xml:space="preserve"> </w:t>
      </w:r>
      <w:hyperlink r:id="rId20" w:history="1">
        <w:r w:rsidRPr="008336D2">
          <w:rPr>
            <w:rStyle w:val="Hipervnculo"/>
            <w:rFonts w:eastAsia="Arial" w:cs="Arial"/>
            <w:szCs w:val="22"/>
          </w:rPr>
          <w:t>https://idpc.gov.co/transparencia-y-acceso-a-la-informacion-publica-ley-1712-del-6-de-marzo-de-2014/participa/5-rendicion-de-cuentas/</w:t>
        </w:r>
      </w:hyperlink>
    </w:p>
    <w:p w14:paraId="16EF8FF2" w14:textId="77777777" w:rsidR="001F3121" w:rsidRDefault="001F3121" w:rsidP="00FB2062">
      <w:pPr>
        <w:shd w:val="clear" w:color="auto" w:fill="FFFFFF"/>
        <w:tabs>
          <w:tab w:val="left" w:pos="1095"/>
        </w:tabs>
        <w:jc w:val="both"/>
        <w:rPr>
          <w:rStyle w:val="Hipervnculo"/>
          <w:color w:val="auto"/>
          <w:u w:val="none"/>
        </w:rPr>
      </w:pPr>
    </w:p>
    <w:p w14:paraId="327DD714" w14:textId="4E2C55F2" w:rsidR="008D719F" w:rsidRDefault="008D719F" w:rsidP="00FB2062">
      <w:pPr>
        <w:jc w:val="both"/>
        <w:rPr>
          <w:rStyle w:val="Hipervnculo"/>
          <w:i/>
          <w:color w:val="auto"/>
          <w:sz w:val="20"/>
          <w:u w:val="none"/>
        </w:rPr>
      </w:pPr>
      <w:r w:rsidRPr="008D719F">
        <w:rPr>
          <w:rStyle w:val="Hipervnculo"/>
          <w:color w:val="auto"/>
          <w:u w:val="none"/>
        </w:rPr>
        <w:t xml:space="preserve">Lo anterior </w:t>
      </w:r>
      <w:r w:rsidR="00403D37">
        <w:rPr>
          <w:rStyle w:val="Hipervnculo"/>
          <w:color w:val="auto"/>
          <w:u w:val="none"/>
        </w:rPr>
        <w:t>para conocimiento y consulta de la ciudanía y/o partes interesadas</w:t>
      </w:r>
      <w:r w:rsidR="001F3121">
        <w:rPr>
          <w:rStyle w:val="Hipervnculo"/>
          <w:color w:val="auto"/>
          <w:u w:val="none"/>
        </w:rPr>
        <w:t xml:space="preserve"> y </w:t>
      </w:r>
      <w:r w:rsidRPr="008D719F">
        <w:rPr>
          <w:rStyle w:val="Hipervnculo"/>
          <w:color w:val="auto"/>
          <w:u w:val="none"/>
        </w:rPr>
        <w:t xml:space="preserve">en cumplimiento a lo establecido en el MURC V.2 </w:t>
      </w:r>
      <w:r w:rsidR="00A70FA3" w:rsidRPr="008D719F">
        <w:rPr>
          <w:rStyle w:val="Hipervnculo"/>
          <w:color w:val="auto"/>
          <w:u w:val="none"/>
        </w:rPr>
        <w:t>Capítulo</w:t>
      </w:r>
      <w:r w:rsidRPr="008D719F">
        <w:rPr>
          <w:rStyle w:val="Hipervnculo"/>
          <w:color w:val="auto"/>
          <w:u w:val="none"/>
        </w:rPr>
        <w:t xml:space="preserve"> I</w:t>
      </w:r>
      <w:r w:rsidRPr="008D719F">
        <w:rPr>
          <w:rStyle w:val="Hipervnculo"/>
          <w:i/>
          <w:color w:val="auto"/>
          <w:sz w:val="20"/>
          <w:u w:val="none"/>
        </w:rPr>
        <w:t xml:space="preserve"> </w:t>
      </w:r>
    </w:p>
    <w:p w14:paraId="5AE052B8" w14:textId="77777777" w:rsidR="00667F44" w:rsidRPr="008D719F" w:rsidRDefault="00667F44" w:rsidP="00FB2062">
      <w:pPr>
        <w:jc w:val="both"/>
        <w:rPr>
          <w:rStyle w:val="Hipervnculo"/>
          <w:i/>
          <w:color w:val="auto"/>
          <w:sz w:val="20"/>
          <w:u w:val="none"/>
        </w:rPr>
      </w:pPr>
    </w:p>
    <w:p w14:paraId="65A94331" w14:textId="4930F945" w:rsidR="00C52A69" w:rsidRDefault="008D719F" w:rsidP="00FB2062">
      <w:pPr>
        <w:ind w:left="851" w:right="1325"/>
        <w:jc w:val="both"/>
        <w:rPr>
          <w:rStyle w:val="Hipervnculo"/>
          <w:b/>
          <w:i/>
          <w:color w:val="auto"/>
          <w:sz w:val="20"/>
          <w:u w:val="none"/>
        </w:rPr>
      </w:pPr>
      <w:r w:rsidRPr="008D719F">
        <w:rPr>
          <w:rStyle w:val="Hipervnculo"/>
          <w:i/>
          <w:color w:val="auto"/>
          <w:sz w:val="20"/>
          <w:u w:val="none"/>
        </w:rPr>
        <w:t>“</w:t>
      </w:r>
      <w:r w:rsidR="001F3121">
        <w:rPr>
          <w:rStyle w:val="Hipervnculo"/>
          <w:i/>
          <w:color w:val="auto"/>
          <w:sz w:val="20"/>
          <w:u w:val="none"/>
        </w:rPr>
        <w:t>(</w:t>
      </w:r>
      <w:r w:rsidR="00A70FA3">
        <w:rPr>
          <w:rStyle w:val="Hipervnculo"/>
          <w:i/>
          <w:color w:val="auto"/>
          <w:sz w:val="20"/>
          <w:u w:val="none"/>
        </w:rPr>
        <w:t>…)</w:t>
      </w:r>
      <w:r w:rsidR="00A70FA3" w:rsidRPr="008D719F">
        <w:rPr>
          <w:i/>
          <w:sz w:val="20"/>
        </w:rPr>
        <w:t xml:space="preserve"> La</w:t>
      </w:r>
      <w:r w:rsidRPr="008D719F">
        <w:rPr>
          <w:i/>
          <w:sz w:val="20"/>
        </w:rPr>
        <w:t xml:space="preserve"> entidad debe publicar el informe de rendición de cuentas y la información sobre los diversos medios habilitados de participación antes del escenario de diálogo (mínimo 15 días antes) y durante el </w:t>
      </w:r>
      <w:r w:rsidR="00A70FA3" w:rsidRPr="008D719F">
        <w:rPr>
          <w:i/>
          <w:sz w:val="20"/>
        </w:rPr>
        <w:t>ejercicio</w:t>
      </w:r>
      <w:r w:rsidR="00A70FA3">
        <w:rPr>
          <w:i/>
          <w:sz w:val="20"/>
        </w:rPr>
        <w:t xml:space="preserve"> (</w:t>
      </w:r>
      <w:r w:rsidR="001F3121">
        <w:rPr>
          <w:i/>
          <w:sz w:val="20"/>
        </w:rPr>
        <w:t>…)</w:t>
      </w:r>
      <w:r w:rsidRPr="008D719F">
        <w:rPr>
          <w:i/>
          <w:sz w:val="20"/>
        </w:rPr>
        <w:t>”</w:t>
      </w:r>
      <w:r w:rsidRPr="008D719F">
        <w:rPr>
          <w:rStyle w:val="Hipervnculo"/>
          <w:b/>
          <w:i/>
          <w:color w:val="auto"/>
          <w:sz w:val="20"/>
          <w:u w:val="none"/>
        </w:rPr>
        <w:t xml:space="preserve"> </w:t>
      </w:r>
    </w:p>
    <w:p w14:paraId="7FD6E121" w14:textId="18F0EB29" w:rsidR="00E57CCC" w:rsidRDefault="00E57CCC" w:rsidP="00FB2062">
      <w:pPr>
        <w:ind w:left="142" w:hanging="709"/>
        <w:jc w:val="both"/>
      </w:pPr>
      <w:r>
        <w:rPr>
          <w:color w:val="000000" w:themeColor="text1"/>
        </w:rPr>
        <w:t xml:space="preserve">           </w:t>
      </w:r>
      <w:r>
        <w:t xml:space="preserve">        </w:t>
      </w:r>
    </w:p>
    <w:p w14:paraId="7187ADD7" w14:textId="1A2FB7C9" w:rsidR="00E57CCC" w:rsidRPr="00460856" w:rsidRDefault="00E57CCC" w:rsidP="005F400D">
      <w:pPr>
        <w:pStyle w:val="Prrafodelista"/>
        <w:numPr>
          <w:ilvl w:val="1"/>
          <w:numId w:val="1"/>
        </w:numPr>
        <w:ind w:left="851"/>
        <w:jc w:val="both"/>
        <w:rPr>
          <w:rFonts w:cs="Arial"/>
          <w:b/>
        </w:rPr>
      </w:pPr>
      <w:r w:rsidRPr="00460856">
        <w:rPr>
          <w:rFonts w:cs="Arial"/>
          <w:b/>
        </w:rPr>
        <w:t xml:space="preserve">Fecha y Lugar de Realización </w:t>
      </w:r>
    </w:p>
    <w:p w14:paraId="7D24FEDF" w14:textId="77777777" w:rsidR="00E57CCC" w:rsidRDefault="00E57CCC" w:rsidP="00FB2062">
      <w:pPr>
        <w:ind w:left="142" w:hanging="709"/>
        <w:jc w:val="both"/>
      </w:pPr>
    </w:p>
    <w:p w14:paraId="0F52B543" w14:textId="3C5BD124" w:rsidR="00E57CCC" w:rsidRDefault="00E57CCC" w:rsidP="00FB2062">
      <w:pPr>
        <w:jc w:val="both"/>
      </w:pPr>
      <w:r>
        <w:t>La Secretaria de Cultura, Recreación y Deporte llevó a cabo la Audiencia Pública de Rendición de Cuentas del Sector vigencia 202</w:t>
      </w:r>
      <w:r w:rsidR="008D719F">
        <w:t>1</w:t>
      </w:r>
      <w:r>
        <w:t xml:space="preserve">, el </w:t>
      </w:r>
      <w:r w:rsidR="008D719F">
        <w:t>3</w:t>
      </w:r>
      <w:r>
        <w:t xml:space="preserve"> de diciembre de 202</w:t>
      </w:r>
      <w:r w:rsidR="008D719F">
        <w:t>1</w:t>
      </w:r>
      <w:r>
        <w:t xml:space="preserve">, en el auditorio de la Biblioteca Virgilio Barco, a la cual asistieron de forma presencial los directivos de las entidades del sector, con algunos de sus equipos de trabajo: </w:t>
      </w:r>
    </w:p>
    <w:p w14:paraId="730095BE" w14:textId="77777777" w:rsidR="00E57CCC" w:rsidRDefault="00E57CCC" w:rsidP="00FB2062">
      <w:pPr>
        <w:jc w:val="both"/>
      </w:pPr>
    </w:p>
    <w:p w14:paraId="787D8205" w14:textId="05230771" w:rsidR="00E57CCC" w:rsidRDefault="00E57CCC" w:rsidP="00FB2062">
      <w:pPr>
        <w:jc w:val="both"/>
      </w:pPr>
      <w:r>
        <w:t>Nicolás Montero                    Secretaria Distrital de Cultura Recreación y Deporte -SCRD</w:t>
      </w:r>
    </w:p>
    <w:p w14:paraId="6E13553B" w14:textId="60AA6CF6" w:rsidR="0069271C" w:rsidRPr="0069271C" w:rsidRDefault="0069271C" w:rsidP="0069271C">
      <w:pPr>
        <w:jc w:val="both"/>
      </w:pPr>
      <w:r w:rsidRPr="0069271C">
        <w:t xml:space="preserve">Blanca Inés Durán                Instituto Distrital de Recreación y Deporte – IDRD </w:t>
      </w:r>
    </w:p>
    <w:p w14:paraId="01F1FE85" w14:textId="6EFC5088" w:rsidR="00E57CCC" w:rsidRPr="0069271C" w:rsidRDefault="0069271C" w:rsidP="00FB2062">
      <w:pPr>
        <w:jc w:val="both"/>
      </w:pPr>
      <w:r w:rsidRPr="0069271C">
        <w:t>Margarita Díaz</w:t>
      </w:r>
      <w:r w:rsidR="00E57CCC" w:rsidRPr="0069271C">
        <w:t xml:space="preserve">                      Fundación Gilberto Álzate Avendaño - FUGA </w:t>
      </w:r>
    </w:p>
    <w:p w14:paraId="438479F1" w14:textId="0AC97E3B" w:rsidR="0069271C" w:rsidRPr="0069271C" w:rsidRDefault="0069271C" w:rsidP="0069271C">
      <w:pPr>
        <w:jc w:val="both"/>
      </w:pPr>
      <w:r w:rsidRPr="0069271C">
        <w:t xml:space="preserve">Catalina Valencia                  Instituto Distrital de las Artes - IDARTES </w:t>
      </w:r>
    </w:p>
    <w:p w14:paraId="3BBDDBCE" w14:textId="267FAAD5" w:rsidR="00E57CCC" w:rsidRPr="0069271C" w:rsidRDefault="00E57CCC" w:rsidP="00FB2062">
      <w:pPr>
        <w:jc w:val="both"/>
      </w:pPr>
      <w:r w:rsidRPr="0069271C">
        <w:t xml:space="preserve">Patrick Morales                     Instituto Distrital de Patrimonio Cultural - IDPC </w:t>
      </w:r>
    </w:p>
    <w:p w14:paraId="6D8352C1" w14:textId="19BDEED2" w:rsidR="00E57CCC" w:rsidRPr="0069271C" w:rsidRDefault="00E57CCC" w:rsidP="00FB2062">
      <w:pPr>
        <w:jc w:val="both"/>
      </w:pPr>
      <w:r w:rsidRPr="0069271C">
        <w:t xml:space="preserve">Ana María Ruíz                     Canal Capital </w:t>
      </w:r>
    </w:p>
    <w:p w14:paraId="620AB26B" w14:textId="33FD5BF7" w:rsidR="00E57CCC" w:rsidRPr="0069271C" w:rsidRDefault="0069271C" w:rsidP="00FB2062">
      <w:pPr>
        <w:jc w:val="both"/>
      </w:pPr>
      <w:r w:rsidRPr="0069271C">
        <w:t>David García</w:t>
      </w:r>
      <w:r w:rsidRPr="0069271C">
        <w:tab/>
      </w:r>
      <w:r w:rsidRPr="0069271C">
        <w:tab/>
      </w:r>
      <w:r w:rsidR="00E57CCC" w:rsidRPr="0069271C">
        <w:t xml:space="preserve"> </w:t>
      </w:r>
      <w:r w:rsidRPr="0069271C">
        <w:tab/>
      </w:r>
      <w:r w:rsidR="00E57CCC" w:rsidRPr="0069271C">
        <w:t xml:space="preserve">Orquesta Filarmónica de Bogotá </w:t>
      </w:r>
    </w:p>
    <w:p w14:paraId="6DFBDD06" w14:textId="77777777" w:rsidR="00E57CCC" w:rsidRDefault="00E57CCC" w:rsidP="00FB2062">
      <w:pPr>
        <w:tabs>
          <w:tab w:val="left" w:pos="3997"/>
        </w:tabs>
        <w:ind w:left="142"/>
        <w:jc w:val="both"/>
      </w:pPr>
      <w:r>
        <w:tab/>
      </w:r>
    </w:p>
    <w:p w14:paraId="725B3287" w14:textId="015FCE12" w:rsidR="00E57CCC" w:rsidRPr="00460856" w:rsidRDefault="00E57CCC" w:rsidP="005F400D">
      <w:pPr>
        <w:pStyle w:val="Prrafodelista"/>
        <w:numPr>
          <w:ilvl w:val="1"/>
          <w:numId w:val="1"/>
        </w:numPr>
        <w:ind w:left="851"/>
        <w:jc w:val="both"/>
        <w:rPr>
          <w:rFonts w:cs="Arial"/>
          <w:b/>
        </w:rPr>
      </w:pPr>
      <w:r w:rsidRPr="00460856">
        <w:rPr>
          <w:rFonts w:cs="Arial"/>
          <w:b/>
        </w:rPr>
        <w:t xml:space="preserve">Alcance </w:t>
      </w:r>
    </w:p>
    <w:p w14:paraId="2FAE4EEB" w14:textId="77777777" w:rsidR="00E57CCC" w:rsidRDefault="00E57CCC" w:rsidP="00FB2062">
      <w:pPr>
        <w:ind w:left="142"/>
        <w:jc w:val="both"/>
      </w:pPr>
    </w:p>
    <w:p w14:paraId="4D165A2C" w14:textId="1471062A" w:rsidR="00E57CCC" w:rsidRDefault="00E57CCC" w:rsidP="00FB2062">
      <w:pPr>
        <w:jc w:val="both"/>
      </w:pPr>
      <w:r>
        <w:t>La R</w:t>
      </w:r>
      <w:r w:rsidRPr="004C4B62">
        <w:t>endició</w:t>
      </w:r>
      <w:r>
        <w:t>n de Cuentas del Sector Cultura, Recreación y Deporte se propuso</w:t>
      </w:r>
      <w:r w:rsidRPr="004C4B62">
        <w:t xml:space="preserve"> fortalecer el acceso a la información, la participación ciudadana y el control social por parte de las organizaciones sociales, organismos de control, ciudadanía en general y grupos de interés frente a las decisiones, acciones y resultados de los programas, pol</w:t>
      </w:r>
      <w:r>
        <w:t xml:space="preserve">íticas, proyectos y planes tanto de la </w:t>
      </w:r>
      <w:r w:rsidR="00E35F90">
        <w:t>secretaria</w:t>
      </w:r>
      <w:r>
        <w:t xml:space="preserve"> como de sus</w:t>
      </w:r>
      <w:r w:rsidRPr="004C4B62">
        <w:t xml:space="preserve"> entidad</w:t>
      </w:r>
      <w:r>
        <w:t>es adscritas y vinculadas,</w:t>
      </w:r>
      <w:r w:rsidRPr="004C4B62">
        <w:t xml:space="preserve"> de acuerdo con la misión y/o propósito fundamental de la SCR</w:t>
      </w:r>
      <w:r>
        <w:t>D. También buscó</w:t>
      </w:r>
      <w:r w:rsidRPr="004C4B62">
        <w:t xml:space="preserve"> afianzar la cultura de la rendición de cuentas y el concepto de respo</w:t>
      </w:r>
      <w:r>
        <w:t>nsabilidad en todos los integrantes de las entidades</w:t>
      </w:r>
      <w:r w:rsidRPr="004C4B62">
        <w:t xml:space="preserve"> en cuanto al derecho a la información y la participación.</w:t>
      </w:r>
    </w:p>
    <w:p w14:paraId="6D8E2ACA" w14:textId="77777777" w:rsidR="00E57CCC" w:rsidRDefault="00E57CCC" w:rsidP="00FB2062">
      <w:pPr>
        <w:ind w:left="142"/>
        <w:jc w:val="both"/>
      </w:pPr>
    </w:p>
    <w:p w14:paraId="020C7B4D" w14:textId="628550A5" w:rsidR="00E57CCC" w:rsidRPr="00460856" w:rsidRDefault="00E57CCC" w:rsidP="005F400D">
      <w:pPr>
        <w:pStyle w:val="Prrafodelista"/>
        <w:numPr>
          <w:ilvl w:val="1"/>
          <w:numId w:val="1"/>
        </w:numPr>
        <w:ind w:left="851"/>
        <w:jc w:val="both"/>
        <w:rPr>
          <w:rFonts w:cs="Arial"/>
          <w:b/>
        </w:rPr>
      </w:pPr>
      <w:r w:rsidRPr="00460856">
        <w:rPr>
          <w:rFonts w:cs="Arial"/>
          <w:b/>
        </w:rPr>
        <w:t>Asistencia</w:t>
      </w:r>
    </w:p>
    <w:p w14:paraId="33E2EC73" w14:textId="77777777" w:rsidR="00E57CCC" w:rsidRPr="005A5276" w:rsidRDefault="00E57CCC" w:rsidP="00FB2062">
      <w:pPr>
        <w:ind w:left="142"/>
        <w:jc w:val="both"/>
        <w:rPr>
          <w:b/>
        </w:rPr>
      </w:pPr>
    </w:p>
    <w:p w14:paraId="26F3DA30" w14:textId="6838598D" w:rsidR="00667F44" w:rsidRPr="00667F44" w:rsidRDefault="00667F44" w:rsidP="00FB2062">
      <w:pPr>
        <w:tabs>
          <w:tab w:val="left" w:pos="1095"/>
        </w:tabs>
        <w:jc w:val="both"/>
      </w:pPr>
      <w:r w:rsidRPr="00667F44">
        <w:t>El registro de asistencia al auditorio de la Biblioteca Virgilio Barco, remitido por la Secretaría de Cultura, evidencia la participación de 107 personas, de las cuales</w:t>
      </w:r>
      <w:r w:rsidR="0069271C">
        <w:t>,</w:t>
      </w:r>
      <w:r w:rsidRPr="00667F44">
        <w:t xml:space="preserve"> </w:t>
      </w:r>
      <w:r w:rsidR="0069271C">
        <w:t xml:space="preserve">el </w:t>
      </w:r>
      <w:r w:rsidRPr="00667F44">
        <w:t>12</w:t>
      </w:r>
      <w:r w:rsidR="0069271C">
        <w:t>%</w:t>
      </w:r>
      <w:r w:rsidRPr="00667F44">
        <w:t xml:space="preserve"> forman parte </w:t>
      </w:r>
      <w:r w:rsidRPr="00667F44">
        <w:lastRenderedPageBreak/>
        <w:t xml:space="preserve">de gremios ciudadanos interesados en la oferta cultural del sector, el 88% restante lo conformaron los diferentes grupos de servidores públicos de las entidades distritales que forman parte del sector y otras de ellas que apoyaron. </w:t>
      </w:r>
    </w:p>
    <w:p w14:paraId="74061DBB" w14:textId="77777777" w:rsidR="00667F44" w:rsidRPr="00667F44" w:rsidRDefault="00667F44" w:rsidP="00FB2062">
      <w:pPr>
        <w:tabs>
          <w:tab w:val="left" w:pos="1095"/>
        </w:tabs>
        <w:jc w:val="both"/>
      </w:pPr>
    </w:p>
    <w:p w14:paraId="29AF74EA" w14:textId="77777777" w:rsidR="00667F44" w:rsidRPr="00667F44" w:rsidRDefault="00667F44" w:rsidP="00FB2062">
      <w:pPr>
        <w:tabs>
          <w:tab w:val="left" w:pos="1095"/>
        </w:tabs>
        <w:jc w:val="both"/>
      </w:pPr>
      <w:r w:rsidRPr="00667F44">
        <w:t xml:space="preserve">La transmisión de la Audiencia Pública se desarrolló con el apoyo del Canal Capital y a través de las redes sociales, así mismo se invitó a participar a los ciudadanos y ciudadanas así: #GestiónCulturaRecreaciónYDeporte2021.     </w:t>
      </w:r>
    </w:p>
    <w:p w14:paraId="4B24F0BA" w14:textId="77777777" w:rsidR="00667F44" w:rsidRPr="00667F44" w:rsidRDefault="00667F44" w:rsidP="00FB2062">
      <w:pPr>
        <w:tabs>
          <w:tab w:val="left" w:pos="1095"/>
        </w:tabs>
        <w:jc w:val="both"/>
      </w:pPr>
    </w:p>
    <w:p w14:paraId="6333E07E" w14:textId="77777777" w:rsidR="00667F44" w:rsidRPr="00667F44" w:rsidRDefault="00667F44" w:rsidP="00FB2062">
      <w:pPr>
        <w:tabs>
          <w:tab w:val="left" w:pos="1095"/>
        </w:tabs>
        <w:jc w:val="both"/>
      </w:pPr>
      <w:r w:rsidRPr="00667F44">
        <w:t xml:space="preserve">Dentro de los asistentes estuvo presente el Dr. Ramón Villamizar Maldonado, Veedor delegado para la participación y programas especiales. </w:t>
      </w:r>
    </w:p>
    <w:p w14:paraId="2929DEA9" w14:textId="59B1FEE0" w:rsidR="00E35F90" w:rsidRPr="00BD0723" w:rsidRDefault="00E57CCC" w:rsidP="00FB2062">
      <w:pPr>
        <w:ind w:left="4536" w:hanging="709"/>
        <w:jc w:val="both"/>
        <w:rPr>
          <w:b/>
        </w:rPr>
      </w:pPr>
      <w:r>
        <w:t xml:space="preserve">            </w:t>
      </w:r>
      <w:r w:rsidR="00E35F90">
        <w:rPr>
          <w:b/>
        </w:rPr>
        <w:t xml:space="preserve">                                                                                              </w:t>
      </w:r>
      <w:r w:rsidR="00E35F90">
        <w:rPr>
          <w:b/>
          <w:noProof/>
          <w:lang w:eastAsia="es-CO"/>
        </w:rPr>
        <w:drawing>
          <wp:inline distT="0" distB="0" distL="0" distR="0" wp14:anchorId="6F93C20F" wp14:editId="0B84BE43">
            <wp:extent cx="2475230" cy="1849815"/>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3164" cy="1863217"/>
                    </a:xfrm>
                    <a:prstGeom prst="rect">
                      <a:avLst/>
                    </a:prstGeom>
                    <a:noFill/>
                  </pic:spPr>
                </pic:pic>
              </a:graphicData>
            </a:graphic>
          </wp:inline>
        </w:drawing>
      </w:r>
    </w:p>
    <w:p w14:paraId="57F68A8F" w14:textId="77777777" w:rsidR="00AE383B" w:rsidRDefault="00E35F90" w:rsidP="00FB2062">
      <w:pPr>
        <w:ind w:left="426"/>
        <w:jc w:val="both"/>
      </w:pPr>
      <w:r>
        <w:rPr>
          <w:noProof/>
          <w:lang w:eastAsia="es-CO"/>
        </w:rPr>
        <w:drawing>
          <wp:inline distT="0" distB="0" distL="0" distR="0" wp14:anchorId="57C19897" wp14:editId="4EC7D2E8">
            <wp:extent cx="2419091" cy="1797441"/>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7997" cy="1804058"/>
                    </a:xfrm>
                    <a:prstGeom prst="rect">
                      <a:avLst/>
                    </a:prstGeom>
                    <a:noFill/>
                  </pic:spPr>
                </pic:pic>
              </a:graphicData>
            </a:graphic>
          </wp:inline>
        </w:drawing>
      </w:r>
      <w:r w:rsidR="00E57CCC">
        <w:t xml:space="preserve">    </w:t>
      </w:r>
    </w:p>
    <w:p w14:paraId="7F94CBD7" w14:textId="2720DCB4" w:rsidR="00E35F90" w:rsidRDefault="000E27B7" w:rsidP="00FB2062">
      <w:pPr>
        <w:jc w:val="both"/>
        <w:rPr>
          <w:i/>
          <w:sz w:val="14"/>
          <w:szCs w:val="14"/>
        </w:rPr>
      </w:pPr>
      <w:r>
        <w:rPr>
          <w:i/>
          <w:sz w:val="14"/>
          <w:szCs w:val="14"/>
        </w:rPr>
        <w:t xml:space="preserve">          </w:t>
      </w:r>
      <w:r w:rsidR="00E35F90" w:rsidRPr="00AE383B">
        <w:rPr>
          <w:i/>
          <w:sz w:val="14"/>
          <w:szCs w:val="14"/>
        </w:rPr>
        <w:t xml:space="preserve">Imagen 1 y 2 </w:t>
      </w:r>
      <w:r w:rsidR="00AE383B" w:rsidRPr="00AE383B">
        <w:rPr>
          <w:i/>
          <w:sz w:val="14"/>
          <w:szCs w:val="14"/>
        </w:rPr>
        <w:t>– Rendición de cuentas Auditorio Biblioteca Virgilio Barco</w:t>
      </w:r>
    </w:p>
    <w:p w14:paraId="32BFB08B" w14:textId="7EE4A573" w:rsidR="00FF686A" w:rsidRDefault="00FF686A" w:rsidP="00FB2062">
      <w:pPr>
        <w:jc w:val="both"/>
        <w:rPr>
          <w:i/>
          <w:sz w:val="14"/>
          <w:szCs w:val="14"/>
        </w:rPr>
      </w:pPr>
    </w:p>
    <w:p w14:paraId="24AC2EA1" w14:textId="77777777" w:rsidR="00FF686A" w:rsidRPr="00AE383B" w:rsidRDefault="00FF686A" w:rsidP="00FB2062">
      <w:pPr>
        <w:jc w:val="both"/>
        <w:rPr>
          <w:i/>
          <w:sz w:val="14"/>
          <w:szCs w:val="14"/>
        </w:rPr>
      </w:pPr>
    </w:p>
    <w:p w14:paraId="5B474C02" w14:textId="0CD0BFDA" w:rsidR="00E57CCC" w:rsidRPr="00460856" w:rsidRDefault="00E57CCC" w:rsidP="005F400D">
      <w:pPr>
        <w:pStyle w:val="Prrafodelista"/>
        <w:numPr>
          <w:ilvl w:val="1"/>
          <w:numId w:val="1"/>
        </w:numPr>
        <w:ind w:left="851"/>
        <w:jc w:val="both"/>
        <w:rPr>
          <w:rFonts w:cs="Arial"/>
          <w:b/>
        </w:rPr>
      </w:pPr>
      <w:bookmarkStart w:id="1" w:name="_Hlk91150642"/>
      <w:r w:rsidRPr="00460856">
        <w:rPr>
          <w:rFonts w:cs="Arial"/>
          <w:b/>
        </w:rPr>
        <w:t>Cierre de la Audiencia</w:t>
      </w:r>
      <w:r w:rsidR="00AE383B" w:rsidRPr="00460856">
        <w:rPr>
          <w:rFonts w:cs="Arial"/>
          <w:b/>
        </w:rPr>
        <w:t xml:space="preserve"> 3 de diciembre 2021</w:t>
      </w:r>
    </w:p>
    <w:bookmarkEnd w:id="1"/>
    <w:p w14:paraId="593BDE10" w14:textId="77777777" w:rsidR="00E57CCC" w:rsidRDefault="00E57CCC" w:rsidP="00FB2062">
      <w:pPr>
        <w:jc w:val="both"/>
        <w:rPr>
          <w:b/>
        </w:rPr>
      </w:pPr>
    </w:p>
    <w:p w14:paraId="7199A1F7" w14:textId="577C7D65" w:rsidR="00E57CCC" w:rsidRDefault="00E57CCC" w:rsidP="00FB2062">
      <w:pPr>
        <w:shd w:val="clear" w:color="auto" w:fill="FFFFFF"/>
        <w:tabs>
          <w:tab w:val="left" w:pos="1095"/>
        </w:tabs>
        <w:jc w:val="both"/>
        <w:rPr>
          <w:rFonts w:eastAsia="Arial" w:cs="Arial"/>
          <w:szCs w:val="22"/>
        </w:rPr>
      </w:pPr>
      <w:r w:rsidRPr="002247E4">
        <w:t>El</w:t>
      </w:r>
      <w:r w:rsidR="00AE383B">
        <w:t xml:space="preserve"> S</w:t>
      </w:r>
      <w:r w:rsidR="00AE383B" w:rsidRPr="002247E4">
        <w:t>ecretario</w:t>
      </w:r>
      <w:r w:rsidR="0069271C">
        <w:t xml:space="preserve"> de C</w:t>
      </w:r>
      <w:r w:rsidRPr="002247E4">
        <w:t xml:space="preserve">ultura </w:t>
      </w:r>
      <w:r>
        <w:t>agradece a su equipo de trabajo</w:t>
      </w:r>
      <w:r w:rsidRPr="002247E4">
        <w:t xml:space="preserve"> por la gestión adelantada y a la ciudadanía por su participación</w:t>
      </w:r>
      <w:r>
        <w:t>.</w:t>
      </w:r>
    </w:p>
    <w:p w14:paraId="57F1AAC6" w14:textId="438D0831" w:rsidR="004712F9" w:rsidRDefault="004712F9" w:rsidP="00FB2062">
      <w:pPr>
        <w:shd w:val="clear" w:color="auto" w:fill="FFFFFF"/>
        <w:tabs>
          <w:tab w:val="left" w:pos="1095"/>
        </w:tabs>
        <w:jc w:val="both"/>
        <w:rPr>
          <w:rFonts w:eastAsia="Arial" w:cs="Arial"/>
          <w:szCs w:val="22"/>
        </w:rPr>
      </w:pPr>
    </w:p>
    <w:p w14:paraId="4DDE7C79" w14:textId="1D4A2221" w:rsidR="00DA28B6" w:rsidRPr="00460856" w:rsidRDefault="00460856" w:rsidP="005F400D">
      <w:pPr>
        <w:pStyle w:val="Prrafodelista"/>
        <w:numPr>
          <w:ilvl w:val="1"/>
          <w:numId w:val="10"/>
        </w:numPr>
        <w:ind w:left="426"/>
        <w:jc w:val="center"/>
        <w:rPr>
          <w:rFonts w:cs="Arial"/>
          <w:b/>
        </w:rPr>
      </w:pPr>
      <w:r>
        <w:rPr>
          <w:rFonts w:cs="Arial"/>
          <w:b/>
        </w:rPr>
        <w:t xml:space="preserve">EVENTO DE </w:t>
      </w:r>
      <w:r w:rsidR="00DA28B6" w:rsidRPr="00460856">
        <w:rPr>
          <w:rFonts w:cs="Arial"/>
          <w:b/>
        </w:rPr>
        <w:t xml:space="preserve">RENDICIÓN DE CUENTAS LOCAL </w:t>
      </w:r>
    </w:p>
    <w:p w14:paraId="6AB8C806" w14:textId="77777777" w:rsidR="00DA28B6" w:rsidRDefault="00DA28B6" w:rsidP="00FB2062">
      <w:pPr>
        <w:shd w:val="clear" w:color="auto" w:fill="FFFFFF"/>
        <w:tabs>
          <w:tab w:val="left" w:pos="1095"/>
        </w:tabs>
        <w:jc w:val="both"/>
        <w:rPr>
          <w:rFonts w:eastAsia="Arial" w:cs="Arial"/>
          <w:szCs w:val="22"/>
        </w:rPr>
      </w:pPr>
    </w:p>
    <w:p w14:paraId="54E6643C" w14:textId="11BF2512" w:rsidR="00FD1831" w:rsidRPr="00FD1831" w:rsidRDefault="0044600D" w:rsidP="00FB2062">
      <w:pPr>
        <w:shd w:val="clear" w:color="auto" w:fill="FFFFFF"/>
        <w:tabs>
          <w:tab w:val="left" w:pos="1095"/>
        </w:tabs>
        <w:jc w:val="both"/>
        <w:rPr>
          <w:rFonts w:eastAsia="Arial" w:cs="Arial"/>
          <w:szCs w:val="22"/>
        </w:rPr>
      </w:pPr>
      <w:r>
        <w:rPr>
          <w:rFonts w:eastAsia="Arial" w:cs="Arial"/>
          <w:szCs w:val="22"/>
        </w:rPr>
        <w:t xml:space="preserve">De otra </w:t>
      </w:r>
      <w:r w:rsidR="00EB0DCE">
        <w:rPr>
          <w:rFonts w:eastAsia="Arial" w:cs="Arial"/>
          <w:szCs w:val="22"/>
        </w:rPr>
        <w:t>parte,</w:t>
      </w:r>
      <w:r>
        <w:rPr>
          <w:rFonts w:eastAsia="Arial" w:cs="Arial"/>
          <w:szCs w:val="22"/>
        </w:rPr>
        <w:t xml:space="preserve"> se evidenció que en </w:t>
      </w:r>
      <w:r w:rsidR="0045722A">
        <w:rPr>
          <w:rFonts w:eastAsia="Arial" w:cs="Arial"/>
          <w:szCs w:val="22"/>
        </w:rPr>
        <w:t>el marco del ejercicio de rendición de cuentas</w:t>
      </w:r>
      <w:r>
        <w:rPr>
          <w:rFonts w:eastAsia="Arial" w:cs="Arial"/>
          <w:szCs w:val="22"/>
        </w:rPr>
        <w:t xml:space="preserve"> </w:t>
      </w:r>
      <w:r w:rsidR="00FD1831" w:rsidRPr="00830B12">
        <w:rPr>
          <w:rFonts w:cs="Arial"/>
          <w:szCs w:val="22"/>
        </w:rPr>
        <w:t xml:space="preserve">y diálogo bidireccional, </w:t>
      </w:r>
      <w:r w:rsidR="00EF7607">
        <w:rPr>
          <w:rFonts w:eastAsia="Arial" w:cs="Arial"/>
          <w:szCs w:val="22"/>
        </w:rPr>
        <w:t>el I</w:t>
      </w:r>
      <w:r>
        <w:rPr>
          <w:rFonts w:eastAsia="Arial" w:cs="Arial"/>
          <w:szCs w:val="22"/>
        </w:rPr>
        <w:t>nstituto Distrital de Patrimonio y Cultura - I</w:t>
      </w:r>
      <w:r w:rsidR="00EF7607">
        <w:rPr>
          <w:rFonts w:eastAsia="Arial" w:cs="Arial"/>
          <w:szCs w:val="22"/>
        </w:rPr>
        <w:t>DPC</w:t>
      </w:r>
      <w:r w:rsidR="00D379BE">
        <w:rPr>
          <w:rFonts w:eastAsia="Arial" w:cs="Arial"/>
          <w:szCs w:val="22"/>
        </w:rPr>
        <w:t xml:space="preserve"> desarrolló</w:t>
      </w:r>
      <w:r>
        <w:rPr>
          <w:rFonts w:eastAsia="Arial" w:cs="Arial"/>
          <w:szCs w:val="22"/>
        </w:rPr>
        <w:t xml:space="preserve"> una acti</w:t>
      </w:r>
      <w:r w:rsidR="00D379BE">
        <w:rPr>
          <w:rFonts w:eastAsia="Arial" w:cs="Arial"/>
          <w:szCs w:val="22"/>
        </w:rPr>
        <w:t>vidad denominada mesa de diálogo</w:t>
      </w:r>
      <w:r>
        <w:rPr>
          <w:rFonts w:eastAsia="Arial" w:cs="Arial"/>
          <w:szCs w:val="22"/>
        </w:rPr>
        <w:t xml:space="preserve"> ciudadano en la localidad de Bosa el día 2 de diciembre 2021</w:t>
      </w:r>
      <w:r w:rsidR="00FD1831">
        <w:rPr>
          <w:rFonts w:eastAsia="Arial" w:cs="Arial"/>
          <w:szCs w:val="22"/>
        </w:rPr>
        <w:t xml:space="preserve">, </w:t>
      </w:r>
      <w:r w:rsidR="00FD1831" w:rsidRPr="00830B12">
        <w:rPr>
          <w:rFonts w:cs="Arial"/>
          <w:szCs w:val="22"/>
        </w:rPr>
        <w:t xml:space="preserve">actividad desarrollada en el </w:t>
      </w:r>
      <w:r w:rsidR="00FD1831" w:rsidRPr="00830B12">
        <w:rPr>
          <w:rFonts w:cs="Arial"/>
          <w:color w:val="222222"/>
          <w:szCs w:val="22"/>
          <w:shd w:val="clear" w:color="auto" w:fill="FFFFFF"/>
        </w:rPr>
        <w:t xml:space="preserve">Colegio Francisco de Paula Santander (Plaza Fundacional), que </w:t>
      </w:r>
      <w:r w:rsidR="00FD1831" w:rsidRPr="00830B12">
        <w:rPr>
          <w:rFonts w:cs="Arial"/>
          <w:szCs w:val="22"/>
        </w:rPr>
        <w:t xml:space="preserve">tuvo como finalidad establecer el diálogo en doble vía con </w:t>
      </w:r>
      <w:r w:rsidR="00FD1831">
        <w:rPr>
          <w:rFonts w:cs="Arial"/>
          <w:szCs w:val="22"/>
        </w:rPr>
        <w:t>la ciudadanía que participó</w:t>
      </w:r>
      <w:r w:rsidR="00FD1831" w:rsidRPr="00830B12">
        <w:rPr>
          <w:rFonts w:cs="Arial"/>
          <w:szCs w:val="22"/>
        </w:rPr>
        <w:t xml:space="preserve"> en las jornadas donde se están desarrollando actividades que contribuyen a retroalimentar </w:t>
      </w:r>
      <w:r w:rsidR="00FD1831" w:rsidRPr="00830B12">
        <w:rPr>
          <w:rFonts w:cs="Arial"/>
          <w:szCs w:val="22"/>
        </w:rPr>
        <w:lastRenderedPageBreak/>
        <w:t xml:space="preserve">el </w:t>
      </w:r>
      <w:r w:rsidR="00FD1831">
        <w:rPr>
          <w:rFonts w:cs="Arial"/>
          <w:szCs w:val="22"/>
        </w:rPr>
        <w:t>avance</w:t>
      </w:r>
      <w:r w:rsidR="00FD1831" w:rsidRPr="00830B12">
        <w:rPr>
          <w:rFonts w:cs="Arial"/>
          <w:szCs w:val="22"/>
        </w:rPr>
        <w:t xml:space="preserve"> de la gestión e identificar acciones de mejora, retos y potencialidades en relación al trabajo sobre la importancia de la integralidad del patrimonio en este territorio.</w:t>
      </w:r>
    </w:p>
    <w:p w14:paraId="25A038D3" w14:textId="77777777" w:rsidR="00FD1831" w:rsidRPr="00830B12" w:rsidRDefault="00FD1831" w:rsidP="00FB2062">
      <w:pPr>
        <w:jc w:val="both"/>
        <w:rPr>
          <w:rFonts w:cs="Arial"/>
          <w:szCs w:val="22"/>
        </w:rPr>
      </w:pPr>
    </w:p>
    <w:p w14:paraId="52BD612A" w14:textId="3B6CA955" w:rsidR="00A4095B" w:rsidRPr="00AE2628" w:rsidRDefault="00A4095B" w:rsidP="005F400D">
      <w:pPr>
        <w:pStyle w:val="Prrafodelista"/>
        <w:numPr>
          <w:ilvl w:val="0"/>
          <w:numId w:val="11"/>
        </w:numPr>
        <w:ind w:left="851"/>
        <w:jc w:val="both"/>
        <w:rPr>
          <w:rFonts w:cs="Arial"/>
          <w:b/>
        </w:rPr>
      </w:pPr>
      <w:bookmarkStart w:id="2" w:name="_Hlk91086333"/>
      <w:r w:rsidRPr="00AE2628">
        <w:rPr>
          <w:rFonts w:cs="Arial"/>
          <w:b/>
        </w:rPr>
        <w:t xml:space="preserve">Convocatoria y divulgación </w:t>
      </w:r>
    </w:p>
    <w:bookmarkEnd w:id="2"/>
    <w:p w14:paraId="46456C10" w14:textId="77777777" w:rsidR="00A4095B" w:rsidRPr="009B3B58" w:rsidRDefault="00A4095B" w:rsidP="00FB2062">
      <w:pPr>
        <w:jc w:val="both"/>
        <w:rPr>
          <w:rFonts w:cs="Arial"/>
        </w:rPr>
      </w:pPr>
    </w:p>
    <w:p w14:paraId="4D789D86" w14:textId="19989A3B" w:rsidR="005604CC" w:rsidRPr="00E73953" w:rsidRDefault="005604CC" w:rsidP="00FB2062">
      <w:pPr>
        <w:tabs>
          <w:tab w:val="left" w:pos="284"/>
        </w:tabs>
        <w:jc w:val="both"/>
        <w:rPr>
          <w:rFonts w:cs="Arial"/>
          <w:szCs w:val="22"/>
        </w:rPr>
      </w:pPr>
      <w:r w:rsidRPr="00E73953">
        <w:rPr>
          <w:rFonts w:cs="Arial"/>
          <w:szCs w:val="22"/>
        </w:rPr>
        <w:t>Se realizaron reuniones internas para la articulación de las actividades y responsabilidades para lograr la ejecución del evento, una con la Alta Dirección mediante la cual se tomó la decisión y se determinó que la fecha del evento sería el 2 diciembre de 2021, así mismo en reuniones articuladas con el equipo de comunicaciones y el equipo de la Oficina Asesora de Planeación se determinaron las responsabilidades de</w:t>
      </w:r>
      <w:r>
        <w:rPr>
          <w:rFonts w:cs="Arial"/>
          <w:szCs w:val="22"/>
        </w:rPr>
        <w:t xml:space="preserve"> </w:t>
      </w:r>
      <w:r w:rsidRPr="00E73953">
        <w:rPr>
          <w:rFonts w:cs="Arial"/>
          <w:szCs w:val="22"/>
        </w:rPr>
        <w:t xml:space="preserve">cada una de las actividades requeridas para el desarrollo del evento. </w:t>
      </w:r>
    </w:p>
    <w:p w14:paraId="273FEF21" w14:textId="77777777" w:rsidR="005604CC" w:rsidRPr="00E73953" w:rsidRDefault="005604CC" w:rsidP="00FB2062">
      <w:pPr>
        <w:tabs>
          <w:tab w:val="left" w:pos="284"/>
        </w:tabs>
        <w:jc w:val="both"/>
        <w:rPr>
          <w:rFonts w:cs="Arial"/>
          <w:szCs w:val="22"/>
        </w:rPr>
      </w:pPr>
    </w:p>
    <w:p w14:paraId="5AC58979" w14:textId="77777777" w:rsidR="005604CC" w:rsidRPr="00E73953" w:rsidRDefault="005604CC" w:rsidP="00FB2062">
      <w:pPr>
        <w:tabs>
          <w:tab w:val="left" w:pos="284"/>
        </w:tabs>
        <w:jc w:val="both"/>
        <w:rPr>
          <w:rFonts w:cs="Arial"/>
          <w:szCs w:val="22"/>
        </w:rPr>
      </w:pPr>
      <w:r w:rsidRPr="00E73953">
        <w:rPr>
          <w:rFonts w:cs="Arial"/>
          <w:szCs w:val="22"/>
        </w:rPr>
        <w:t xml:space="preserve">En tal sentido, se diseñó la pieza de divulgación donde se invita a la comunidad a la rendición de cuentas de Bosa y espacio de diálogo ciudadano. </w:t>
      </w:r>
    </w:p>
    <w:p w14:paraId="6737C18B" w14:textId="77777777" w:rsidR="005604CC" w:rsidRDefault="005604CC" w:rsidP="00FB2062">
      <w:pPr>
        <w:tabs>
          <w:tab w:val="left" w:pos="284"/>
        </w:tabs>
        <w:jc w:val="both"/>
        <w:rPr>
          <w:rFonts w:cs="Arial"/>
          <w:szCs w:val="22"/>
        </w:rPr>
      </w:pPr>
    </w:p>
    <w:p w14:paraId="6108E27C" w14:textId="77410F3B" w:rsidR="005604CC" w:rsidRDefault="005604CC" w:rsidP="00FB2062">
      <w:pPr>
        <w:tabs>
          <w:tab w:val="left" w:pos="284"/>
        </w:tabs>
        <w:jc w:val="center"/>
        <w:rPr>
          <w:rFonts w:cs="Arial"/>
          <w:szCs w:val="22"/>
        </w:rPr>
      </w:pPr>
      <w:r>
        <w:rPr>
          <w:rFonts w:cs="Arial"/>
          <w:noProof/>
          <w:szCs w:val="22"/>
          <w:lang w:eastAsia="es-CO"/>
        </w:rPr>
        <w:drawing>
          <wp:inline distT="0" distB="0" distL="0" distR="0" wp14:anchorId="763795BE" wp14:editId="75637F1A">
            <wp:extent cx="2870200" cy="2762759"/>
            <wp:effectExtent l="0" t="0" r="6350" b="0"/>
            <wp:docPr id="4" name="Imagen 4" descr="Pieza de Divulgación a la invi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za de Divulgación a la invitació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8308" cy="2770563"/>
                    </a:xfrm>
                    <a:prstGeom prst="rect">
                      <a:avLst/>
                    </a:prstGeom>
                    <a:noFill/>
                    <a:ln>
                      <a:noFill/>
                    </a:ln>
                  </pic:spPr>
                </pic:pic>
              </a:graphicData>
            </a:graphic>
          </wp:inline>
        </w:drawing>
      </w:r>
    </w:p>
    <w:p w14:paraId="2CE5ABF4" w14:textId="3998D0D5" w:rsidR="005604CC" w:rsidRPr="00551789" w:rsidRDefault="00551789" w:rsidP="00FB2062">
      <w:pPr>
        <w:tabs>
          <w:tab w:val="left" w:pos="284"/>
        </w:tabs>
        <w:jc w:val="both"/>
        <w:rPr>
          <w:rFonts w:cs="Arial"/>
          <w:i/>
          <w:sz w:val="14"/>
          <w:szCs w:val="14"/>
        </w:rPr>
      </w:pPr>
      <w:r>
        <w:rPr>
          <w:rFonts w:cs="Arial"/>
          <w:szCs w:val="22"/>
        </w:rPr>
        <w:tab/>
      </w:r>
      <w:r>
        <w:rPr>
          <w:rFonts w:cs="Arial"/>
          <w:szCs w:val="22"/>
        </w:rPr>
        <w:tab/>
      </w:r>
      <w:r>
        <w:rPr>
          <w:rFonts w:cs="Arial"/>
          <w:szCs w:val="22"/>
        </w:rPr>
        <w:tab/>
      </w:r>
      <w:r>
        <w:rPr>
          <w:rFonts w:cs="Arial"/>
          <w:szCs w:val="22"/>
        </w:rPr>
        <w:tab/>
        <w:t xml:space="preserve">    </w:t>
      </w:r>
      <w:r w:rsidRPr="00551789">
        <w:rPr>
          <w:rFonts w:cs="Arial"/>
          <w:i/>
          <w:sz w:val="14"/>
          <w:szCs w:val="14"/>
        </w:rPr>
        <w:t xml:space="preserve">Pieza </w:t>
      </w:r>
      <w:r w:rsidR="003F6E7F" w:rsidRPr="00551789">
        <w:rPr>
          <w:rFonts w:cs="Arial"/>
          <w:i/>
          <w:sz w:val="14"/>
          <w:szCs w:val="14"/>
        </w:rPr>
        <w:t xml:space="preserve">comunicativa </w:t>
      </w:r>
      <w:r w:rsidR="003F6E7F">
        <w:rPr>
          <w:rFonts w:cs="Arial"/>
          <w:i/>
          <w:sz w:val="14"/>
          <w:szCs w:val="14"/>
        </w:rPr>
        <w:t>-</w:t>
      </w:r>
      <w:r w:rsidRPr="00551789">
        <w:rPr>
          <w:rFonts w:cs="Arial"/>
          <w:i/>
          <w:sz w:val="14"/>
          <w:szCs w:val="14"/>
        </w:rPr>
        <w:t xml:space="preserve">IDPC </w:t>
      </w:r>
    </w:p>
    <w:p w14:paraId="6208B8CE" w14:textId="77777777" w:rsidR="00551789" w:rsidRPr="00551789" w:rsidRDefault="00551789" w:rsidP="00FB2062">
      <w:pPr>
        <w:tabs>
          <w:tab w:val="left" w:pos="284"/>
        </w:tabs>
        <w:jc w:val="both"/>
        <w:rPr>
          <w:rFonts w:cs="Arial"/>
          <w:i/>
          <w:sz w:val="14"/>
          <w:szCs w:val="14"/>
        </w:rPr>
      </w:pPr>
    </w:p>
    <w:p w14:paraId="0037A46D" w14:textId="77777777" w:rsidR="00551789" w:rsidRDefault="00551789" w:rsidP="00FB2062">
      <w:pPr>
        <w:tabs>
          <w:tab w:val="left" w:pos="284"/>
        </w:tabs>
        <w:jc w:val="both"/>
        <w:rPr>
          <w:rFonts w:cs="Arial"/>
          <w:szCs w:val="22"/>
        </w:rPr>
      </w:pPr>
    </w:p>
    <w:p w14:paraId="696F2F4F" w14:textId="77777777" w:rsidR="00DA28B6" w:rsidRDefault="005604CC" w:rsidP="00FB2062">
      <w:pPr>
        <w:tabs>
          <w:tab w:val="left" w:pos="284"/>
        </w:tabs>
        <w:jc w:val="both"/>
        <w:rPr>
          <w:rFonts w:cs="Arial"/>
          <w:color w:val="222222"/>
          <w:szCs w:val="22"/>
          <w:shd w:val="clear" w:color="auto" w:fill="FFFFFF"/>
        </w:rPr>
      </w:pPr>
      <w:r>
        <w:rPr>
          <w:rFonts w:cs="Arial"/>
          <w:szCs w:val="22"/>
        </w:rPr>
        <w:t xml:space="preserve">Así mismo se utilizó la base de datos de la caracterización de usuarios, ciudadanía y grupos de interés para convocar a la ciudadanía de Bosa que ha participado en el desarrollo de los ejercicios en </w:t>
      </w:r>
      <w:r w:rsidRPr="00830B12">
        <w:rPr>
          <w:rFonts w:cs="Arial"/>
          <w:color w:val="222222"/>
          <w:szCs w:val="22"/>
          <w:shd w:val="clear" w:color="auto" w:fill="FFFFFF"/>
        </w:rPr>
        <w:t>perspectiva de integralidad y de reconocimiento de su patrimonio local</w:t>
      </w:r>
      <w:r>
        <w:rPr>
          <w:rFonts w:cs="Arial"/>
          <w:color w:val="222222"/>
          <w:szCs w:val="22"/>
          <w:shd w:val="clear" w:color="auto" w:fill="FFFFFF"/>
        </w:rPr>
        <w:t xml:space="preserve">. </w:t>
      </w:r>
    </w:p>
    <w:p w14:paraId="6CFDE2ED" w14:textId="77777777" w:rsidR="00D379BE" w:rsidRDefault="00D379BE" w:rsidP="00FB2062">
      <w:pPr>
        <w:tabs>
          <w:tab w:val="left" w:pos="284"/>
        </w:tabs>
        <w:jc w:val="both"/>
        <w:rPr>
          <w:rFonts w:cs="Arial"/>
          <w:color w:val="222222"/>
          <w:szCs w:val="22"/>
          <w:shd w:val="clear" w:color="auto" w:fill="FFFFFF"/>
        </w:rPr>
      </w:pPr>
    </w:p>
    <w:p w14:paraId="0202819E" w14:textId="6976C88E" w:rsidR="005604CC" w:rsidRDefault="005604CC" w:rsidP="00FB2062">
      <w:pPr>
        <w:tabs>
          <w:tab w:val="left" w:pos="284"/>
        </w:tabs>
        <w:jc w:val="both"/>
        <w:rPr>
          <w:rFonts w:cs="Arial"/>
          <w:color w:val="222222"/>
          <w:szCs w:val="22"/>
          <w:shd w:val="clear" w:color="auto" w:fill="FFFFFF"/>
        </w:rPr>
      </w:pPr>
      <w:r>
        <w:rPr>
          <w:rFonts w:cs="Arial"/>
          <w:color w:val="222222"/>
          <w:szCs w:val="22"/>
          <w:shd w:val="clear" w:color="auto" w:fill="FFFFFF"/>
        </w:rPr>
        <w:t xml:space="preserve">Se convocó a la ciudadanía a través del boletín “Somos Patrimonio” y se invitó al diligenciamiento de la encuesta. </w:t>
      </w:r>
    </w:p>
    <w:p w14:paraId="353332F0" w14:textId="77777777" w:rsidR="005604CC" w:rsidRDefault="005604CC" w:rsidP="00FB2062">
      <w:pPr>
        <w:tabs>
          <w:tab w:val="left" w:pos="284"/>
        </w:tabs>
        <w:jc w:val="both"/>
        <w:rPr>
          <w:rFonts w:cs="Arial"/>
          <w:color w:val="222222"/>
          <w:szCs w:val="22"/>
          <w:shd w:val="clear" w:color="auto" w:fill="FFFFFF"/>
        </w:rPr>
      </w:pPr>
    </w:p>
    <w:p w14:paraId="0835DEEF" w14:textId="7D89660F" w:rsidR="005604CC" w:rsidRDefault="005604CC" w:rsidP="00FB2062">
      <w:pPr>
        <w:tabs>
          <w:tab w:val="left" w:pos="284"/>
        </w:tabs>
        <w:jc w:val="both"/>
        <w:rPr>
          <w:rFonts w:cs="Arial"/>
          <w:color w:val="222222"/>
          <w:szCs w:val="22"/>
          <w:shd w:val="clear" w:color="auto" w:fill="FFFFFF"/>
        </w:rPr>
      </w:pPr>
      <w:r>
        <w:rPr>
          <w:rFonts w:cs="Arial"/>
          <w:color w:val="222222"/>
          <w:szCs w:val="22"/>
          <w:shd w:val="clear" w:color="auto" w:fill="FFFFFF"/>
        </w:rPr>
        <w:t>La lista programada para la convocatoria de participantes, se estructuró  tomando</w:t>
      </w:r>
      <w:r w:rsidR="00F354AE">
        <w:rPr>
          <w:rFonts w:cs="Arial"/>
          <w:color w:val="222222"/>
          <w:szCs w:val="22"/>
          <w:shd w:val="clear" w:color="auto" w:fill="FFFFFF"/>
        </w:rPr>
        <w:t xml:space="preserve"> una muestra representativa de</w:t>
      </w:r>
      <w:r>
        <w:rPr>
          <w:rFonts w:cs="Arial"/>
          <w:color w:val="222222"/>
          <w:szCs w:val="22"/>
          <w:shd w:val="clear" w:color="auto" w:fill="FFFFFF"/>
        </w:rPr>
        <w:t xml:space="preserve"> 36 ciudadanos que forman parte de los diferentes procesos, de los cuales confirmaron asistencia a la rendición de cuentas 21 personas y finalmente asistieron 13 ciudadanos</w:t>
      </w:r>
      <w:r w:rsidR="0060242E">
        <w:rPr>
          <w:rFonts w:cs="Arial"/>
          <w:color w:val="222222"/>
          <w:szCs w:val="22"/>
          <w:shd w:val="clear" w:color="auto" w:fill="FFFFFF"/>
        </w:rPr>
        <w:t xml:space="preserve"> </w:t>
      </w:r>
      <w:r>
        <w:rPr>
          <w:rFonts w:cs="Arial"/>
          <w:color w:val="222222"/>
          <w:szCs w:val="22"/>
          <w:shd w:val="clear" w:color="auto" w:fill="FFFFFF"/>
        </w:rPr>
        <w:t xml:space="preserve"> </w:t>
      </w:r>
      <w:r w:rsidR="0060242E" w:rsidRPr="00DB7376">
        <w:rPr>
          <w:rFonts w:cs="Arial"/>
          <w:szCs w:val="22"/>
        </w:rPr>
        <w:t>(7 hombres y 6 mujeres)</w:t>
      </w:r>
      <w:r w:rsidR="0060242E">
        <w:rPr>
          <w:rFonts w:cs="Arial"/>
          <w:szCs w:val="22"/>
        </w:rPr>
        <w:t xml:space="preserve">, </w:t>
      </w:r>
      <w:r>
        <w:rPr>
          <w:rFonts w:cs="Arial"/>
          <w:color w:val="222222"/>
          <w:szCs w:val="22"/>
          <w:shd w:val="clear" w:color="auto" w:fill="FFFFFF"/>
        </w:rPr>
        <w:t xml:space="preserve">que integraron los diferentes programas y/o procesos misionales como: activación de entornos patrimoniales, patrimonios barriales, intervención del monumento Alameda, elaboración de inventarios del patrimonio cultural, Consejos Locales de Arte, Cultura y Patrimonio CLAP, entre otros. </w:t>
      </w:r>
    </w:p>
    <w:p w14:paraId="213A1292" w14:textId="4BE71E97" w:rsidR="0060242E" w:rsidRDefault="0060242E" w:rsidP="00FB2062">
      <w:pPr>
        <w:tabs>
          <w:tab w:val="left" w:pos="284"/>
        </w:tabs>
        <w:jc w:val="both"/>
        <w:rPr>
          <w:rFonts w:cs="Arial"/>
          <w:szCs w:val="22"/>
        </w:rPr>
      </w:pPr>
    </w:p>
    <w:p w14:paraId="7C8D5F7E" w14:textId="0EEEAF68" w:rsidR="0060242E" w:rsidRDefault="0060242E" w:rsidP="00FB2062">
      <w:pPr>
        <w:tabs>
          <w:tab w:val="left" w:pos="284"/>
        </w:tabs>
        <w:jc w:val="both"/>
        <w:rPr>
          <w:rFonts w:cs="Arial"/>
          <w:szCs w:val="22"/>
        </w:rPr>
      </w:pPr>
      <w:r w:rsidRPr="00DB7376">
        <w:rPr>
          <w:rFonts w:cs="Arial"/>
          <w:szCs w:val="22"/>
        </w:rPr>
        <w:lastRenderedPageBreak/>
        <w:t>En representación del equipo del IDPC, asistieron 15 personas que forman parte de la Dirección General, Subdirección de Gestión Territorial del Patrimonio, Subdirección de Divulgación y Apropiación del Patrimonio – equipo de comunicaciones; Subdirección de Protección e Intervención del Patrimonio – equipo de intervención de fachadas en espacio público</w:t>
      </w:r>
      <w:r>
        <w:rPr>
          <w:rFonts w:cs="Arial"/>
          <w:szCs w:val="22"/>
        </w:rPr>
        <w:t xml:space="preserve">, </w:t>
      </w:r>
      <w:r w:rsidRPr="00DB7376">
        <w:rPr>
          <w:rFonts w:cs="Arial"/>
          <w:szCs w:val="22"/>
        </w:rPr>
        <w:t>Oficina Asesora de Planeación</w:t>
      </w:r>
      <w:r>
        <w:rPr>
          <w:rFonts w:cs="Arial"/>
          <w:szCs w:val="22"/>
        </w:rPr>
        <w:t xml:space="preserve"> y Control Interno.</w:t>
      </w:r>
    </w:p>
    <w:p w14:paraId="26C32C9F" w14:textId="77777777" w:rsidR="007E4F3C" w:rsidRDefault="007E4F3C" w:rsidP="00FB2062">
      <w:pPr>
        <w:tabs>
          <w:tab w:val="left" w:pos="284"/>
        </w:tabs>
        <w:jc w:val="both"/>
        <w:rPr>
          <w:rFonts w:cs="Arial"/>
          <w:szCs w:val="22"/>
        </w:rPr>
      </w:pPr>
    </w:p>
    <w:p w14:paraId="61E6837A" w14:textId="454EC128" w:rsidR="007E4F3C" w:rsidRDefault="007E4F3C" w:rsidP="00FB2062">
      <w:pPr>
        <w:tabs>
          <w:tab w:val="left" w:pos="284"/>
        </w:tabs>
        <w:ind w:left="1843"/>
        <w:jc w:val="both"/>
        <w:rPr>
          <w:rFonts w:cs="Arial"/>
          <w:szCs w:val="22"/>
        </w:rPr>
      </w:pPr>
      <w:r>
        <w:rPr>
          <w:rFonts w:cs="Arial"/>
          <w:noProof/>
          <w:szCs w:val="22"/>
          <w:lang w:eastAsia="es-CO"/>
        </w:rPr>
        <w:drawing>
          <wp:inline distT="0" distB="0" distL="0" distR="0" wp14:anchorId="40F8ABFC" wp14:editId="7E46CCD4">
            <wp:extent cx="3421363" cy="1925073"/>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970" cy="1929916"/>
                    </a:xfrm>
                    <a:prstGeom prst="rect">
                      <a:avLst/>
                    </a:prstGeom>
                    <a:noFill/>
                  </pic:spPr>
                </pic:pic>
              </a:graphicData>
            </a:graphic>
          </wp:inline>
        </w:drawing>
      </w:r>
    </w:p>
    <w:p w14:paraId="601934EF" w14:textId="74FE8982" w:rsidR="007E4F3C" w:rsidRPr="00770519" w:rsidRDefault="00906BAC" w:rsidP="00FB2062">
      <w:pPr>
        <w:tabs>
          <w:tab w:val="left" w:pos="284"/>
        </w:tabs>
        <w:jc w:val="both"/>
        <w:rPr>
          <w:rFonts w:cs="Arial"/>
          <w:i/>
          <w:sz w:val="14"/>
          <w:szCs w:val="14"/>
        </w:rPr>
      </w:pPr>
      <w:r>
        <w:rPr>
          <w:rFonts w:cs="Arial"/>
          <w:szCs w:val="22"/>
        </w:rPr>
        <w:tab/>
      </w:r>
      <w:r>
        <w:rPr>
          <w:rFonts w:cs="Arial"/>
          <w:szCs w:val="22"/>
        </w:rPr>
        <w:tab/>
      </w:r>
      <w:r>
        <w:rPr>
          <w:rFonts w:cs="Arial"/>
          <w:szCs w:val="22"/>
        </w:rPr>
        <w:tab/>
      </w:r>
      <w:r w:rsidR="00770519">
        <w:rPr>
          <w:rFonts w:cs="Arial"/>
          <w:szCs w:val="22"/>
        </w:rPr>
        <w:t xml:space="preserve">       </w:t>
      </w:r>
      <w:r w:rsidR="00770519" w:rsidRPr="00770519">
        <w:rPr>
          <w:rFonts w:cs="Arial"/>
          <w:i/>
          <w:sz w:val="14"/>
          <w:szCs w:val="14"/>
        </w:rPr>
        <w:t>Registro fotográfico - IDPC</w:t>
      </w:r>
    </w:p>
    <w:p w14:paraId="3D5E1CA9" w14:textId="5E7E5064" w:rsidR="009B2E69" w:rsidRDefault="009B2E69" w:rsidP="00FB2062">
      <w:pPr>
        <w:tabs>
          <w:tab w:val="left" w:pos="284"/>
        </w:tabs>
        <w:jc w:val="both"/>
        <w:rPr>
          <w:rFonts w:cs="Arial"/>
          <w:color w:val="222222"/>
          <w:szCs w:val="22"/>
          <w:shd w:val="clear" w:color="auto" w:fill="FFFFFF"/>
        </w:rPr>
      </w:pPr>
    </w:p>
    <w:p w14:paraId="1C9DFB9F" w14:textId="17FC30E7" w:rsidR="00104B84" w:rsidRPr="00460856" w:rsidRDefault="00104B84" w:rsidP="005F400D">
      <w:pPr>
        <w:pStyle w:val="Prrafodelista"/>
        <w:numPr>
          <w:ilvl w:val="0"/>
          <w:numId w:val="11"/>
        </w:numPr>
        <w:ind w:left="851"/>
        <w:jc w:val="both"/>
        <w:rPr>
          <w:rFonts w:cs="Arial"/>
          <w:b/>
        </w:rPr>
      </w:pPr>
      <w:r w:rsidRPr="00460856">
        <w:rPr>
          <w:rFonts w:cs="Arial"/>
          <w:b/>
        </w:rPr>
        <w:t xml:space="preserve">Fase preparatoria del espacio de diálogo y rendición de cuentas con la comunidad de Bosa </w:t>
      </w:r>
    </w:p>
    <w:p w14:paraId="73CAC046" w14:textId="77777777" w:rsidR="00104B84" w:rsidRPr="00460856" w:rsidRDefault="00104B84" w:rsidP="00460856">
      <w:pPr>
        <w:pStyle w:val="Prrafodelista"/>
        <w:ind w:left="851"/>
        <w:jc w:val="both"/>
        <w:rPr>
          <w:rFonts w:cs="Arial"/>
          <w:b/>
        </w:rPr>
      </w:pPr>
    </w:p>
    <w:p w14:paraId="443F4281" w14:textId="4F03E552" w:rsidR="00104B84" w:rsidRPr="00E73953" w:rsidRDefault="00104B84" w:rsidP="00FB2062">
      <w:pPr>
        <w:jc w:val="both"/>
        <w:rPr>
          <w:rFonts w:cs="Arial"/>
          <w:szCs w:val="22"/>
        </w:rPr>
      </w:pPr>
      <w:r w:rsidRPr="00E73953">
        <w:rPr>
          <w:rFonts w:cs="Arial"/>
          <w:szCs w:val="22"/>
        </w:rPr>
        <w:t>El Instituto elaboró el informe resumen con la información necesaria que se consideró importante y que contiene los avances cualitativos y cuantitativos de la intervención del IDPC en la localidad de Bosa en lo corrido de vigencia</w:t>
      </w:r>
      <w:r>
        <w:rPr>
          <w:rFonts w:cs="Arial"/>
          <w:szCs w:val="22"/>
        </w:rPr>
        <w:t xml:space="preserve"> 2021</w:t>
      </w:r>
      <w:r w:rsidRPr="00E73953">
        <w:rPr>
          <w:rFonts w:cs="Arial"/>
          <w:szCs w:val="22"/>
        </w:rPr>
        <w:t>, correspondientes a los siguientes procesos:</w:t>
      </w:r>
    </w:p>
    <w:p w14:paraId="49E7191E" w14:textId="77777777" w:rsidR="00104B84" w:rsidRPr="00E73953" w:rsidRDefault="00104B84" w:rsidP="00FB2062">
      <w:pPr>
        <w:jc w:val="both"/>
        <w:rPr>
          <w:rFonts w:cs="Arial"/>
          <w:szCs w:val="22"/>
        </w:rPr>
      </w:pPr>
      <w:r w:rsidRPr="00E73953">
        <w:rPr>
          <w:rFonts w:cs="Arial"/>
          <w:szCs w:val="22"/>
        </w:rPr>
        <w:t xml:space="preserve"> </w:t>
      </w:r>
    </w:p>
    <w:p w14:paraId="41BB6DF6" w14:textId="77777777" w:rsidR="00104B84" w:rsidRPr="00E73953" w:rsidRDefault="00104B84" w:rsidP="005F400D">
      <w:pPr>
        <w:numPr>
          <w:ilvl w:val="0"/>
          <w:numId w:val="9"/>
        </w:numPr>
        <w:pBdr>
          <w:top w:val="nil"/>
          <w:left w:val="nil"/>
          <w:bottom w:val="nil"/>
          <w:right w:val="nil"/>
          <w:between w:val="nil"/>
        </w:pBdr>
        <w:jc w:val="both"/>
        <w:rPr>
          <w:rFonts w:cs="Arial"/>
          <w:szCs w:val="22"/>
        </w:rPr>
      </w:pPr>
      <w:r w:rsidRPr="00E73953">
        <w:rPr>
          <w:rFonts w:cs="Arial"/>
          <w:color w:val="000000"/>
          <w:szCs w:val="22"/>
        </w:rPr>
        <w:t xml:space="preserve">Activación de </w:t>
      </w:r>
      <w:r w:rsidRPr="00E73953">
        <w:rPr>
          <w:rFonts w:cs="Arial"/>
          <w:szCs w:val="22"/>
        </w:rPr>
        <w:t>e</w:t>
      </w:r>
      <w:r w:rsidRPr="00E73953">
        <w:rPr>
          <w:rFonts w:cs="Arial"/>
          <w:color w:val="000000"/>
          <w:szCs w:val="22"/>
        </w:rPr>
        <w:t xml:space="preserve">ntornos patrimoniales </w:t>
      </w:r>
    </w:p>
    <w:p w14:paraId="4E765CF2" w14:textId="77777777" w:rsidR="00104B84" w:rsidRPr="00E73953" w:rsidRDefault="00104B84" w:rsidP="005F400D">
      <w:pPr>
        <w:numPr>
          <w:ilvl w:val="0"/>
          <w:numId w:val="9"/>
        </w:numPr>
        <w:pBdr>
          <w:top w:val="nil"/>
          <w:left w:val="nil"/>
          <w:bottom w:val="nil"/>
          <w:right w:val="nil"/>
          <w:between w:val="nil"/>
        </w:pBdr>
        <w:jc w:val="both"/>
        <w:rPr>
          <w:rFonts w:cs="Arial"/>
          <w:szCs w:val="22"/>
        </w:rPr>
      </w:pPr>
      <w:r w:rsidRPr="00E73953">
        <w:rPr>
          <w:rFonts w:cs="Arial"/>
          <w:color w:val="000000"/>
          <w:szCs w:val="22"/>
        </w:rPr>
        <w:t>Ruta metodológica para la elaboración de inventarios del Patrimonio Cultural Inmaterial PCI en Bogotá</w:t>
      </w:r>
    </w:p>
    <w:p w14:paraId="2DD87CF1" w14:textId="77777777" w:rsidR="00104B84" w:rsidRPr="00E73953" w:rsidRDefault="00104B84" w:rsidP="005F400D">
      <w:pPr>
        <w:numPr>
          <w:ilvl w:val="0"/>
          <w:numId w:val="9"/>
        </w:numPr>
        <w:pBdr>
          <w:top w:val="nil"/>
          <w:left w:val="nil"/>
          <w:bottom w:val="nil"/>
          <w:right w:val="nil"/>
          <w:between w:val="nil"/>
        </w:pBdr>
        <w:jc w:val="both"/>
        <w:rPr>
          <w:rFonts w:cs="Arial"/>
          <w:szCs w:val="22"/>
        </w:rPr>
      </w:pPr>
      <w:r w:rsidRPr="00E73953">
        <w:rPr>
          <w:rFonts w:cs="Arial"/>
          <w:color w:val="000000"/>
          <w:szCs w:val="22"/>
        </w:rPr>
        <w:t xml:space="preserve">Proceso de inclusión del Festival Jizca Chia Zhue-Unión </w:t>
      </w:r>
      <w:r w:rsidRPr="00E73953">
        <w:rPr>
          <w:rFonts w:cs="Arial"/>
          <w:szCs w:val="22"/>
        </w:rPr>
        <w:t>del Sol y la Luna</w:t>
      </w:r>
      <w:r w:rsidRPr="00E73953">
        <w:rPr>
          <w:rFonts w:cs="Arial"/>
          <w:color w:val="000000"/>
          <w:szCs w:val="22"/>
        </w:rPr>
        <w:t xml:space="preserve"> en la Lista Representativa de Patrimonio Cultural Inmaterial de Bogotá</w:t>
      </w:r>
    </w:p>
    <w:p w14:paraId="653DF8E6" w14:textId="77777777" w:rsidR="00104B84" w:rsidRPr="00E73953" w:rsidRDefault="00104B84" w:rsidP="005F400D">
      <w:pPr>
        <w:numPr>
          <w:ilvl w:val="0"/>
          <w:numId w:val="9"/>
        </w:numPr>
        <w:pBdr>
          <w:top w:val="nil"/>
          <w:left w:val="nil"/>
          <w:bottom w:val="nil"/>
          <w:right w:val="nil"/>
          <w:between w:val="nil"/>
        </w:pBdr>
        <w:jc w:val="both"/>
        <w:rPr>
          <w:rFonts w:cs="Arial"/>
          <w:color w:val="000000"/>
          <w:szCs w:val="22"/>
          <w:highlight w:val="white"/>
        </w:rPr>
      </w:pPr>
      <w:r w:rsidRPr="00E73953">
        <w:rPr>
          <w:rFonts w:cs="Arial"/>
          <w:color w:val="000000"/>
          <w:szCs w:val="22"/>
          <w:highlight w:val="white"/>
        </w:rPr>
        <w:t>Fomento</w:t>
      </w:r>
    </w:p>
    <w:p w14:paraId="1582771C" w14:textId="77777777" w:rsidR="00104B84" w:rsidRPr="00E73953" w:rsidRDefault="00104B84" w:rsidP="005F400D">
      <w:pPr>
        <w:numPr>
          <w:ilvl w:val="0"/>
          <w:numId w:val="9"/>
        </w:numPr>
        <w:pBdr>
          <w:top w:val="nil"/>
          <w:left w:val="nil"/>
          <w:bottom w:val="nil"/>
          <w:right w:val="nil"/>
          <w:between w:val="nil"/>
        </w:pBdr>
        <w:jc w:val="both"/>
        <w:rPr>
          <w:rFonts w:cs="Arial"/>
          <w:color w:val="000000"/>
          <w:szCs w:val="22"/>
          <w:highlight w:val="white"/>
        </w:rPr>
      </w:pPr>
      <w:r w:rsidRPr="00E73953">
        <w:rPr>
          <w:rFonts w:cs="Arial"/>
          <w:color w:val="000000"/>
          <w:szCs w:val="22"/>
          <w:highlight w:val="white"/>
        </w:rPr>
        <w:t xml:space="preserve">Programa de formación en </w:t>
      </w:r>
      <w:r w:rsidRPr="00E73953">
        <w:rPr>
          <w:rFonts w:cs="Arial"/>
          <w:szCs w:val="22"/>
          <w:highlight w:val="white"/>
        </w:rPr>
        <w:t>p</w:t>
      </w:r>
      <w:r w:rsidRPr="00E73953">
        <w:rPr>
          <w:rFonts w:cs="Arial"/>
          <w:color w:val="000000"/>
          <w:szCs w:val="22"/>
          <w:highlight w:val="white"/>
        </w:rPr>
        <w:t>atrimonio cultural, Civinautas</w:t>
      </w:r>
    </w:p>
    <w:p w14:paraId="492021B2" w14:textId="77777777" w:rsidR="00104B84" w:rsidRPr="00E73953" w:rsidRDefault="00104B84" w:rsidP="005F400D">
      <w:pPr>
        <w:numPr>
          <w:ilvl w:val="0"/>
          <w:numId w:val="9"/>
        </w:numPr>
        <w:pBdr>
          <w:top w:val="nil"/>
          <w:left w:val="nil"/>
          <w:bottom w:val="nil"/>
          <w:right w:val="nil"/>
          <w:between w:val="nil"/>
        </w:pBdr>
        <w:jc w:val="both"/>
        <w:rPr>
          <w:rFonts w:cs="Arial"/>
          <w:color w:val="000000"/>
          <w:szCs w:val="22"/>
        </w:rPr>
      </w:pPr>
      <w:r w:rsidRPr="00E73953">
        <w:rPr>
          <w:rFonts w:cs="Arial"/>
          <w:color w:val="000000"/>
          <w:szCs w:val="22"/>
        </w:rPr>
        <w:t xml:space="preserve">Programa </w:t>
      </w:r>
      <w:r w:rsidRPr="00E73953">
        <w:rPr>
          <w:rFonts w:cs="Arial"/>
          <w:szCs w:val="22"/>
        </w:rPr>
        <w:t>p</w:t>
      </w:r>
      <w:r w:rsidRPr="00E73953">
        <w:rPr>
          <w:rFonts w:cs="Arial"/>
          <w:color w:val="000000"/>
          <w:szCs w:val="22"/>
        </w:rPr>
        <w:t>atrimonios barriales</w:t>
      </w:r>
    </w:p>
    <w:p w14:paraId="70B9902A" w14:textId="77777777" w:rsidR="00104B84" w:rsidRPr="00E73953" w:rsidRDefault="00104B84" w:rsidP="00FB2062">
      <w:pPr>
        <w:pBdr>
          <w:top w:val="nil"/>
          <w:left w:val="nil"/>
          <w:bottom w:val="nil"/>
          <w:right w:val="nil"/>
          <w:between w:val="nil"/>
        </w:pBdr>
        <w:jc w:val="both"/>
        <w:rPr>
          <w:rFonts w:cs="Arial"/>
          <w:color w:val="000000"/>
          <w:szCs w:val="22"/>
        </w:rPr>
      </w:pPr>
    </w:p>
    <w:p w14:paraId="3A72969A" w14:textId="567C6AC3" w:rsidR="00533FFC" w:rsidRDefault="00533FFC" w:rsidP="00FB2062">
      <w:pPr>
        <w:pBdr>
          <w:top w:val="nil"/>
          <w:left w:val="nil"/>
          <w:bottom w:val="nil"/>
          <w:right w:val="nil"/>
          <w:between w:val="nil"/>
        </w:pBdr>
        <w:jc w:val="both"/>
        <w:rPr>
          <w:rFonts w:cs="Arial"/>
          <w:color w:val="000000"/>
          <w:szCs w:val="22"/>
        </w:rPr>
      </w:pPr>
      <w:r>
        <w:rPr>
          <w:rFonts w:cs="Arial"/>
          <w:color w:val="000000"/>
          <w:szCs w:val="22"/>
        </w:rPr>
        <w:t xml:space="preserve">De otra parte, se evidenció la aplicación de una encuesta virtual de percepción </w:t>
      </w:r>
    </w:p>
    <w:p w14:paraId="0FE47A48" w14:textId="4B33D421" w:rsidR="00533FFC" w:rsidRDefault="00533FFC" w:rsidP="00FB2062">
      <w:pPr>
        <w:pBdr>
          <w:top w:val="nil"/>
          <w:left w:val="nil"/>
          <w:bottom w:val="nil"/>
          <w:right w:val="nil"/>
          <w:between w:val="nil"/>
        </w:pBdr>
        <w:jc w:val="both"/>
        <w:rPr>
          <w:rFonts w:cs="Arial"/>
          <w:color w:val="000000"/>
          <w:szCs w:val="22"/>
        </w:rPr>
      </w:pPr>
    </w:p>
    <w:p w14:paraId="1E5DCF45" w14:textId="13919D9C" w:rsidR="00533FFC" w:rsidRDefault="00533FFC" w:rsidP="00FB2062">
      <w:pPr>
        <w:pBdr>
          <w:top w:val="nil"/>
          <w:left w:val="nil"/>
          <w:bottom w:val="nil"/>
          <w:right w:val="nil"/>
          <w:between w:val="nil"/>
        </w:pBdr>
        <w:jc w:val="both"/>
        <w:rPr>
          <w:rFonts w:cs="Arial"/>
          <w:color w:val="000000"/>
          <w:szCs w:val="22"/>
        </w:rPr>
      </w:pPr>
      <w:r>
        <w:rPr>
          <w:rFonts w:cs="Arial"/>
          <w:noProof/>
          <w:color w:val="000000"/>
          <w:szCs w:val="22"/>
          <w:lang w:eastAsia="es-CO"/>
        </w:rPr>
        <w:lastRenderedPageBreak/>
        <w:drawing>
          <wp:inline distT="0" distB="0" distL="0" distR="0" wp14:anchorId="0C574E90" wp14:editId="0AC7E7DC">
            <wp:extent cx="5517515" cy="2926080"/>
            <wp:effectExtent l="0" t="0" r="6985"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7515" cy="2926080"/>
                    </a:xfrm>
                    <a:prstGeom prst="rect">
                      <a:avLst/>
                    </a:prstGeom>
                    <a:noFill/>
                  </pic:spPr>
                </pic:pic>
              </a:graphicData>
            </a:graphic>
          </wp:inline>
        </w:drawing>
      </w:r>
    </w:p>
    <w:p w14:paraId="30C88C2E" w14:textId="6FD5CE17" w:rsidR="00586F43" w:rsidRPr="00770519" w:rsidRDefault="00586F43" w:rsidP="00FB2062">
      <w:pPr>
        <w:tabs>
          <w:tab w:val="left" w:pos="284"/>
        </w:tabs>
        <w:jc w:val="both"/>
        <w:rPr>
          <w:rFonts w:cs="Arial"/>
          <w:i/>
          <w:sz w:val="14"/>
          <w:szCs w:val="14"/>
        </w:rPr>
      </w:pPr>
      <w:r w:rsidRPr="00770519">
        <w:rPr>
          <w:rFonts w:cs="Arial"/>
          <w:i/>
          <w:sz w:val="14"/>
          <w:szCs w:val="14"/>
        </w:rPr>
        <w:t xml:space="preserve">Registro </w:t>
      </w:r>
      <w:r w:rsidR="00990E02">
        <w:rPr>
          <w:rFonts w:cs="Arial"/>
          <w:i/>
          <w:sz w:val="14"/>
          <w:szCs w:val="14"/>
        </w:rPr>
        <w:t>planeación</w:t>
      </w:r>
      <w:r w:rsidRPr="00770519">
        <w:rPr>
          <w:rFonts w:cs="Arial"/>
          <w:i/>
          <w:sz w:val="14"/>
          <w:szCs w:val="14"/>
        </w:rPr>
        <w:t xml:space="preserve"> - IDPC</w:t>
      </w:r>
    </w:p>
    <w:p w14:paraId="545823BE" w14:textId="77777777" w:rsidR="00533FFC" w:rsidRDefault="00533FFC" w:rsidP="00FB2062">
      <w:pPr>
        <w:pBdr>
          <w:top w:val="nil"/>
          <w:left w:val="nil"/>
          <w:bottom w:val="nil"/>
          <w:right w:val="nil"/>
          <w:between w:val="nil"/>
        </w:pBdr>
        <w:jc w:val="both"/>
        <w:rPr>
          <w:rFonts w:cs="Arial"/>
          <w:color w:val="000000"/>
          <w:szCs w:val="22"/>
        </w:rPr>
      </w:pPr>
    </w:p>
    <w:p w14:paraId="6806B436" w14:textId="2DD776DE" w:rsidR="00533FFC" w:rsidRDefault="00533FFC" w:rsidP="00FB2062">
      <w:pPr>
        <w:pBdr>
          <w:top w:val="nil"/>
          <w:left w:val="nil"/>
          <w:bottom w:val="nil"/>
          <w:right w:val="nil"/>
          <w:between w:val="nil"/>
        </w:pBdr>
        <w:jc w:val="both"/>
        <w:rPr>
          <w:rFonts w:cs="Arial"/>
          <w:color w:val="000000"/>
          <w:szCs w:val="22"/>
        </w:rPr>
      </w:pPr>
      <w:r w:rsidRPr="00533FFC">
        <w:rPr>
          <w:noProof/>
          <w:lang w:eastAsia="es-CO"/>
        </w:rPr>
        <w:drawing>
          <wp:inline distT="0" distB="0" distL="0" distR="0" wp14:anchorId="0C542133" wp14:editId="7B70058B">
            <wp:extent cx="5499100" cy="2910930"/>
            <wp:effectExtent l="0" t="0" r="635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04584" cy="2913833"/>
                    </a:xfrm>
                    <a:prstGeom prst="rect">
                      <a:avLst/>
                    </a:prstGeom>
                    <a:noFill/>
                    <a:ln>
                      <a:noFill/>
                    </a:ln>
                  </pic:spPr>
                </pic:pic>
              </a:graphicData>
            </a:graphic>
          </wp:inline>
        </w:drawing>
      </w:r>
    </w:p>
    <w:p w14:paraId="3ECE9027" w14:textId="5AD22467" w:rsidR="00586F43" w:rsidRPr="00770519" w:rsidRDefault="00586F43" w:rsidP="00FB2062">
      <w:pPr>
        <w:tabs>
          <w:tab w:val="left" w:pos="284"/>
        </w:tabs>
        <w:jc w:val="both"/>
        <w:rPr>
          <w:rFonts w:cs="Arial"/>
          <w:i/>
          <w:sz w:val="14"/>
          <w:szCs w:val="14"/>
        </w:rPr>
      </w:pPr>
      <w:r w:rsidRPr="00770519">
        <w:rPr>
          <w:rFonts w:cs="Arial"/>
          <w:i/>
          <w:sz w:val="14"/>
          <w:szCs w:val="14"/>
        </w:rPr>
        <w:t xml:space="preserve">Registro </w:t>
      </w:r>
      <w:r w:rsidR="00990E02">
        <w:rPr>
          <w:rFonts w:cs="Arial"/>
          <w:i/>
          <w:sz w:val="14"/>
          <w:szCs w:val="14"/>
        </w:rPr>
        <w:t>planeación</w:t>
      </w:r>
      <w:r w:rsidRPr="00770519">
        <w:rPr>
          <w:rFonts w:cs="Arial"/>
          <w:i/>
          <w:sz w:val="14"/>
          <w:szCs w:val="14"/>
        </w:rPr>
        <w:t xml:space="preserve"> - IDPC</w:t>
      </w:r>
    </w:p>
    <w:p w14:paraId="32BA1417" w14:textId="77777777" w:rsidR="00533FFC" w:rsidRDefault="00533FFC" w:rsidP="00FB2062">
      <w:pPr>
        <w:pBdr>
          <w:top w:val="nil"/>
          <w:left w:val="nil"/>
          <w:bottom w:val="nil"/>
          <w:right w:val="nil"/>
          <w:between w:val="nil"/>
        </w:pBdr>
        <w:jc w:val="both"/>
        <w:rPr>
          <w:rFonts w:cs="Arial"/>
          <w:color w:val="000000"/>
          <w:szCs w:val="22"/>
        </w:rPr>
      </w:pPr>
    </w:p>
    <w:p w14:paraId="19DC87AF" w14:textId="07D59241" w:rsidR="00104B84" w:rsidRDefault="00104B84" w:rsidP="00FB2062">
      <w:pPr>
        <w:pBdr>
          <w:top w:val="nil"/>
          <w:left w:val="nil"/>
          <w:bottom w:val="nil"/>
          <w:right w:val="nil"/>
          <w:between w:val="nil"/>
        </w:pBdr>
        <w:jc w:val="both"/>
        <w:rPr>
          <w:rFonts w:cs="Arial"/>
          <w:color w:val="000000"/>
          <w:szCs w:val="22"/>
        </w:rPr>
      </w:pPr>
      <w:r w:rsidRPr="00E73953">
        <w:rPr>
          <w:rFonts w:cs="Arial"/>
          <w:color w:val="000000"/>
          <w:szCs w:val="22"/>
        </w:rPr>
        <w:t>Dentro de los temas trabajados con la comunidad de Bosa en los diferentes ejercicios participativos y que forman parte del informe de gestión se encuentra el de activación de entornos patrimoniales</w:t>
      </w:r>
      <w:r>
        <w:rPr>
          <w:rFonts w:cs="Arial"/>
          <w:color w:val="000000"/>
          <w:szCs w:val="22"/>
        </w:rPr>
        <w:t xml:space="preserve"> (</w:t>
      </w:r>
      <w:r w:rsidRPr="00E73953">
        <w:rPr>
          <w:rFonts w:cs="Arial"/>
          <w:color w:val="000000"/>
          <w:szCs w:val="22"/>
        </w:rPr>
        <w:t xml:space="preserve">núcleo fundacional de Bosa), con el siguiente registro cuantitativo y cualitativo de avance: </w:t>
      </w:r>
    </w:p>
    <w:p w14:paraId="61A11DA9" w14:textId="6FAD5C94" w:rsidR="00104B84" w:rsidRDefault="00104B84" w:rsidP="00FB2062">
      <w:pPr>
        <w:tabs>
          <w:tab w:val="left" w:pos="284"/>
        </w:tabs>
        <w:ind w:left="1701"/>
        <w:jc w:val="both"/>
        <w:rPr>
          <w:rFonts w:cs="Arial"/>
          <w:color w:val="222222"/>
          <w:szCs w:val="22"/>
          <w:shd w:val="clear" w:color="auto" w:fill="FFFFFF"/>
        </w:rPr>
      </w:pPr>
      <w:r>
        <w:rPr>
          <w:rFonts w:cs="Arial"/>
          <w:noProof/>
          <w:color w:val="222222"/>
          <w:szCs w:val="22"/>
          <w:shd w:val="clear" w:color="auto" w:fill="FFFFFF"/>
          <w:lang w:eastAsia="es-CO"/>
        </w:rPr>
        <w:lastRenderedPageBreak/>
        <w:drawing>
          <wp:inline distT="0" distB="0" distL="0" distR="0" wp14:anchorId="3543F7DF" wp14:editId="48B18327">
            <wp:extent cx="3771884" cy="2976375"/>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87818" cy="2988948"/>
                    </a:xfrm>
                    <a:prstGeom prst="rect">
                      <a:avLst/>
                    </a:prstGeom>
                    <a:noFill/>
                  </pic:spPr>
                </pic:pic>
              </a:graphicData>
            </a:graphic>
          </wp:inline>
        </w:drawing>
      </w:r>
    </w:p>
    <w:p w14:paraId="63EE394F" w14:textId="0F287EFF" w:rsidR="00770519" w:rsidRPr="00770519" w:rsidRDefault="00770519" w:rsidP="00FB2062">
      <w:pPr>
        <w:tabs>
          <w:tab w:val="left" w:pos="284"/>
        </w:tabs>
        <w:jc w:val="both"/>
        <w:rPr>
          <w:rFonts w:cs="Arial"/>
          <w:i/>
          <w:sz w:val="14"/>
          <w:szCs w:val="14"/>
        </w:rPr>
      </w:pPr>
      <w:r>
        <w:rPr>
          <w:rFonts w:cs="Arial"/>
          <w:i/>
          <w:sz w:val="14"/>
          <w:szCs w:val="14"/>
        </w:rPr>
        <w:tab/>
      </w:r>
      <w:r>
        <w:rPr>
          <w:rFonts w:cs="Arial"/>
          <w:i/>
          <w:sz w:val="14"/>
          <w:szCs w:val="14"/>
        </w:rPr>
        <w:tab/>
      </w:r>
      <w:r>
        <w:rPr>
          <w:rFonts w:cs="Arial"/>
          <w:i/>
          <w:sz w:val="14"/>
          <w:szCs w:val="14"/>
        </w:rPr>
        <w:tab/>
        <w:t xml:space="preserve">      </w:t>
      </w:r>
      <w:r w:rsidRPr="00770519">
        <w:rPr>
          <w:rFonts w:cs="Arial"/>
          <w:i/>
          <w:sz w:val="14"/>
          <w:szCs w:val="14"/>
        </w:rPr>
        <w:t>Registro</w:t>
      </w:r>
      <w:r>
        <w:rPr>
          <w:rFonts w:cs="Arial"/>
          <w:i/>
          <w:sz w:val="14"/>
          <w:szCs w:val="14"/>
        </w:rPr>
        <w:t xml:space="preserve"> comunicaciones</w:t>
      </w:r>
      <w:r w:rsidRPr="00770519">
        <w:rPr>
          <w:rFonts w:cs="Arial"/>
          <w:i/>
          <w:sz w:val="14"/>
          <w:szCs w:val="14"/>
        </w:rPr>
        <w:t xml:space="preserve"> - IDPC</w:t>
      </w:r>
    </w:p>
    <w:p w14:paraId="3DDDF676" w14:textId="0744D16F" w:rsidR="00104B84" w:rsidRDefault="00104B84" w:rsidP="00FB2062">
      <w:pPr>
        <w:tabs>
          <w:tab w:val="left" w:pos="284"/>
        </w:tabs>
        <w:jc w:val="both"/>
        <w:rPr>
          <w:rFonts w:cs="Arial"/>
          <w:color w:val="222222"/>
          <w:szCs w:val="22"/>
          <w:shd w:val="clear" w:color="auto" w:fill="FFFFFF"/>
        </w:rPr>
      </w:pPr>
    </w:p>
    <w:p w14:paraId="5C15A503" w14:textId="43BDF0DF" w:rsidR="00104B84" w:rsidRDefault="00104B84" w:rsidP="00FB2062">
      <w:pPr>
        <w:pBdr>
          <w:top w:val="nil"/>
          <w:left w:val="nil"/>
          <w:bottom w:val="nil"/>
          <w:right w:val="nil"/>
          <w:between w:val="nil"/>
        </w:pBdr>
        <w:jc w:val="both"/>
        <w:rPr>
          <w:rFonts w:cs="Arial"/>
          <w:color w:val="000000"/>
          <w:szCs w:val="22"/>
        </w:rPr>
      </w:pPr>
      <w:r w:rsidRPr="00830B12">
        <w:rPr>
          <w:rFonts w:cs="Arial"/>
          <w:color w:val="000000"/>
          <w:szCs w:val="22"/>
        </w:rPr>
        <w:t xml:space="preserve">Otro de los temas importantes destacados en el informe es el </w:t>
      </w:r>
      <w:r w:rsidRPr="00830B12">
        <w:rPr>
          <w:rFonts w:cs="Arial"/>
          <w:i/>
          <w:color w:val="000000"/>
          <w:szCs w:val="22"/>
        </w:rPr>
        <w:t xml:space="preserve">proceso de inclusión del Festival Jizca Chia Zhue-Unión </w:t>
      </w:r>
      <w:r>
        <w:rPr>
          <w:rFonts w:cs="Arial"/>
          <w:i/>
          <w:color w:val="000000"/>
          <w:szCs w:val="22"/>
        </w:rPr>
        <w:t>del Sol y la Luna</w:t>
      </w:r>
      <w:r w:rsidRPr="00830B12">
        <w:rPr>
          <w:rFonts w:cs="Arial"/>
          <w:i/>
          <w:color w:val="000000"/>
          <w:szCs w:val="22"/>
        </w:rPr>
        <w:t xml:space="preserve"> en la Lista Representativa de Patrimonio </w:t>
      </w:r>
      <w:r w:rsidRPr="00830B12">
        <w:rPr>
          <w:rFonts w:cs="Arial"/>
          <w:color w:val="000000"/>
          <w:szCs w:val="22"/>
        </w:rPr>
        <w:t>Cultural In</w:t>
      </w:r>
      <w:r w:rsidR="00F354AE">
        <w:rPr>
          <w:rFonts w:cs="Arial"/>
          <w:color w:val="000000"/>
          <w:szCs w:val="22"/>
        </w:rPr>
        <w:t>material de Bogotá (declaratoria</w:t>
      </w:r>
      <w:r w:rsidRPr="00830B12">
        <w:rPr>
          <w:rFonts w:cs="Arial"/>
          <w:color w:val="000000"/>
          <w:szCs w:val="22"/>
        </w:rPr>
        <w:t xml:space="preserve"> patrimonio cultural inmaterial), </w:t>
      </w:r>
      <w:r>
        <w:rPr>
          <w:rFonts w:cs="Arial"/>
          <w:color w:val="000000"/>
          <w:szCs w:val="22"/>
        </w:rPr>
        <w:t xml:space="preserve">proceso en el que se desarrollaron </w:t>
      </w:r>
      <w:r w:rsidRPr="00830B12">
        <w:rPr>
          <w:rFonts w:cs="Arial"/>
          <w:color w:val="000000"/>
          <w:szCs w:val="22"/>
        </w:rPr>
        <w:t>21 sesiones de trabajo conjunto entre el Cabildo Muisca de Bosa y el IDPC</w:t>
      </w:r>
      <w:r>
        <w:rPr>
          <w:rFonts w:cs="Arial"/>
          <w:color w:val="000000"/>
          <w:szCs w:val="22"/>
        </w:rPr>
        <w:t>.</w:t>
      </w:r>
    </w:p>
    <w:p w14:paraId="76233B27" w14:textId="796CB1D6" w:rsidR="00104B84" w:rsidRDefault="00104B84" w:rsidP="00FB2062">
      <w:pPr>
        <w:tabs>
          <w:tab w:val="left" w:pos="284"/>
        </w:tabs>
        <w:jc w:val="both"/>
        <w:rPr>
          <w:rFonts w:cs="Arial"/>
          <w:color w:val="222222"/>
          <w:szCs w:val="22"/>
          <w:shd w:val="clear" w:color="auto" w:fill="FFFFFF"/>
        </w:rPr>
      </w:pPr>
    </w:p>
    <w:p w14:paraId="59EF592C" w14:textId="44390707" w:rsidR="00104B84" w:rsidRDefault="00104B84" w:rsidP="00FB2062">
      <w:pPr>
        <w:tabs>
          <w:tab w:val="left" w:pos="284"/>
        </w:tabs>
        <w:ind w:left="1843"/>
        <w:jc w:val="both"/>
        <w:rPr>
          <w:rFonts w:cs="Arial"/>
          <w:color w:val="222222"/>
          <w:szCs w:val="22"/>
          <w:shd w:val="clear" w:color="auto" w:fill="FFFFFF"/>
        </w:rPr>
      </w:pPr>
      <w:r>
        <w:rPr>
          <w:rFonts w:cs="Arial"/>
          <w:noProof/>
          <w:color w:val="222222"/>
          <w:szCs w:val="22"/>
          <w:shd w:val="clear" w:color="auto" w:fill="FFFFFF"/>
          <w:lang w:eastAsia="es-CO"/>
        </w:rPr>
        <w:drawing>
          <wp:inline distT="0" distB="0" distL="0" distR="0" wp14:anchorId="5C6A9633" wp14:editId="05B93417">
            <wp:extent cx="3327400" cy="2592702"/>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980" cy="2597829"/>
                    </a:xfrm>
                    <a:prstGeom prst="rect">
                      <a:avLst/>
                    </a:prstGeom>
                    <a:noFill/>
                  </pic:spPr>
                </pic:pic>
              </a:graphicData>
            </a:graphic>
          </wp:inline>
        </w:drawing>
      </w:r>
    </w:p>
    <w:p w14:paraId="5D26EE93" w14:textId="2A529F4C" w:rsidR="00770519" w:rsidRPr="00770519" w:rsidRDefault="00770519" w:rsidP="00FB2062">
      <w:pPr>
        <w:tabs>
          <w:tab w:val="left" w:pos="284"/>
        </w:tabs>
        <w:jc w:val="both"/>
        <w:rPr>
          <w:rFonts w:cs="Arial"/>
          <w:i/>
          <w:sz w:val="14"/>
          <w:szCs w:val="14"/>
        </w:rPr>
      </w:pPr>
      <w:r>
        <w:rPr>
          <w:rFonts w:cs="Arial"/>
          <w:i/>
          <w:sz w:val="14"/>
          <w:szCs w:val="14"/>
        </w:rPr>
        <w:t xml:space="preserve"> </w:t>
      </w:r>
      <w:r>
        <w:rPr>
          <w:rFonts w:cs="Arial"/>
          <w:i/>
          <w:sz w:val="14"/>
          <w:szCs w:val="14"/>
        </w:rPr>
        <w:tab/>
      </w:r>
      <w:r>
        <w:rPr>
          <w:rFonts w:cs="Arial"/>
          <w:i/>
          <w:sz w:val="14"/>
          <w:szCs w:val="14"/>
        </w:rPr>
        <w:tab/>
      </w:r>
      <w:r>
        <w:rPr>
          <w:rFonts w:cs="Arial"/>
          <w:i/>
          <w:sz w:val="14"/>
          <w:szCs w:val="14"/>
        </w:rPr>
        <w:tab/>
        <w:t xml:space="preserve">          </w:t>
      </w:r>
      <w:r w:rsidRPr="00770519">
        <w:rPr>
          <w:rFonts w:cs="Arial"/>
          <w:i/>
          <w:sz w:val="14"/>
          <w:szCs w:val="14"/>
        </w:rPr>
        <w:t xml:space="preserve">Registro </w:t>
      </w:r>
      <w:r>
        <w:rPr>
          <w:rFonts w:cs="Arial"/>
          <w:i/>
          <w:sz w:val="14"/>
          <w:szCs w:val="14"/>
        </w:rPr>
        <w:t>comunicaciones</w:t>
      </w:r>
      <w:r w:rsidRPr="00770519">
        <w:rPr>
          <w:rFonts w:cs="Arial"/>
          <w:i/>
          <w:sz w:val="14"/>
          <w:szCs w:val="14"/>
        </w:rPr>
        <w:t xml:space="preserve"> - IDPC</w:t>
      </w:r>
    </w:p>
    <w:p w14:paraId="5ACF6F35" w14:textId="62EA3206" w:rsidR="000F4E94" w:rsidRDefault="000F4E94" w:rsidP="00FB2062">
      <w:pPr>
        <w:tabs>
          <w:tab w:val="left" w:pos="284"/>
        </w:tabs>
        <w:ind w:left="1843"/>
        <w:jc w:val="both"/>
        <w:rPr>
          <w:rFonts w:cs="Arial"/>
          <w:color w:val="222222"/>
          <w:szCs w:val="22"/>
          <w:shd w:val="clear" w:color="auto" w:fill="FFFFFF"/>
        </w:rPr>
      </w:pPr>
    </w:p>
    <w:p w14:paraId="61E0BC8D" w14:textId="7BD14D2D" w:rsidR="00DA28B6" w:rsidRPr="00460856" w:rsidRDefault="00104B84" w:rsidP="005F400D">
      <w:pPr>
        <w:pStyle w:val="Prrafodelista"/>
        <w:numPr>
          <w:ilvl w:val="0"/>
          <w:numId w:val="11"/>
        </w:numPr>
        <w:ind w:left="851"/>
        <w:jc w:val="both"/>
        <w:rPr>
          <w:rFonts w:cs="Arial"/>
          <w:b/>
        </w:rPr>
      </w:pPr>
      <w:r w:rsidRPr="00460856">
        <w:rPr>
          <w:rFonts w:cs="Arial"/>
          <w:b/>
        </w:rPr>
        <w:t>Desarrollo de</w:t>
      </w:r>
      <w:r w:rsidR="00882768" w:rsidRPr="00460856">
        <w:rPr>
          <w:rFonts w:cs="Arial"/>
          <w:b/>
        </w:rPr>
        <w:t>l espacio de rendición de cuentas y dialogo ciudadano en la localidad de Bosa</w:t>
      </w:r>
    </w:p>
    <w:p w14:paraId="0D21FD5F" w14:textId="6C01DF0E" w:rsidR="00DA28B6" w:rsidRDefault="00DA28B6" w:rsidP="00FB2062">
      <w:pPr>
        <w:tabs>
          <w:tab w:val="left" w:pos="284"/>
        </w:tabs>
        <w:jc w:val="both"/>
        <w:rPr>
          <w:rFonts w:cs="Arial"/>
          <w:color w:val="222222"/>
          <w:szCs w:val="22"/>
          <w:shd w:val="clear" w:color="auto" w:fill="FFFFFF"/>
        </w:rPr>
      </w:pPr>
    </w:p>
    <w:p w14:paraId="465570DF" w14:textId="77777777" w:rsidR="00882768" w:rsidRPr="00E7407A" w:rsidRDefault="00882768" w:rsidP="00FB2062">
      <w:pPr>
        <w:tabs>
          <w:tab w:val="left" w:pos="284"/>
        </w:tabs>
        <w:jc w:val="both"/>
        <w:rPr>
          <w:rFonts w:cs="Arial"/>
          <w:color w:val="000000" w:themeColor="text1"/>
          <w:szCs w:val="22"/>
        </w:rPr>
      </w:pPr>
      <w:r w:rsidRPr="00E7407A">
        <w:rPr>
          <w:rFonts w:cs="Arial"/>
          <w:color w:val="000000" w:themeColor="text1"/>
          <w:szCs w:val="22"/>
        </w:rPr>
        <w:t xml:space="preserve">El equipo de participación ciudadana, organizó a la ciudadanía en el salón 1, luego de realizar el registro de asistencia, colocando sticker de color verde y rojo para identificar las personas que integraron cada mesa de trabajo. Seguido de esto y luego de organizar a la ciudadanía en el salón 1, se inició la presentación de cada persona, así como parte del </w:t>
      </w:r>
      <w:r w:rsidRPr="00E7407A">
        <w:rPr>
          <w:rFonts w:cs="Arial"/>
          <w:color w:val="000000" w:themeColor="text1"/>
          <w:szCs w:val="22"/>
        </w:rPr>
        <w:lastRenderedPageBreak/>
        <w:t xml:space="preserve">equipo del Directivo del IDPC, con la dirección de la profesional encargada del equipo de participación ciudadana. </w:t>
      </w:r>
    </w:p>
    <w:p w14:paraId="56D7F659" w14:textId="77777777" w:rsidR="00882768" w:rsidRPr="00E7407A" w:rsidRDefault="00882768" w:rsidP="00FB2062">
      <w:pPr>
        <w:tabs>
          <w:tab w:val="left" w:pos="284"/>
        </w:tabs>
        <w:jc w:val="both"/>
        <w:rPr>
          <w:rFonts w:cs="Arial"/>
          <w:color w:val="000000" w:themeColor="text1"/>
          <w:szCs w:val="22"/>
        </w:rPr>
      </w:pPr>
    </w:p>
    <w:p w14:paraId="36129E48" w14:textId="48AB9679" w:rsidR="00882768" w:rsidRPr="00E7407A" w:rsidRDefault="00882768" w:rsidP="00FB2062">
      <w:pPr>
        <w:tabs>
          <w:tab w:val="left" w:pos="284"/>
        </w:tabs>
        <w:jc w:val="both"/>
        <w:rPr>
          <w:rFonts w:cs="Arial"/>
          <w:color w:val="000000" w:themeColor="text1"/>
          <w:szCs w:val="22"/>
        </w:rPr>
      </w:pPr>
      <w:r w:rsidRPr="00E7407A">
        <w:rPr>
          <w:rFonts w:cs="Arial"/>
          <w:color w:val="000000" w:themeColor="text1"/>
          <w:szCs w:val="22"/>
        </w:rPr>
        <w:t xml:space="preserve">El desarrollo de la convocatoria inició con la presentación del </w:t>
      </w:r>
      <w:r w:rsidR="00A70FA3" w:rsidRPr="00E7407A">
        <w:rPr>
          <w:rFonts w:cs="Arial"/>
          <w:color w:val="000000" w:themeColor="text1"/>
          <w:szCs w:val="22"/>
        </w:rPr>
        <w:t>director</w:t>
      </w:r>
      <w:r w:rsidRPr="00E7407A">
        <w:rPr>
          <w:rFonts w:cs="Arial"/>
          <w:color w:val="000000" w:themeColor="text1"/>
          <w:szCs w:val="22"/>
        </w:rPr>
        <w:t xml:space="preserve"> del IDPC, quien resaltó la importancia de orientar el ejercicio en diálogo de doble vía y en el marco de la territorialización de intervención del patrimonio cultural, así mismo, subraya la importancia de abordar el patrimonio de manera integral, recalcando la estrategia de llegar a otros territorios, en clave de los patrimonios integrados, para construir ciudad.   </w:t>
      </w:r>
    </w:p>
    <w:p w14:paraId="034F03DB" w14:textId="77777777" w:rsidR="00882768" w:rsidRPr="00E7407A" w:rsidRDefault="00882768" w:rsidP="00FB2062">
      <w:pPr>
        <w:tabs>
          <w:tab w:val="left" w:pos="284"/>
        </w:tabs>
        <w:jc w:val="both"/>
        <w:rPr>
          <w:rFonts w:cs="Arial"/>
          <w:color w:val="000000" w:themeColor="text1"/>
          <w:szCs w:val="22"/>
        </w:rPr>
      </w:pPr>
    </w:p>
    <w:p w14:paraId="095397EB" w14:textId="77777777" w:rsidR="00882768" w:rsidRPr="00E7407A" w:rsidRDefault="00882768" w:rsidP="00FB2062">
      <w:pPr>
        <w:tabs>
          <w:tab w:val="left" w:pos="284"/>
        </w:tabs>
        <w:jc w:val="both"/>
        <w:rPr>
          <w:rFonts w:cs="Arial"/>
          <w:color w:val="000000" w:themeColor="text1"/>
          <w:szCs w:val="22"/>
        </w:rPr>
      </w:pPr>
      <w:r w:rsidRPr="00E7407A">
        <w:rPr>
          <w:rFonts w:cs="Arial"/>
          <w:color w:val="000000" w:themeColor="text1"/>
          <w:szCs w:val="22"/>
        </w:rPr>
        <w:t>Hace mención a los temas que contiene el Plan de Ordenamiento Territorial POT, actualmente en discusión en el Concejo de Bogotá, relacionados con la defensa de los territorios y la preservación de la calidad de vida.</w:t>
      </w:r>
    </w:p>
    <w:p w14:paraId="66F7BE0E" w14:textId="77777777" w:rsidR="00882768" w:rsidRPr="00E7407A" w:rsidRDefault="00882768" w:rsidP="00FB2062">
      <w:pPr>
        <w:tabs>
          <w:tab w:val="left" w:pos="284"/>
        </w:tabs>
        <w:jc w:val="both"/>
        <w:rPr>
          <w:rFonts w:cs="Arial"/>
          <w:color w:val="000000" w:themeColor="text1"/>
          <w:szCs w:val="22"/>
        </w:rPr>
      </w:pPr>
    </w:p>
    <w:p w14:paraId="49430BF2" w14:textId="008ECC07" w:rsidR="00882768" w:rsidRPr="00E7407A" w:rsidRDefault="00882768" w:rsidP="00FB2062">
      <w:pPr>
        <w:tabs>
          <w:tab w:val="left" w:pos="284"/>
        </w:tabs>
        <w:jc w:val="both"/>
        <w:rPr>
          <w:rFonts w:cs="Arial"/>
          <w:color w:val="000000" w:themeColor="text1"/>
          <w:szCs w:val="22"/>
        </w:rPr>
      </w:pPr>
      <w:r w:rsidRPr="00E7407A">
        <w:rPr>
          <w:rFonts w:cs="Arial"/>
          <w:color w:val="000000" w:themeColor="text1"/>
          <w:szCs w:val="22"/>
        </w:rPr>
        <w:t>Menciona que, mediante la ejecución del proyecto de activación de entornos patrimoniales, se logró un avance importante, en el que se intercambiaron experiencias y diálogo en torno a los patrimonios</w:t>
      </w:r>
      <w:r>
        <w:rPr>
          <w:rFonts w:cs="Arial"/>
          <w:color w:val="000000" w:themeColor="text1"/>
          <w:szCs w:val="22"/>
        </w:rPr>
        <w:t>, y s</w:t>
      </w:r>
      <w:r w:rsidRPr="00E7407A">
        <w:rPr>
          <w:rFonts w:cs="Arial"/>
          <w:color w:val="000000" w:themeColor="text1"/>
          <w:szCs w:val="22"/>
        </w:rPr>
        <w:t xml:space="preserve">e otorgaron dos becas a través de un convenio suscrito con el IDARTES.  </w:t>
      </w:r>
    </w:p>
    <w:p w14:paraId="2C2E30E9" w14:textId="77777777" w:rsidR="00882768" w:rsidRPr="00E7407A" w:rsidRDefault="00882768" w:rsidP="00FB2062">
      <w:pPr>
        <w:tabs>
          <w:tab w:val="left" w:pos="284"/>
        </w:tabs>
        <w:jc w:val="both"/>
        <w:rPr>
          <w:rFonts w:cs="Arial"/>
          <w:color w:val="000000" w:themeColor="text1"/>
          <w:szCs w:val="22"/>
        </w:rPr>
      </w:pPr>
    </w:p>
    <w:p w14:paraId="03172700" w14:textId="030A5EA9" w:rsidR="00882768" w:rsidRDefault="00882768" w:rsidP="00FB2062">
      <w:pPr>
        <w:pStyle w:val="NormalWeb"/>
        <w:spacing w:before="0" w:beforeAutospacing="0" w:after="0" w:afterAutospacing="0"/>
        <w:jc w:val="both"/>
        <w:rPr>
          <w:rFonts w:ascii="Arial" w:eastAsia="Arial Unicode MS" w:hAnsi="Arial" w:cs="Arial"/>
          <w:color w:val="000000" w:themeColor="text1"/>
          <w:sz w:val="22"/>
          <w:szCs w:val="22"/>
          <w:lang w:val="es-ES"/>
        </w:rPr>
      </w:pPr>
      <w:r w:rsidRPr="00E7407A">
        <w:rPr>
          <w:rFonts w:ascii="Arial" w:eastAsia="Arial Unicode MS" w:hAnsi="Arial" w:cs="Arial"/>
          <w:color w:val="000000" w:themeColor="text1"/>
          <w:sz w:val="22"/>
          <w:szCs w:val="22"/>
          <w:lang w:val="es-ES"/>
        </w:rPr>
        <w:t xml:space="preserve">El </w:t>
      </w:r>
      <w:r w:rsidR="00A70FA3" w:rsidRPr="00E7407A">
        <w:rPr>
          <w:rFonts w:ascii="Arial" w:eastAsia="Arial Unicode MS" w:hAnsi="Arial" w:cs="Arial"/>
          <w:color w:val="000000" w:themeColor="text1"/>
          <w:sz w:val="22"/>
          <w:szCs w:val="22"/>
          <w:lang w:val="es-ES"/>
        </w:rPr>
        <w:t>director</w:t>
      </w:r>
      <w:r>
        <w:rPr>
          <w:rFonts w:ascii="Arial" w:eastAsia="Arial Unicode MS" w:hAnsi="Arial" w:cs="Arial"/>
          <w:color w:val="000000" w:themeColor="text1"/>
          <w:sz w:val="22"/>
          <w:szCs w:val="22"/>
          <w:lang w:val="es-ES"/>
        </w:rPr>
        <w:t>,</w:t>
      </w:r>
      <w:r w:rsidRPr="00E7407A">
        <w:rPr>
          <w:rFonts w:ascii="Arial" w:eastAsia="Arial Unicode MS" w:hAnsi="Arial" w:cs="Arial"/>
          <w:color w:val="000000" w:themeColor="text1"/>
          <w:sz w:val="22"/>
          <w:szCs w:val="22"/>
          <w:lang w:val="es-ES"/>
        </w:rPr>
        <w:t xml:space="preserve"> resalta la importancia del trabajo realizado por el equipo de enfoque diferencial en este territorio, donde se han conocido y atendido las necesidades propias de la población, razón por la que se han unido esfuerzos con comunidades indígenas para lograr</w:t>
      </w:r>
      <w:r>
        <w:rPr>
          <w:rFonts w:ascii="Arial" w:eastAsia="Arial Unicode MS" w:hAnsi="Arial" w:cs="Arial"/>
          <w:color w:val="000000" w:themeColor="text1"/>
          <w:sz w:val="22"/>
          <w:szCs w:val="22"/>
          <w:lang w:val="es-ES"/>
        </w:rPr>
        <w:t xml:space="preserve"> la primera declaratoria del</w:t>
      </w:r>
      <w:r w:rsidR="00F354AE">
        <w:rPr>
          <w:rFonts w:ascii="Arial" w:eastAsia="Arial Unicode MS" w:hAnsi="Arial" w:cs="Arial"/>
          <w:color w:val="000000" w:themeColor="text1"/>
          <w:sz w:val="22"/>
          <w:szCs w:val="22"/>
          <w:lang w:val="es-ES"/>
        </w:rPr>
        <w:t xml:space="preserve"> Festival del</w:t>
      </w:r>
      <w:r>
        <w:rPr>
          <w:rFonts w:ascii="Arial" w:eastAsia="Arial Unicode MS" w:hAnsi="Arial" w:cs="Arial"/>
          <w:color w:val="000000" w:themeColor="text1"/>
          <w:sz w:val="22"/>
          <w:szCs w:val="22"/>
          <w:lang w:val="es-ES"/>
        </w:rPr>
        <w:t xml:space="preserve"> Sol y la Luna: así como la participación de líderes y lideresas de Bosa para la formulación de un Plan de Salvaguardia.</w:t>
      </w:r>
    </w:p>
    <w:p w14:paraId="27B0BECE" w14:textId="77777777" w:rsidR="00882768" w:rsidRDefault="00882768" w:rsidP="00FB2062">
      <w:pPr>
        <w:pStyle w:val="NormalWeb"/>
        <w:spacing w:before="0" w:beforeAutospacing="0" w:after="0" w:afterAutospacing="0"/>
        <w:jc w:val="both"/>
        <w:rPr>
          <w:rFonts w:ascii="Arial" w:eastAsia="Arial Unicode MS" w:hAnsi="Arial" w:cs="Arial"/>
          <w:color w:val="000000" w:themeColor="text1"/>
          <w:sz w:val="22"/>
          <w:szCs w:val="22"/>
          <w:lang w:val="es-ES"/>
        </w:rPr>
      </w:pPr>
    </w:p>
    <w:p w14:paraId="2A3FE200" w14:textId="0B5A7114" w:rsidR="00882768" w:rsidRDefault="00882768" w:rsidP="00FB2062">
      <w:pPr>
        <w:pStyle w:val="NormalWeb"/>
        <w:spacing w:before="0" w:beforeAutospacing="0" w:after="0" w:afterAutospacing="0"/>
        <w:jc w:val="both"/>
        <w:rPr>
          <w:rFonts w:ascii="Arial" w:eastAsia="Arial Unicode MS" w:hAnsi="Arial" w:cs="Arial"/>
          <w:color w:val="000000" w:themeColor="text1"/>
          <w:sz w:val="22"/>
          <w:szCs w:val="22"/>
          <w:lang w:val="es-ES"/>
        </w:rPr>
      </w:pPr>
      <w:r>
        <w:rPr>
          <w:rFonts w:ascii="Arial" w:eastAsia="Arial Unicode MS" w:hAnsi="Arial" w:cs="Arial"/>
          <w:color w:val="000000" w:themeColor="text1"/>
          <w:sz w:val="22"/>
          <w:szCs w:val="22"/>
          <w:lang w:val="es-ES"/>
        </w:rPr>
        <w:t xml:space="preserve">En lo relacionado con el patrimonio natural, </w:t>
      </w:r>
      <w:r w:rsidRPr="006F7535">
        <w:rPr>
          <w:rFonts w:ascii="Arial" w:eastAsia="Arial Unicode MS" w:hAnsi="Arial" w:cs="Arial"/>
          <w:color w:val="000000" w:themeColor="text1"/>
          <w:sz w:val="22"/>
          <w:szCs w:val="22"/>
          <w:lang w:val="es-ES"/>
        </w:rPr>
        <w:t xml:space="preserve">se han activado diferentes entornos como la </w:t>
      </w:r>
      <w:r>
        <w:rPr>
          <w:rFonts w:ascii="Arial" w:eastAsia="Arial Unicode MS" w:hAnsi="Arial" w:cs="Arial"/>
          <w:color w:val="000000" w:themeColor="text1"/>
          <w:sz w:val="22"/>
          <w:szCs w:val="22"/>
          <w:lang w:val="es-ES"/>
        </w:rPr>
        <w:t>d</w:t>
      </w:r>
      <w:r w:rsidRPr="006F7535">
        <w:rPr>
          <w:rFonts w:ascii="Arial" w:eastAsia="Arial Unicode MS" w:hAnsi="Arial" w:cs="Arial"/>
          <w:color w:val="000000" w:themeColor="text1"/>
          <w:sz w:val="22"/>
          <w:szCs w:val="22"/>
          <w:lang w:val="es-ES"/>
        </w:rPr>
        <w:t>efensa de los humedales</w:t>
      </w:r>
      <w:r>
        <w:rPr>
          <w:rFonts w:ascii="Arial" w:eastAsia="Arial Unicode MS" w:hAnsi="Arial" w:cs="Arial"/>
          <w:color w:val="000000" w:themeColor="text1"/>
          <w:sz w:val="22"/>
          <w:szCs w:val="22"/>
          <w:lang w:val="es-ES"/>
        </w:rPr>
        <w:t xml:space="preserve"> y</w:t>
      </w:r>
      <w:r w:rsidRPr="006F7535">
        <w:rPr>
          <w:rFonts w:ascii="Arial" w:eastAsia="Arial Unicode MS" w:hAnsi="Arial" w:cs="Arial"/>
          <w:color w:val="000000" w:themeColor="text1"/>
          <w:sz w:val="22"/>
          <w:szCs w:val="22"/>
          <w:lang w:val="es-ES"/>
        </w:rPr>
        <w:t xml:space="preserve"> </w:t>
      </w:r>
      <w:r>
        <w:rPr>
          <w:rFonts w:ascii="Arial" w:eastAsia="Arial Unicode MS" w:hAnsi="Arial" w:cs="Arial"/>
          <w:color w:val="000000" w:themeColor="text1"/>
          <w:sz w:val="22"/>
          <w:szCs w:val="22"/>
          <w:lang w:val="es-ES"/>
        </w:rPr>
        <w:t xml:space="preserve">el </w:t>
      </w:r>
      <w:r w:rsidRPr="006F7535">
        <w:rPr>
          <w:rFonts w:ascii="Arial" w:eastAsia="Arial Unicode MS" w:hAnsi="Arial" w:cs="Arial"/>
          <w:color w:val="000000" w:themeColor="text1"/>
          <w:sz w:val="22"/>
          <w:szCs w:val="22"/>
          <w:lang w:val="es-ES"/>
        </w:rPr>
        <w:t>intercambio de la red de huertas.</w:t>
      </w:r>
    </w:p>
    <w:p w14:paraId="5C0A1719" w14:textId="77777777" w:rsidR="00882768" w:rsidRDefault="00882768" w:rsidP="00FB2062">
      <w:pPr>
        <w:pStyle w:val="NormalWeb"/>
        <w:spacing w:before="0" w:beforeAutospacing="0" w:after="0" w:afterAutospacing="0"/>
        <w:jc w:val="both"/>
        <w:rPr>
          <w:rFonts w:ascii="Arial" w:eastAsia="Arial Unicode MS" w:hAnsi="Arial" w:cs="Arial"/>
          <w:color w:val="000000" w:themeColor="text1"/>
          <w:sz w:val="22"/>
          <w:szCs w:val="22"/>
          <w:lang w:val="es-ES"/>
        </w:rPr>
      </w:pPr>
    </w:p>
    <w:p w14:paraId="6FCDD9EA" w14:textId="0A24F499" w:rsidR="00882768" w:rsidRDefault="00882768" w:rsidP="00FB2062">
      <w:pPr>
        <w:pStyle w:val="NormalWeb"/>
        <w:spacing w:before="0" w:beforeAutospacing="0" w:after="0" w:afterAutospacing="0"/>
        <w:jc w:val="both"/>
        <w:rPr>
          <w:rFonts w:ascii="Arial" w:eastAsia="Arial Unicode MS" w:hAnsi="Arial" w:cs="Arial"/>
          <w:color w:val="000000" w:themeColor="text1"/>
          <w:sz w:val="22"/>
          <w:szCs w:val="22"/>
          <w:lang w:val="es-ES"/>
        </w:rPr>
      </w:pPr>
      <w:r>
        <w:rPr>
          <w:rFonts w:ascii="Arial" w:eastAsia="Arial Unicode MS" w:hAnsi="Arial" w:cs="Arial"/>
          <w:color w:val="000000" w:themeColor="text1"/>
          <w:sz w:val="22"/>
          <w:szCs w:val="22"/>
          <w:lang w:val="es-ES"/>
        </w:rPr>
        <w:t>Con el apoyo del programa de Fomento y desde el Museo de Bogotá,</w:t>
      </w:r>
      <w:r w:rsidRPr="00E453DB">
        <w:rPr>
          <w:rFonts w:ascii="Arial" w:eastAsia="Arial Unicode MS" w:hAnsi="Arial" w:cs="Arial"/>
          <w:color w:val="000000" w:themeColor="text1"/>
          <w:sz w:val="22"/>
          <w:szCs w:val="22"/>
          <w:lang w:val="es-ES"/>
        </w:rPr>
        <w:t xml:space="preserve"> se entregaron 3 becas por $10 millones para activar el entorno de la comunidad MUISCA, </w:t>
      </w:r>
      <w:r>
        <w:rPr>
          <w:rFonts w:ascii="Arial" w:eastAsia="Arial Unicode MS" w:hAnsi="Arial" w:cs="Arial"/>
          <w:color w:val="000000" w:themeColor="text1"/>
          <w:sz w:val="22"/>
          <w:szCs w:val="22"/>
          <w:lang w:val="es-ES"/>
        </w:rPr>
        <w:t xml:space="preserve">y de esta manera </w:t>
      </w:r>
      <w:r w:rsidRPr="00E453DB">
        <w:rPr>
          <w:rFonts w:ascii="Arial" w:eastAsia="Arial Unicode MS" w:hAnsi="Arial" w:cs="Arial"/>
          <w:color w:val="000000" w:themeColor="text1"/>
          <w:sz w:val="22"/>
          <w:szCs w:val="22"/>
          <w:lang w:val="es-ES"/>
        </w:rPr>
        <w:t>fortalecer derechos del humedal</w:t>
      </w:r>
      <w:r>
        <w:rPr>
          <w:rFonts w:ascii="Arial" w:eastAsia="Arial Unicode MS" w:hAnsi="Arial" w:cs="Arial"/>
          <w:color w:val="000000" w:themeColor="text1"/>
          <w:sz w:val="22"/>
          <w:szCs w:val="22"/>
          <w:lang w:val="es-ES"/>
        </w:rPr>
        <w:t xml:space="preserve"> de Bosa - S</w:t>
      </w:r>
      <w:r w:rsidRPr="00E453DB">
        <w:rPr>
          <w:rFonts w:ascii="Arial" w:eastAsia="Arial Unicode MS" w:hAnsi="Arial" w:cs="Arial"/>
          <w:color w:val="000000" w:themeColor="text1"/>
          <w:sz w:val="22"/>
          <w:szCs w:val="22"/>
          <w:lang w:val="es-ES"/>
        </w:rPr>
        <w:t>uguachuque</w:t>
      </w:r>
      <w:r>
        <w:rPr>
          <w:rFonts w:ascii="Arial" w:eastAsia="Arial Unicode MS" w:hAnsi="Arial" w:cs="Arial"/>
          <w:color w:val="000000" w:themeColor="text1"/>
          <w:sz w:val="22"/>
          <w:szCs w:val="22"/>
          <w:lang w:val="es-ES"/>
        </w:rPr>
        <w:t>.</w:t>
      </w:r>
    </w:p>
    <w:p w14:paraId="0E7B0631" w14:textId="77777777" w:rsidR="00882768" w:rsidRDefault="00882768" w:rsidP="00FB2062">
      <w:pPr>
        <w:pStyle w:val="NormalWeb"/>
        <w:spacing w:before="0" w:beforeAutospacing="0" w:after="0" w:afterAutospacing="0"/>
        <w:jc w:val="both"/>
        <w:rPr>
          <w:rFonts w:ascii="Arial" w:eastAsia="Arial Unicode MS" w:hAnsi="Arial" w:cs="Arial"/>
          <w:color w:val="000000" w:themeColor="text1"/>
          <w:sz w:val="22"/>
          <w:szCs w:val="22"/>
          <w:lang w:val="es-ES"/>
        </w:rPr>
      </w:pPr>
    </w:p>
    <w:p w14:paraId="472DD487" w14:textId="46C8553E" w:rsidR="00882768" w:rsidRDefault="00882768" w:rsidP="00FB2062">
      <w:pPr>
        <w:pStyle w:val="NormalWeb"/>
        <w:spacing w:before="0" w:beforeAutospacing="0" w:after="0" w:afterAutospacing="0"/>
        <w:jc w:val="both"/>
        <w:rPr>
          <w:rFonts w:ascii="Arial" w:eastAsia="Arial Unicode MS" w:hAnsi="Arial" w:cs="Arial"/>
          <w:color w:val="000000" w:themeColor="text1"/>
          <w:sz w:val="22"/>
          <w:szCs w:val="22"/>
          <w:lang w:val="es-ES"/>
        </w:rPr>
      </w:pPr>
      <w:r>
        <w:rPr>
          <w:rFonts w:ascii="Arial" w:eastAsia="Arial Unicode MS" w:hAnsi="Arial" w:cs="Arial"/>
          <w:color w:val="000000" w:themeColor="text1"/>
          <w:sz w:val="22"/>
          <w:szCs w:val="22"/>
          <w:lang w:val="es-ES"/>
        </w:rPr>
        <w:t xml:space="preserve">En coordinación con el programa patrimonios barriales con intervención de mano de obra comunitaria, que incluyó la participación de la comunidad de la localidad en temáticas de restauración y su proceso de formación en doble vía; así mismo se logró la articulación con emisoras comunitarias de Bosa y el apoyo de la comunidad, se avanzó en la </w:t>
      </w:r>
      <w:r w:rsidRPr="005F74F4">
        <w:rPr>
          <w:rFonts w:ascii="Arial" w:eastAsia="Arial Unicode MS" w:hAnsi="Arial" w:cs="Arial"/>
          <w:color w:val="000000" w:themeColor="text1"/>
          <w:sz w:val="22"/>
          <w:szCs w:val="22"/>
          <w:lang w:val="es-ES"/>
        </w:rPr>
        <w:t>intervención de e</w:t>
      </w:r>
      <w:r>
        <w:rPr>
          <w:rFonts w:ascii="Arial" w:eastAsia="Arial Unicode MS" w:hAnsi="Arial" w:cs="Arial"/>
          <w:color w:val="000000" w:themeColor="text1"/>
          <w:sz w:val="22"/>
          <w:szCs w:val="22"/>
          <w:lang w:val="es-ES"/>
        </w:rPr>
        <w:t>n</w:t>
      </w:r>
      <w:r w:rsidRPr="005F74F4">
        <w:rPr>
          <w:rFonts w:ascii="Arial" w:eastAsia="Arial Unicode MS" w:hAnsi="Arial" w:cs="Arial"/>
          <w:color w:val="000000" w:themeColor="text1"/>
          <w:sz w:val="22"/>
          <w:szCs w:val="22"/>
          <w:lang w:val="es-ES"/>
        </w:rPr>
        <w:t>lu</w:t>
      </w:r>
      <w:r>
        <w:rPr>
          <w:rFonts w:ascii="Arial" w:eastAsia="Arial Unicode MS" w:hAnsi="Arial" w:cs="Arial"/>
          <w:color w:val="000000" w:themeColor="text1"/>
          <w:sz w:val="22"/>
          <w:szCs w:val="22"/>
          <w:lang w:val="es-ES"/>
        </w:rPr>
        <w:t>cimiento</w:t>
      </w:r>
      <w:r w:rsidRPr="005F74F4">
        <w:rPr>
          <w:rFonts w:ascii="Arial" w:eastAsia="Arial Unicode MS" w:hAnsi="Arial" w:cs="Arial"/>
          <w:color w:val="000000" w:themeColor="text1"/>
          <w:sz w:val="22"/>
          <w:szCs w:val="22"/>
          <w:lang w:val="es-ES"/>
        </w:rPr>
        <w:t xml:space="preserve"> de fachadas</w:t>
      </w:r>
      <w:r>
        <w:rPr>
          <w:rFonts w:ascii="Arial" w:eastAsia="Arial Unicode MS" w:hAnsi="Arial" w:cs="Arial"/>
          <w:color w:val="000000" w:themeColor="text1"/>
          <w:sz w:val="22"/>
          <w:szCs w:val="22"/>
          <w:lang w:val="es-ES"/>
        </w:rPr>
        <w:t>, con una inversión de 230 millones de pesos, en donde se incluye la i</w:t>
      </w:r>
      <w:r w:rsidRPr="005F74F4">
        <w:rPr>
          <w:rFonts w:ascii="Arial" w:eastAsia="Arial Unicode MS" w:hAnsi="Arial" w:cs="Arial"/>
          <w:color w:val="000000" w:themeColor="text1"/>
          <w:sz w:val="22"/>
          <w:szCs w:val="22"/>
          <w:lang w:val="es-ES"/>
        </w:rPr>
        <w:t xml:space="preserve">ntervención del </w:t>
      </w:r>
      <w:r>
        <w:rPr>
          <w:rFonts w:ascii="Arial" w:eastAsia="Arial Unicode MS" w:hAnsi="Arial" w:cs="Arial"/>
          <w:color w:val="000000" w:themeColor="text1"/>
          <w:sz w:val="22"/>
          <w:szCs w:val="22"/>
          <w:lang w:val="es-ES"/>
        </w:rPr>
        <w:t>M</w:t>
      </w:r>
      <w:r w:rsidRPr="005F74F4">
        <w:rPr>
          <w:rFonts w:ascii="Arial" w:eastAsia="Arial Unicode MS" w:hAnsi="Arial" w:cs="Arial"/>
          <w:color w:val="000000" w:themeColor="text1"/>
          <w:sz w:val="22"/>
          <w:szCs w:val="22"/>
          <w:lang w:val="es-ES"/>
        </w:rPr>
        <w:t xml:space="preserve">onasterio religioso y </w:t>
      </w:r>
      <w:r>
        <w:rPr>
          <w:rFonts w:ascii="Arial" w:eastAsia="Arial Unicode MS" w:hAnsi="Arial" w:cs="Arial"/>
          <w:color w:val="000000" w:themeColor="text1"/>
          <w:sz w:val="22"/>
          <w:szCs w:val="22"/>
          <w:lang w:val="es-ES"/>
        </w:rPr>
        <w:t>el monumento de la A</w:t>
      </w:r>
      <w:r w:rsidRPr="005F74F4">
        <w:rPr>
          <w:rFonts w:ascii="Arial" w:eastAsia="Arial Unicode MS" w:hAnsi="Arial" w:cs="Arial"/>
          <w:color w:val="000000" w:themeColor="text1"/>
          <w:sz w:val="22"/>
          <w:szCs w:val="22"/>
          <w:lang w:val="es-ES"/>
        </w:rPr>
        <w:t xml:space="preserve">lameda (12 personas de la comunidad participaron).   </w:t>
      </w:r>
    </w:p>
    <w:p w14:paraId="1ED7091C" w14:textId="77777777" w:rsidR="00DA28B6" w:rsidRDefault="00DA28B6" w:rsidP="00FB2062">
      <w:pPr>
        <w:tabs>
          <w:tab w:val="left" w:pos="284"/>
        </w:tabs>
        <w:jc w:val="both"/>
        <w:rPr>
          <w:rFonts w:cs="Arial"/>
          <w:color w:val="222222"/>
          <w:szCs w:val="22"/>
          <w:shd w:val="clear" w:color="auto" w:fill="FFFFFF"/>
        </w:rPr>
      </w:pPr>
    </w:p>
    <w:p w14:paraId="5A47E08C" w14:textId="6A1EFA4E" w:rsidR="009B2E69" w:rsidRDefault="009B2E69" w:rsidP="00FB2062">
      <w:pPr>
        <w:tabs>
          <w:tab w:val="left" w:pos="284"/>
        </w:tabs>
        <w:jc w:val="both"/>
        <w:rPr>
          <w:rFonts w:cs="Arial"/>
          <w:color w:val="222222"/>
          <w:szCs w:val="22"/>
          <w:shd w:val="clear" w:color="auto" w:fill="FFFFFF"/>
        </w:rPr>
      </w:pPr>
    </w:p>
    <w:p w14:paraId="41758443" w14:textId="545FD6D4" w:rsidR="00C82515" w:rsidRDefault="00C82515" w:rsidP="00FB2062">
      <w:pPr>
        <w:tabs>
          <w:tab w:val="left" w:pos="284"/>
        </w:tabs>
        <w:jc w:val="both"/>
        <w:rPr>
          <w:rFonts w:cs="Arial"/>
          <w:color w:val="222222"/>
          <w:szCs w:val="22"/>
          <w:shd w:val="clear" w:color="auto" w:fill="FFFFFF"/>
        </w:rPr>
      </w:pPr>
    </w:p>
    <w:p w14:paraId="777CC0EC" w14:textId="1A68119D" w:rsidR="00C82515" w:rsidRDefault="00C82515" w:rsidP="00FB2062">
      <w:pPr>
        <w:tabs>
          <w:tab w:val="left" w:pos="284"/>
        </w:tabs>
        <w:jc w:val="both"/>
        <w:rPr>
          <w:rFonts w:cs="Arial"/>
          <w:color w:val="222222"/>
          <w:szCs w:val="22"/>
          <w:shd w:val="clear" w:color="auto" w:fill="FFFFFF"/>
        </w:rPr>
      </w:pPr>
      <w:r>
        <w:rPr>
          <w:rFonts w:cs="Arial"/>
          <w:noProof/>
          <w:color w:val="222222"/>
          <w:szCs w:val="22"/>
          <w:shd w:val="clear" w:color="auto" w:fill="FFFFFF"/>
          <w:lang w:eastAsia="es-CO"/>
        </w:rPr>
        <w:lastRenderedPageBreak/>
        <w:drawing>
          <wp:inline distT="0" distB="0" distL="0" distR="0" wp14:anchorId="7BCBCA8B" wp14:editId="01952CD5">
            <wp:extent cx="3320415" cy="186827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5628" cy="1871206"/>
                    </a:xfrm>
                    <a:prstGeom prst="rect">
                      <a:avLst/>
                    </a:prstGeom>
                    <a:noFill/>
                  </pic:spPr>
                </pic:pic>
              </a:graphicData>
            </a:graphic>
          </wp:inline>
        </w:drawing>
      </w:r>
    </w:p>
    <w:p w14:paraId="70A9116C" w14:textId="77777777" w:rsidR="00770519" w:rsidRPr="00770519" w:rsidRDefault="00770519" w:rsidP="00FB2062">
      <w:pPr>
        <w:tabs>
          <w:tab w:val="left" w:pos="284"/>
        </w:tabs>
        <w:jc w:val="both"/>
        <w:rPr>
          <w:rFonts w:cs="Arial"/>
          <w:i/>
          <w:sz w:val="14"/>
          <w:szCs w:val="14"/>
        </w:rPr>
      </w:pPr>
      <w:r w:rsidRPr="00770519">
        <w:rPr>
          <w:rFonts w:cs="Arial"/>
          <w:i/>
          <w:sz w:val="14"/>
          <w:szCs w:val="14"/>
        </w:rPr>
        <w:t>Registro fotográfico - IDPC</w:t>
      </w:r>
    </w:p>
    <w:p w14:paraId="51329550" w14:textId="1C9711E7" w:rsidR="00C82515" w:rsidRDefault="00C82515" w:rsidP="00FB2062">
      <w:pPr>
        <w:tabs>
          <w:tab w:val="left" w:pos="284"/>
        </w:tabs>
        <w:jc w:val="both"/>
        <w:rPr>
          <w:rFonts w:cs="Arial"/>
          <w:color w:val="222222"/>
          <w:szCs w:val="22"/>
          <w:shd w:val="clear" w:color="auto" w:fill="FFFFFF"/>
        </w:rPr>
      </w:pPr>
    </w:p>
    <w:p w14:paraId="1C0CCAE5" w14:textId="30F52016" w:rsidR="009B2E69" w:rsidRDefault="00882768" w:rsidP="00FB2062">
      <w:pPr>
        <w:tabs>
          <w:tab w:val="left" w:pos="284"/>
        </w:tabs>
        <w:ind w:left="3402"/>
        <w:jc w:val="both"/>
        <w:rPr>
          <w:rFonts w:cs="Arial"/>
          <w:color w:val="222222"/>
          <w:szCs w:val="22"/>
          <w:shd w:val="clear" w:color="auto" w:fill="FFFFFF"/>
        </w:rPr>
      </w:pPr>
      <w:r>
        <w:rPr>
          <w:rFonts w:cs="Arial"/>
          <w:noProof/>
          <w:color w:val="222222"/>
          <w:szCs w:val="22"/>
          <w:shd w:val="clear" w:color="auto" w:fill="FFFFFF"/>
          <w:lang w:eastAsia="es-CO"/>
        </w:rPr>
        <w:drawing>
          <wp:inline distT="0" distB="0" distL="0" distR="0" wp14:anchorId="39676007" wp14:editId="3408EAAF">
            <wp:extent cx="3234055" cy="2165350"/>
            <wp:effectExtent l="0" t="0" r="444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1358" cy="2176935"/>
                    </a:xfrm>
                    <a:prstGeom prst="rect">
                      <a:avLst/>
                    </a:prstGeom>
                    <a:noFill/>
                  </pic:spPr>
                </pic:pic>
              </a:graphicData>
            </a:graphic>
          </wp:inline>
        </w:drawing>
      </w:r>
    </w:p>
    <w:p w14:paraId="210E4237" w14:textId="5CAF0BB0" w:rsidR="00770519" w:rsidRPr="00770519" w:rsidRDefault="00770519" w:rsidP="00FB2062">
      <w:pPr>
        <w:tabs>
          <w:tab w:val="left" w:pos="284"/>
        </w:tabs>
        <w:jc w:val="both"/>
        <w:rPr>
          <w:rFonts w:cs="Arial"/>
          <w:i/>
          <w:sz w:val="14"/>
          <w:szCs w:val="14"/>
        </w:rPr>
      </w:pPr>
      <w:r>
        <w:rPr>
          <w:rFonts w:cs="Arial"/>
          <w:i/>
          <w:sz w:val="14"/>
          <w:szCs w:val="14"/>
        </w:rPr>
        <w:tab/>
      </w:r>
      <w:r>
        <w:rPr>
          <w:rFonts w:cs="Arial"/>
          <w:i/>
          <w:sz w:val="14"/>
          <w:szCs w:val="14"/>
        </w:rPr>
        <w:tab/>
      </w:r>
      <w:r>
        <w:rPr>
          <w:rFonts w:cs="Arial"/>
          <w:i/>
          <w:sz w:val="14"/>
          <w:szCs w:val="14"/>
        </w:rPr>
        <w:tab/>
      </w:r>
      <w:r>
        <w:rPr>
          <w:rFonts w:cs="Arial"/>
          <w:i/>
          <w:sz w:val="14"/>
          <w:szCs w:val="14"/>
        </w:rPr>
        <w:tab/>
      </w:r>
      <w:r>
        <w:rPr>
          <w:rFonts w:cs="Arial"/>
          <w:i/>
          <w:sz w:val="14"/>
          <w:szCs w:val="14"/>
        </w:rPr>
        <w:tab/>
        <w:t xml:space="preserve">              </w:t>
      </w:r>
      <w:r w:rsidRPr="00770519">
        <w:rPr>
          <w:rFonts w:cs="Arial"/>
          <w:i/>
          <w:sz w:val="14"/>
          <w:szCs w:val="14"/>
        </w:rPr>
        <w:t>Registro fotográfico - IDPC</w:t>
      </w:r>
    </w:p>
    <w:p w14:paraId="46DCB2A6" w14:textId="77777777" w:rsidR="00C82515" w:rsidRDefault="00C82515" w:rsidP="00FB2062">
      <w:pPr>
        <w:tabs>
          <w:tab w:val="left" w:pos="284"/>
        </w:tabs>
        <w:ind w:left="3828"/>
        <w:jc w:val="both"/>
        <w:rPr>
          <w:rFonts w:cs="Arial"/>
          <w:color w:val="222222"/>
          <w:szCs w:val="22"/>
          <w:shd w:val="clear" w:color="auto" w:fill="FFFFFF"/>
        </w:rPr>
      </w:pPr>
    </w:p>
    <w:p w14:paraId="2729EFD1" w14:textId="75394410" w:rsidR="009B2E69" w:rsidRDefault="00C82515" w:rsidP="00FB2062">
      <w:pPr>
        <w:tabs>
          <w:tab w:val="left" w:pos="284"/>
        </w:tabs>
        <w:jc w:val="both"/>
        <w:rPr>
          <w:rFonts w:cs="Arial"/>
          <w:color w:val="222222"/>
          <w:szCs w:val="22"/>
          <w:shd w:val="clear" w:color="auto" w:fill="FFFFFF"/>
        </w:rPr>
      </w:pPr>
      <w:r>
        <w:rPr>
          <w:rFonts w:cs="Arial"/>
          <w:noProof/>
          <w:color w:val="222222"/>
          <w:szCs w:val="22"/>
          <w:shd w:val="clear" w:color="auto" w:fill="FFFFFF"/>
          <w:lang w:eastAsia="es-CO"/>
        </w:rPr>
        <w:drawing>
          <wp:inline distT="0" distB="0" distL="0" distR="0" wp14:anchorId="5317C8AC" wp14:editId="67792B82">
            <wp:extent cx="3543300" cy="1992856"/>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54606" cy="1999215"/>
                    </a:xfrm>
                    <a:prstGeom prst="rect">
                      <a:avLst/>
                    </a:prstGeom>
                    <a:noFill/>
                  </pic:spPr>
                </pic:pic>
              </a:graphicData>
            </a:graphic>
          </wp:inline>
        </w:drawing>
      </w:r>
    </w:p>
    <w:p w14:paraId="4260387A" w14:textId="77777777" w:rsidR="00770519" w:rsidRPr="00770519" w:rsidRDefault="00770519" w:rsidP="00FB2062">
      <w:pPr>
        <w:tabs>
          <w:tab w:val="left" w:pos="284"/>
        </w:tabs>
        <w:jc w:val="both"/>
        <w:rPr>
          <w:rFonts w:cs="Arial"/>
          <w:i/>
          <w:sz w:val="14"/>
          <w:szCs w:val="14"/>
        </w:rPr>
      </w:pPr>
      <w:r w:rsidRPr="00770519">
        <w:rPr>
          <w:rFonts w:cs="Arial"/>
          <w:i/>
          <w:sz w:val="14"/>
          <w:szCs w:val="14"/>
        </w:rPr>
        <w:t>Registro fotográfico - IDPC</w:t>
      </w:r>
    </w:p>
    <w:p w14:paraId="1FD5B668" w14:textId="595E6F96" w:rsidR="00A4095B" w:rsidRPr="00460856" w:rsidRDefault="00A4095B" w:rsidP="00460856">
      <w:pPr>
        <w:pStyle w:val="Prrafodelista"/>
        <w:ind w:left="851"/>
        <w:jc w:val="both"/>
        <w:rPr>
          <w:rFonts w:cs="Arial"/>
          <w:b/>
        </w:rPr>
      </w:pPr>
    </w:p>
    <w:p w14:paraId="64C3732B" w14:textId="77777777" w:rsidR="00A4095B" w:rsidRPr="00AE2628" w:rsidRDefault="00A4095B" w:rsidP="005F400D">
      <w:pPr>
        <w:pStyle w:val="Prrafodelista"/>
        <w:numPr>
          <w:ilvl w:val="0"/>
          <w:numId w:val="11"/>
        </w:numPr>
        <w:ind w:left="851"/>
        <w:jc w:val="both"/>
        <w:rPr>
          <w:rFonts w:cs="Arial"/>
          <w:b/>
        </w:rPr>
      </w:pPr>
      <w:bookmarkStart w:id="3" w:name="_Hlk91088485"/>
      <w:r w:rsidRPr="00AE2628">
        <w:rPr>
          <w:rFonts w:cs="Arial"/>
          <w:b/>
        </w:rPr>
        <w:t xml:space="preserve">Espacio para Presentar Preguntas o Propuestas </w:t>
      </w:r>
    </w:p>
    <w:bookmarkEnd w:id="3"/>
    <w:p w14:paraId="39262C16" w14:textId="77777777" w:rsidR="00A4095B" w:rsidRDefault="00A4095B" w:rsidP="00FB2062">
      <w:pPr>
        <w:ind w:left="709" w:hanging="709"/>
        <w:jc w:val="both"/>
        <w:rPr>
          <w:rFonts w:cs="Arial"/>
        </w:rPr>
      </w:pPr>
    </w:p>
    <w:p w14:paraId="491EA62C" w14:textId="0335F02A" w:rsidR="00A944C7" w:rsidRPr="00E7407A" w:rsidRDefault="00A944C7" w:rsidP="00FB2062">
      <w:pPr>
        <w:tabs>
          <w:tab w:val="left" w:pos="284"/>
        </w:tabs>
        <w:jc w:val="both"/>
        <w:rPr>
          <w:rFonts w:cs="Arial"/>
          <w:color w:val="000000" w:themeColor="text1"/>
          <w:szCs w:val="22"/>
        </w:rPr>
      </w:pPr>
      <w:r w:rsidRPr="00E7407A">
        <w:rPr>
          <w:rFonts w:cs="Arial"/>
          <w:color w:val="000000" w:themeColor="text1"/>
          <w:szCs w:val="22"/>
        </w:rPr>
        <w:t xml:space="preserve">Durante la presentación del </w:t>
      </w:r>
      <w:r w:rsidR="00A70FA3" w:rsidRPr="00E7407A">
        <w:rPr>
          <w:rFonts w:cs="Arial"/>
          <w:color w:val="000000" w:themeColor="text1"/>
          <w:szCs w:val="22"/>
        </w:rPr>
        <w:t>director</w:t>
      </w:r>
      <w:r w:rsidRPr="00E7407A">
        <w:rPr>
          <w:rFonts w:cs="Arial"/>
          <w:color w:val="000000" w:themeColor="text1"/>
          <w:szCs w:val="22"/>
        </w:rPr>
        <w:t xml:space="preserve">, un ciudadano formula la pregunta relacionada con si se va a continuar con el proyecto patrimonios barriales y cómo se va a desarrollar. </w:t>
      </w:r>
    </w:p>
    <w:p w14:paraId="37D9CBAA" w14:textId="77777777" w:rsidR="00A944C7" w:rsidRPr="00E7407A" w:rsidRDefault="00A944C7" w:rsidP="00FB2062">
      <w:pPr>
        <w:tabs>
          <w:tab w:val="left" w:pos="284"/>
        </w:tabs>
        <w:jc w:val="both"/>
        <w:rPr>
          <w:rFonts w:cs="Arial"/>
          <w:color w:val="000000" w:themeColor="text1"/>
          <w:szCs w:val="22"/>
        </w:rPr>
      </w:pPr>
    </w:p>
    <w:p w14:paraId="3966FEE4" w14:textId="7299C3F7" w:rsidR="00A944C7" w:rsidRPr="00E7407A" w:rsidRDefault="00A944C7" w:rsidP="00FB2062">
      <w:pPr>
        <w:tabs>
          <w:tab w:val="left" w:pos="284"/>
        </w:tabs>
        <w:jc w:val="both"/>
        <w:rPr>
          <w:rFonts w:cs="Arial"/>
          <w:color w:val="000000" w:themeColor="text1"/>
          <w:szCs w:val="22"/>
        </w:rPr>
      </w:pPr>
      <w:r w:rsidRPr="00A944C7">
        <w:rPr>
          <w:rFonts w:cs="Arial"/>
          <w:b/>
          <w:color w:val="000000" w:themeColor="text1"/>
          <w:szCs w:val="22"/>
        </w:rPr>
        <w:t>Rta/:</w:t>
      </w:r>
      <w:r>
        <w:rPr>
          <w:rFonts w:cs="Arial"/>
          <w:color w:val="000000" w:themeColor="text1"/>
          <w:szCs w:val="22"/>
        </w:rPr>
        <w:t xml:space="preserve"> </w:t>
      </w:r>
      <w:r w:rsidRPr="00E7407A">
        <w:rPr>
          <w:rFonts w:cs="Arial"/>
          <w:color w:val="000000" w:themeColor="text1"/>
          <w:szCs w:val="22"/>
        </w:rPr>
        <w:t xml:space="preserve">El Director responde que durante la vigencia 2021 se va a formular un plan piloto de instrumento de ordenamiento territorial con una inversión aproximada de 3 mil millones de </w:t>
      </w:r>
      <w:r w:rsidRPr="00E7407A">
        <w:rPr>
          <w:rFonts w:cs="Arial"/>
          <w:color w:val="000000" w:themeColor="text1"/>
          <w:szCs w:val="22"/>
        </w:rPr>
        <w:lastRenderedPageBreak/>
        <w:t>pesos en clave de reivindicación de niños/as y jóvenes, integrando los patrimonios barriales, con la activación de entornos patrimoniales, patrimonios indígenas, programa de los humedales y los planes especiales de manejo y protección, instrumentos orientados a la protección y sostenibilidad del patrimonio cultural de la ciudad y de los territorios.</w:t>
      </w:r>
    </w:p>
    <w:p w14:paraId="3F4D4B44" w14:textId="77777777" w:rsidR="00A944C7" w:rsidRPr="00A944C7" w:rsidRDefault="00A944C7" w:rsidP="00FB2062">
      <w:pPr>
        <w:tabs>
          <w:tab w:val="left" w:pos="284"/>
        </w:tabs>
        <w:jc w:val="both"/>
        <w:rPr>
          <w:rFonts w:cs="Arial"/>
          <w:b/>
          <w:color w:val="000000" w:themeColor="text1"/>
          <w:szCs w:val="22"/>
        </w:rPr>
      </w:pPr>
    </w:p>
    <w:p w14:paraId="134D52C3" w14:textId="4AA58A97" w:rsidR="00A944C7" w:rsidRPr="00E7407A" w:rsidRDefault="00F354AE" w:rsidP="00FB2062">
      <w:pPr>
        <w:tabs>
          <w:tab w:val="left" w:pos="284"/>
        </w:tabs>
        <w:jc w:val="both"/>
        <w:rPr>
          <w:rFonts w:cs="Arial"/>
          <w:color w:val="000000" w:themeColor="text1"/>
          <w:szCs w:val="22"/>
        </w:rPr>
      </w:pPr>
      <w:r>
        <w:rPr>
          <w:rFonts w:cs="Arial"/>
          <w:b/>
          <w:color w:val="000000" w:themeColor="text1"/>
          <w:szCs w:val="22"/>
        </w:rPr>
        <w:t>Pregunta 1</w:t>
      </w:r>
      <w:r w:rsidR="00A944C7">
        <w:rPr>
          <w:rFonts w:cs="Arial"/>
          <w:b/>
          <w:color w:val="000000" w:themeColor="text1"/>
          <w:szCs w:val="22"/>
        </w:rPr>
        <w:t xml:space="preserve">: </w:t>
      </w:r>
      <w:r w:rsidR="00A944C7" w:rsidRPr="00E7407A">
        <w:rPr>
          <w:rFonts w:cs="Arial"/>
          <w:color w:val="000000" w:themeColor="text1"/>
          <w:szCs w:val="22"/>
        </w:rPr>
        <w:t>¿Con la formulación del instrumento de ordenamiento territorial, se van a tener en cuenta los humedales más grandes de Bosa y otras localidades que forman parte del POT?</w:t>
      </w:r>
    </w:p>
    <w:p w14:paraId="186CBB43" w14:textId="77777777" w:rsidR="00A944C7" w:rsidRPr="00E7407A" w:rsidRDefault="00A944C7" w:rsidP="00FB2062">
      <w:pPr>
        <w:tabs>
          <w:tab w:val="left" w:pos="284"/>
        </w:tabs>
        <w:jc w:val="both"/>
        <w:rPr>
          <w:rFonts w:cs="Arial"/>
          <w:color w:val="000000" w:themeColor="text1"/>
          <w:szCs w:val="22"/>
        </w:rPr>
      </w:pPr>
      <w:r w:rsidRPr="00E7407A">
        <w:rPr>
          <w:rFonts w:cs="Arial"/>
          <w:color w:val="000000" w:themeColor="text1"/>
          <w:szCs w:val="22"/>
        </w:rPr>
        <w:t xml:space="preserve">    </w:t>
      </w:r>
    </w:p>
    <w:p w14:paraId="1E58CA91" w14:textId="5BFDEC8F" w:rsidR="00A944C7" w:rsidRPr="00E7407A" w:rsidRDefault="00A944C7" w:rsidP="00FB2062">
      <w:pPr>
        <w:tabs>
          <w:tab w:val="left" w:pos="284"/>
        </w:tabs>
        <w:jc w:val="both"/>
        <w:rPr>
          <w:rFonts w:cs="Arial"/>
          <w:color w:val="000000" w:themeColor="text1"/>
          <w:szCs w:val="22"/>
        </w:rPr>
      </w:pPr>
      <w:r w:rsidRPr="00A944C7">
        <w:rPr>
          <w:rFonts w:cs="Arial"/>
          <w:b/>
          <w:color w:val="000000" w:themeColor="text1"/>
          <w:szCs w:val="22"/>
        </w:rPr>
        <w:t>Rta/:</w:t>
      </w:r>
      <w:r>
        <w:rPr>
          <w:rFonts w:cs="Arial"/>
          <w:color w:val="000000" w:themeColor="text1"/>
          <w:szCs w:val="22"/>
        </w:rPr>
        <w:t xml:space="preserve"> </w:t>
      </w:r>
      <w:r w:rsidRPr="00E7407A">
        <w:rPr>
          <w:rFonts w:cs="Arial"/>
          <w:color w:val="000000" w:themeColor="text1"/>
          <w:szCs w:val="22"/>
        </w:rPr>
        <w:t>Con la redefinición de las Unidades de Planeación Local UPL en la actualización del POT, se deben tener en cuenta las relaciones de interacción con otros territorios, incluyendo esos humedales, de manera que el instrumento los pueda incorporar en los territorios y su área de influencia, contando con el apoyo de las comunidades.</w:t>
      </w:r>
    </w:p>
    <w:p w14:paraId="4F5FCC41" w14:textId="77777777" w:rsidR="00A944C7" w:rsidRPr="00E7407A" w:rsidRDefault="00A944C7" w:rsidP="00FB2062">
      <w:pPr>
        <w:tabs>
          <w:tab w:val="left" w:pos="284"/>
        </w:tabs>
        <w:jc w:val="both"/>
        <w:rPr>
          <w:rFonts w:cs="Arial"/>
          <w:color w:val="000000" w:themeColor="text1"/>
          <w:szCs w:val="22"/>
        </w:rPr>
      </w:pPr>
    </w:p>
    <w:p w14:paraId="292BC091" w14:textId="2D115969" w:rsidR="00A944C7" w:rsidRPr="00E7407A" w:rsidRDefault="00F354AE" w:rsidP="00FB2062">
      <w:pPr>
        <w:tabs>
          <w:tab w:val="left" w:pos="284"/>
        </w:tabs>
        <w:jc w:val="both"/>
        <w:rPr>
          <w:rFonts w:cs="Arial"/>
          <w:color w:val="000000" w:themeColor="text1"/>
          <w:szCs w:val="22"/>
        </w:rPr>
      </w:pPr>
      <w:r>
        <w:rPr>
          <w:rFonts w:cs="Arial"/>
          <w:b/>
          <w:color w:val="000000" w:themeColor="text1"/>
          <w:szCs w:val="22"/>
        </w:rPr>
        <w:t>Pregunta 2</w:t>
      </w:r>
      <w:r w:rsidR="00A944C7">
        <w:rPr>
          <w:rFonts w:cs="Arial"/>
          <w:b/>
          <w:color w:val="000000" w:themeColor="text1"/>
          <w:szCs w:val="22"/>
        </w:rPr>
        <w:t>:</w:t>
      </w:r>
      <w:r w:rsidR="00A944C7" w:rsidRPr="00E7407A">
        <w:rPr>
          <w:rFonts w:cs="Arial"/>
          <w:color w:val="000000" w:themeColor="text1"/>
          <w:szCs w:val="22"/>
        </w:rPr>
        <w:t xml:space="preserve"> ¿Un ciudadano pregunta que al frente del lugar donde vive, cerca al portal de las américas, en la esquina se encuentra el colegio Jaime Garzón, quisiera saber si este inmueble está identificado como Bien de Interés Cultural? o que se debe hacer para que se declare como BIC?    </w:t>
      </w:r>
    </w:p>
    <w:p w14:paraId="0E87442F" w14:textId="77777777" w:rsidR="00A944C7" w:rsidRPr="00E7407A" w:rsidRDefault="00A944C7" w:rsidP="00FB2062">
      <w:pPr>
        <w:tabs>
          <w:tab w:val="left" w:pos="284"/>
        </w:tabs>
        <w:jc w:val="both"/>
        <w:rPr>
          <w:rFonts w:cs="Arial"/>
          <w:color w:val="000000" w:themeColor="text1"/>
          <w:szCs w:val="22"/>
        </w:rPr>
      </w:pPr>
    </w:p>
    <w:p w14:paraId="764F79D1" w14:textId="04C7106C" w:rsidR="00A944C7" w:rsidRPr="00E7407A" w:rsidRDefault="00A944C7" w:rsidP="00FB2062">
      <w:pPr>
        <w:tabs>
          <w:tab w:val="left" w:pos="284"/>
        </w:tabs>
        <w:jc w:val="both"/>
        <w:rPr>
          <w:rFonts w:cs="Arial"/>
          <w:color w:val="000000" w:themeColor="text1"/>
          <w:szCs w:val="22"/>
        </w:rPr>
      </w:pPr>
      <w:r w:rsidRPr="00A944C7">
        <w:rPr>
          <w:rFonts w:cs="Arial"/>
          <w:b/>
          <w:color w:val="000000" w:themeColor="text1"/>
          <w:szCs w:val="22"/>
        </w:rPr>
        <w:t>Rta/:</w:t>
      </w:r>
      <w:r w:rsidRPr="00E7407A">
        <w:rPr>
          <w:rFonts w:cs="Arial"/>
          <w:color w:val="000000" w:themeColor="text1"/>
          <w:szCs w:val="22"/>
        </w:rPr>
        <w:t xml:space="preserve"> La Secretaría de Cultura Recreación y Deporte es la entidad encargada de definir el uso que se le dará a este bien, y poderlo convertir en un espacio cultural para la localidad, el rol del Instituto Distrital de Patrimonio Cultural, será vigilar la intervención del inmueble al ser de interés patrimonial. </w:t>
      </w:r>
    </w:p>
    <w:p w14:paraId="62013059" w14:textId="77777777" w:rsidR="00A944C7" w:rsidRPr="00E7407A" w:rsidRDefault="00A944C7" w:rsidP="00FB2062">
      <w:pPr>
        <w:tabs>
          <w:tab w:val="left" w:pos="284"/>
        </w:tabs>
        <w:jc w:val="both"/>
        <w:rPr>
          <w:rFonts w:cs="Arial"/>
          <w:color w:val="000000" w:themeColor="text1"/>
          <w:szCs w:val="22"/>
        </w:rPr>
      </w:pPr>
    </w:p>
    <w:p w14:paraId="62A8B60C" w14:textId="4B8DC825" w:rsidR="00A944C7" w:rsidRPr="00E7407A" w:rsidRDefault="00F354AE" w:rsidP="00FB2062">
      <w:pPr>
        <w:tabs>
          <w:tab w:val="left" w:pos="284"/>
        </w:tabs>
        <w:jc w:val="both"/>
        <w:rPr>
          <w:rFonts w:cs="Arial"/>
          <w:color w:val="000000" w:themeColor="text1"/>
          <w:szCs w:val="22"/>
        </w:rPr>
      </w:pPr>
      <w:r>
        <w:rPr>
          <w:rFonts w:cs="Arial"/>
          <w:b/>
          <w:color w:val="000000" w:themeColor="text1"/>
          <w:szCs w:val="22"/>
        </w:rPr>
        <w:t>Pregunta 3</w:t>
      </w:r>
      <w:r w:rsidR="00A944C7">
        <w:rPr>
          <w:rFonts w:cs="Arial"/>
          <w:b/>
          <w:color w:val="000000" w:themeColor="text1"/>
          <w:szCs w:val="22"/>
        </w:rPr>
        <w:t>:</w:t>
      </w:r>
      <w:r w:rsidR="00A944C7" w:rsidRPr="00E7407A">
        <w:rPr>
          <w:rFonts w:cs="Arial"/>
          <w:color w:val="000000" w:themeColor="text1"/>
          <w:szCs w:val="22"/>
        </w:rPr>
        <w:t xml:space="preserve"> Gladys Angélica Rodríguez ¿Desde el IDPC, qué mirada tienen y cuál es el futuro cercano del Colegio Francisco de Paula Santander? ¿Se va a revisar con el equipo de Patrimonio Cultural?</w:t>
      </w:r>
    </w:p>
    <w:p w14:paraId="7D5CE3E4" w14:textId="77777777" w:rsidR="00A944C7" w:rsidRPr="00E7407A" w:rsidRDefault="00A944C7" w:rsidP="00FB2062">
      <w:pPr>
        <w:tabs>
          <w:tab w:val="left" w:pos="284"/>
        </w:tabs>
        <w:jc w:val="both"/>
        <w:rPr>
          <w:rFonts w:cs="Arial"/>
          <w:color w:val="000000" w:themeColor="text1"/>
          <w:szCs w:val="22"/>
        </w:rPr>
      </w:pPr>
    </w:p>
    <w:p w14:paraId="6F9F937E" w14:textId="3F7D97CB" w:rsidR="00A944C7" w:rsidRPr="00E7407A" w:rsidRDefault="00A944C7" w:rsidP="00FB2062">
      <w:pPr>
        <w:tabs>
          <w:tab w:val="left" w:pos="284"/>
        </w:tabs>
        <w:jc w:val="both"/>
        <w:rPr>
          <w:rFonts w:cs="Arial"/>
          <w:color w:val="000000" w:themeColor="text1"/>
          <w:szCs w:val="22"/>
        </w:rPr>
      </w:pPr>
      <w:r w:rsidRPr="00A944C7">
        <w:rPr>
          <w:rFonts w:cs="Arial"/>
          <w:b/>
          <w:color w:val="000000" w:themeColor="text1"/>
          <w:szCs w:val="22"/>
        </w:rPr>
        <w:t>Rta/:</w:t>
      </w:r>
      <w:r w:rsidRPr="00E7407A">
        <w:rPr>
          <w:rFonts w:cs="Arial"/>
          <w:color w:val="000000" w:themeColor="text1"/>
          <w:szCs w:val="22"/>
        </w:rPr>
        <w:t xml:space="preserve"> El tema general de un equipamiento es una inversión costosa, que debe ser contemplado por la Alcaldía Local.   </w:t>
      </w:r>
    </w:p>
    <w:p w14:paraId="57EA37BE" w14:textId="77777777" w:rsidR="00A944C7" w:rsidRPr="00E7407A" w:rsidRDefault="00A944C7" w:rsidP="00FB2062">
      <w:pPr>
        <w:tabs>
          <w:tab w:val="left" w:pos="284"/>
        </w:tabs>
        <w:jc w:val="both"/>
        <w:rPr>
          <w:rFonts w:cs="Arial"/>
          <w:color w:val="000000" w:themeColor="text1"/>
          <w:szCs w:val="22"/>
        </w:rPr>
      </w:pPr>
    </w:p>
    <w:p w14:paraId="09BF0094" w14:textId="77777777" w:rsidR="00A944C7" w:rsidRDefault="00A944C7" w:rsidP="00FB2062">
      <w:pPr>
        <w:tabs>
          <w:tab w:val="left" w:pos="284"/>
        </w:tabs>
        <w:jc w:val="both"/>
        <w:rPr>
          <w:rFonts w:cs="Arial"/>
          <w:color w:val="000000" w:themeColor="text1"/>
          <w:szCs w:val="22"/>
        </w:rPr>
      </w:pPr>
      <w:r w:rsidRPr="00E7407A">
        <w:rPr>
          <w:rFonts w:cs="Arial"/>
          <w:color w:val="000000" w:themeColor="text1"/>
          <w:szCs w:val="22"/>
        </w:rPr>
        <w:t>El ciudadano William Cubillos, funcionario de la Alcaldía Local de Bosa, interviene para complementar esta respuesta</w:t>
      </w:r>
      <w:r>
        <w:rPr>
          <w:rFonts w:cs="Arial"/>
          <w:color w:val="000000" w:themeColor="text1"/>
          <w:szCs w:val="22"/>
        </w:rPr>
        <w:t xml:space="preserve"> así:</w:t>
      </w:r>
    </w:p>
    <w:p w14:paraId="4F694E50" w14:textId="66521D9C" w:rsidR="00A944C7" w:rsidRPr="00E7407A" w:rsidRDefault="00A944C7" w:rsidP="00FB2062">
      <w:pPr>
        <w:tabs>
          <w:tab w:val="left" w:pos="284"/>
        </w:tabs>
        <w:jc w:val="both"/>
        <w:rPr>
          <w:rFonts w:cs="Arial"/>
          <w:color w:val="000000" w:themeColor="text1"/>
          <w:szCs w:val="22"/>
        </w:rPr>
      </w:pPr>
      <w:r>
        <w:rPr>
          <w:rFonts w:cs="Arial"/>
          <w:color w:val="000000" w:themeColor="text1"/>
          <w:szCs w:val="22"/>
        </w:rPr>
        <w:t>“</w:t>
      </w:r>
      <w:r w:rsidRPr="00A944C7">
        <w:rPr>
          <w:rFonts w:cs="Arial"/>
          <w:i/>
          <w:color w:val="000000" w:themeColor="text1"/>
          <w:szCs w:val="22"/>
        </w:rPr>
        <w:t>Creemos que uno de los resultados de inventario y reconocimiento, servirá para generar procesos de protección y salvaguardia; pero es importante organizar el trabajo con entidades gubernamentales, y el trabajo desde la comunidad para proponer su salvaguardia</w:t>
      </w:r>
      <w:r>
        <w:rPr>
          <w:rFonts w:cs="Arial"/>
          <w:color w:val="000000" w:themeColor="text1"/>
          <w:szCs w:val="22"/>
        </w:rPr>
        <w:t>”</w:t>
      </w:r>
      <w:r w:rsidRPr="00E7407A">
        <w:rPr>
          <w:rFonts w:cs="Arial"/>
          <w:color w:val="000000" w:themeColor="text1"/>
          <w:szCs w:val="22"/>
        </w:rPr>
        <w:t xml:space="preserve">       </w:t>
      </w:r>
    </w:p>
    <w:p w14:paraId="33A5ED13" w14:textId="30C12BF3" w:rsidR="00522407" w:rsidRDefault="00A4095B" w:rsidP="00FB2062">
      <w:pPr>
        <w:ind w:left="142" w:hanging="709"/>
        <w:jc w:val="both"/>
        <w:rPr>
          <w:rFonts w:cs="Arial"/>
          <w:b/>
        </w:rPr>
      </w:pPr>
      <w:r>
        <w:rPr>
          <w:rFonts w:cs="Arial"/>
        </w:rPr>
        <w:t xml:space="preserve">          </w:t>
      </w:r>
    </w:p>
    <w:p w14:paraId="7FD79CCC" w14:textId="2BC4FB19" w:rsidR="00374597" w:rsidRPr="00374597" w:rsidRDefault="00374597" w:rsidP="005F400D">
      <w:pPr>
        <w:pStyle w:val="Prrafodelista"/>
        <w:numPr>
          <w:ilvl w:val="0"/>
          <w:numId w:val="11"/>
        </w:numPr>
        <w:ind w:left="851"/>
        <w:jc w:val="both"/>
        <w:rPr>
          <w:rFonts w:cs="Arial"/>
          <w:b/>
        </w:rPr>
      </w:pPr>
      <w:r w:rsidRPr="00460856">
        <w:rPr>
          <w:rFonts w:cs="Arial"/>
          <w:b/>
        </w:rPr>
        <w:t>Cierre de la mesa de dialogo 2 de diciembre 2021</w:t>
      </w:r>
    </w:p>
    <w:p w14:paraId="57B1F47F" w14:textId="60FD8899" w:rsidR="00374597" w:rsidRDefault="00374597" w:rsidP="00FB2062">
      <w:pPr>
        <w:ind w:left="142" w:hanging="709"/>
        <w:jc w:val="both"/>
        <w:rPr>
          <w:color w:val="C00000"/>
        </w:rPr>
      </w:pPr>
    </w:p>
    <w:p w14:paraId="5288BA77" w14:textId="77777777" w:rsidR="00374597" w:rsidRPr="00BB1705" w:rsidRDefault="00374597" w:rsidP="00FB2062">
      <w:pPr>
        <w:jc w:val="both"/>
        <w:rPr>
          <w:rFonts w:cs="Arial"/>
          <w:szCs w:val="22"/>
        </w:rPr>
      </w:pPr>
      <w:r w:rsidRPr="00BB1705">
        <w:rPr>
          <w:rFonts w:cs="Arial"/>
          <w:szCs w:val="22"/>
        </w:rPr>
        <w:t xml:space="preserve">La jornada de trabajo con la ciudadanía de la localidad de Bosa, terminó hacia las 12 del mediodía, con el análisis de la gestión del patrimonio en la localidad y algunas recomendaciones por parte de los asistentes a las mesas de trabajo: </w:t>
      </w:r>
    </w:p>
    <w:p w14:paraId="6266457D" w14:textId="77777777" w:rsidR="00374597" w:rsidRPr="00BB1705" w:rsidRDefault="00374597" w:rsidP="00FB2062">
      <w:pPr>
        <w:jc w:val="both"/>
        <w:rPr>
          <w:rFonts w:cs="Arial"/>
          <w:szCs w:val="22"/>
        </w:rPr>
      </w:pPr>
    </w:p>
    <w:p w14:paraId="0884B996" w14:textId="77777777" w:rsidR="00374597" w:rsidRDefault="00374597" w:rsidP="00FB2062">
      <w:pPr>
        <w:jc w:val="both"/>
        <w:rPr>
          <w:rFonts w:cs="Arial"/>
          <w:szCs w:val="22"/>
        </w:rPr>
      </w:pPr>
      <w:r w:rsidRPr="00BB1705">
        <w:rPr>
          <w:rFonts w:cs="Arial"/>
          <w:bCs/>
          <w:szCs w:val="22"/>
        </w:rPr>
        <w:t>El Director del Instituto, hace mención al tema del Plan Especial Manejo y Protección PEMP, y desde allí hace la i</w:t>
      </w:r>
      <w:r w:rsidRPr="00BB1705">
        <w:rPr>
          <w:rFonts w:cs="Arial"/>
          <w:szCs w:val="22"/>
        </w:rPr>
        <w:t>nvitación a los colectivos que han venido acompañando los procesos del IDPC, de igual manera a la Alcaldía Local, en el Instrumento de ordenamiento del 2022, como prueba piloto para toda la ciudad, cómo ordenar Bosa en clave de reconocimientos comunitarios y sociales, sus maneras de habitar el territorio, cómo cambiamos la manera en que se hacen esos instrumentos en otras localidades.</w:t>
      </w:r>
    </w:p>
    <w:p w14:paraId="0505F153" w14:textId="77777777" w:rsidR="00374597" w:rsidRDefault="00374597" w:rsidP="00FB2062">
      <w:pPr>
        <w:jc w:val="both"/>
        <w:rPr>
          <w:rFonts w:cs="Arial"/>
          <w:szCs w:val="22"/>
        </w:rPr>
      </w:pPr>
      <w:r w:rsidRPr="00171305">
        <w:rPr>
          <w:rFonts w:cs="Arial"/>
          <w:szCs w:val="22"/>
        </w:rPr>
        <w:lastRenderedPageBreak/>
        <w:t xml:space="preserve">El centro fundacional </w:t>
      </w:r>
      <w:r>
        <w:rPr>
          <w:rFonts w:cs="Arial"/>
          <w:szCs w:val="22"/>
        </w:rPr>
        <w:t xml:space="preserve">de Bosa </w:t>
      </w:r>
      <w:r w:rsidRPr="00171305">
        <w:rPr>
          <w:rFonts w:cs="Arial"/>
          <w:szCs w:val="22"/>
        </w:rPr>
        <w:t xml:space="preserve">es </w:t>
      </w:r>
      <w:r>
        <w:rPr>
          <w:rFonts w:cs="Arial"/>
          <w:szCs w:val="22"/>
        </w:rPr>
        <w:t>significativo</w:t>
      </w:r>
      <w:r w:rsidRPr="00171305">
        <w:rPr>
          <w:rFonts w:cs="Arial"/>
          <w:szCs w:val="22"/>
        </w:rPr>
        <w:t xml:space="preserve"> para el IDPC, pero también aparecen otros ejes a partir de esta escucha, por ejemplo: </w:t>
      </w:r>
      <w:r>
        <w:rPr>
          <w:rFonts w:cs="Arial"/>
          <w:szCs w:val="22"/>
        </w:rPr>
        <w:t>p</w:t>
      </w:r>
      <w:r w:rsidRPr="00171305">
        <w:rPr>
          <w:rFonts w:cs="Arial"/>
          <w:szCs w:val="22"/>
        </w:rPr>
        <w:t xml:space="preserve">aisaje </w:t>
      </w:r>
      <w:r>
        <w:rPr>
          <w:rFonts w:cs="Arial"/>
          <w:szCs w:val="22"/>
        </w:rPr>
        <w:t>c</w:t>
      </w:r>
      <w:r w:rsidRPr="00171305">
        <w:rPr>
          <w:rFonts w:cs="Arial"/>
          <w:szCs w:val="22"/>
        </w:rPr>
        <w:t xml:space="preserve">ultural, que no es solo lo natural, </w:t>
      </w:r>
      <w:r>
        <w:rPr>
          <w:rFonts w:cs="Arial"/>
          <w:szCs w:val="22"/>
        </w:rPr>
        <w:t xml:space="preserve">es importante dar una mirada en su relación </w:t>
      </w:r>
      <w:r w:rsidRPr="00171305">
        <w:rPr>
          <w:rFonts w:cs="Arial"/>
          <w:szCs w:val="22"/>
        </w:rPr>
        <w:t xml:space="preserve">con los entornos, defensa y reivindicación territorial, no en clave de ordenarlo desde la materialidad </w:t>
      </w:r>
      <w:r>
        <w:rPr>
          <w:rFonts w:cs="Arial"/>
          <w:szCs w:val="22"/>
        </w:rPr>
        <w:t xml:space="preserve">sino </w:t>
      </w:r>
      <w:r w:rsidRPr="00171305">
        <w:rPr>
          <w:rFonts w:cs="Arial"/>
          <w:szCs w:val="22"/>
        </w:rPr>
        <w:t xml:space="preserve">en otra noción </w:t>
      </w:r>
      <w:r>
        <w:rPr>
          <w:rFonts w:cs="Arial"/>
          <w:szCs w:val="22"/>
        </w:rPr>
        <w:t xml:space="preserve">y </w:t>
      </w:r>
      <w:r w:rsidRPr="00171305">
        <w:rPr>
          <w:rFonts w:cs="Arial"/>
          <w:szCs w:val="22"/>
        </w:rPr>
        <w:t>no solo a nivel patrimonio.</w:t>
      </w:r>
    </w:p>
    <w:p w14:paraId="5007A264" w14:textId="77777777" w:rsidR="00374597" w:rsidRPr="00171305" w:rsidRDefault="00374597" w:rsidP="00FB2062">
      <w:pPr>
        <w:jc w:val="both"/>
        <w:rPr>
          <w:rFonts w:cs="Arial"/>
          <w:szCs w:val="22"/>
        </w:rPr>
      </w:pPr>
    </w:p>
    <w:p w14:paraId="4FEDBABB" w14:textId="77777777" w:rsidR="00374597" w:rsidRDefault="00374597" w:rsidP="00FB2062">
      <w:pPr>
        <w:jc w:val="both"/>
        <w:rPr>
          <w:rFonts w:cs="Arial"/>
          <w:szCs w:val="22"/>
        </w:rPr>
      </w:pPr>
      <w:r w:rsidRPr="00171305">
        <w:rPr>
          <w:rFonts w:cs="Arial"/>
          <w:szCs w:val="22"/>
        </w:rPr>
        <w:t xml:space="preserve">El PEMP nos da lineamiento normativo, que es superior a otras normas, </w:t>
      </w:r>
      <w:r>
        <w:rPr>
          <w:rFonts w:cs="Arial"/>
          <w:szCs w:val="22"/>
        </w:rPr>
        <w:t xml:space="preserve">porque desde el manejo normativo se nos </w:t>
      </w:r>
      <w:r w:rsidRPr="00171305">
        <w:rPr>
          <w:rFonts w:cs="Arial"/>
          <w:szCs w:val="22"/>
        </w:rPr>
        <w:t xml:space="preserve">va a dar la posibilidad de: qué se puede, qué no se puede construir, cómo empoderar procesos de huertas. Lo que se acuerde, supera la jerarquía del POT. </w:t>
      </w:r>
    </w:p>
    <w:p w14:paraId="6E21810E" w14:textId="77777777" w:rsidR="00374597" w:rsidRDefault="00374597" w:rsidP="00FB2062">
      <w:pPr>
        <w:jc w:val="both"/>
        <w:rPr>
          <w:rFonts w:cs="Arial"/>
          <w:szCs w:val="22"/>
        </w:rPr>
      </w:pPr>
    </w:p>
    <w:p w14:paraId="1660F039" w14:textId="77777777" w:rsidR="00374597" w:rsidRPr="00171305" w:rsidRDefault="00374597" w:rsidP="00FB2062">
      <w:pPr>
        <w:jc w:val="both"/>
        <w:rPr>
          <w:rFonts w:cs="Arial"/>
          <w:szCs w:val="22"/>
        </w:rPr>
      </w:pPr>
      <w:r w:rsidRPr="00171305">
        <w:rPr>
          <w:rFonts w:cs="Arial"/>
          <w:szCs w:val="22"/>
        </w:rPr>
        <w:t xml:space="preserve">Como se puede entonces consolidar la mirada de lo territorial, como se puede organizar un laboratorio para repensar esos instrumentos, </w:t>
      </w:r>
      <w:r>
        <w:rPr>
          <w:rFonts w:cs="Arial"/>
          <w:szCs w:val="22"/>
        </w:rPr>
        <w:t xml:space="preserve">no solo pensar </w:t>
      </w:r>
      <w:r w:rsidRPr="00171305">
        <w:rPr>
          <w:rFonts w:cs="Arial"/>
          <w:szCs w:val="22"/>
        </w:rPr>
        <w:t>sin reconocer y escuchar el territorio. Por lo tanto, es una oportunidad para decirle a Bogotá, que se puede organizar de otra manera, y que se pueda replicar más adelante en otras localidades como en Usme.</w:t>
      </w:r>
    </w:p>
    <w:p w14:paraId="1FEC712F" w14:textId="77777777" w:rsidR="00374597" w:rsidRDefault="00374597" w:rsidP="00FB2062">
      <w:pPr>
        <w:jc w:val="both"/>
        <w:rPr>
          <w:rFonts w:cs="Arial"/>
          <w:szCs w:val="22"/>
        </w:rPr>
      </w:pPr>
    </w:p>
    <w:p w14:paraId="185862BF" w14:textId="7019CF81" w:rsidR="00C956A3" w:rsidRDefault="00C956A3" w:rsidP="00C956A3">
      <w:pPr>
        <w:jc w:val="both"/>
      </w:pPr>
      <w:r>
        <w:t xml:space="preserve">Finalmente, a manera de resumen en la verificación realizada al proceso de rendición de cuentas del IDPC se observó cumplimiento de las actividades establecidas en el Manual Único de Rendición de cuentas – MURC así: </w:t>
      </w:r>
    </w:p>
    <w:p w14:paraId="293A849F" w14:textId="77777777" w:rsidR="009D75EE" w:rsidRDefault="009D75EE" w:rsidP="00C956A3">
      <w:pPr>
        <w:jc w:val="both"/>
      </w:pPr>
    </w:p>
    <w:p w14:paraId="11D10B23" w14:textId="77777777" w:rsidR="00C956A3" w:rsidRDefault="00C956A3" w:rsidP="00C956A3">
      <w:pPr>
        <w:jc w:val="both"/>
      </w:pPr>
    </w:p>
    <w:tbl>
      <w:tblPr>
        <w:tblStyle w:val="Tablaconcuadrcula"/>
        <w:tblW w:w="9542" w:type="dxa"/>
        <w:tblInd w:w="-289" w:type="dxa"/>
        <w:tblLook w:val="04A0" w:firstRow="1" w:lastRow="0" w:firstColumn="1" w:lastColumn="0" w:noHBand="0" w:noVBand="1"/>
      </w:tblPr>
      <w:tblGrid>
        <w:gridCol w:w="1337"/>
        <w:gridCol w:w="2060"/>
        <w:gridCol w:w="1848"/>
        <w:gridCol w:w="4297"/>
      </w:tblGrid>
      <w:tr w:rsidR="00C956A3" w14:paraId="26511FCE" w14:textId="77777777" w:rsidTr="00F72841">
        <w:trPr>
          <w:tblHeader/>
        </w:trPr>
        <w:tc>
          <w:tcPr>
            <w:tcW w:w="1337" w:type="dxa"/>
            <w:shd w:val="clear" w:color="auto" w:fill="FFF2CC" w:themeFill="accent4" w:themeFillTint="33"/>
            <w:vAlign w:val="center"/>
          </w:tcPr>
          <w:p w14:paraId="1BA4F7B6" w14:textId="77777777" w:rsidR="00C956A3" w:rsidRPr="00A95849" w:rsidRDefault="00C956A3" w:rsidP="00C956A3">
            <w:pPr>
              <w:jc w:val="center"/>
              <w:rPr>
                <w:b/>
                <w:sz w:val="16"/>
                <w:szCs w:val="16"/>
              </w:rPr>
            </w:pPr>
            <w:bookmarkStart w:id="4" w:name="_Hlk91154303"/>
            <w:r w:rsidRPr="00A95849">
              <w:rPr>
                <w:b/>
                <w:sz w:val="16"/>
                <w:szCs w:val="16"/>
              </w:rPr>
              <w:t>ETAPA</w:t>
            </w:r>
          </w:p>
        </w:tc>
        <w:tc>
          <w:tcPr>
            <w:tcW w:w="2060" w:type="dxa"/>
            <w:shd w:val="clear" w:color="auto" w:fill="FFF2CC" w:themeFill="accent4" w:themeFillTint="33"/>
            <w:vAlign w:val="center"/>
          </w:tcPr>
          <w:p w14:paraId="22BFCB39" w14:textId="77777777" w:rsidR="00C956A3" w:rsidRPr="00A95849" w:rsidRDefault="00C956A3" w:rsidP="00C956A3">
            <w:pPr>
              <w:jc w:val="center"/>
              <w:rPr>
                <w:b/>
                <w:sz w:val="16"/>
                <w:szCs w:val="16"/>
              </w:rPr>
            </w:pPr>
            <w:r w:rsidRPr="00A95849">
              <w:rPr>
                <w:b/>
                <w:sz w:val="16"/>
                <w:szCs w:val="16"/>
              </w:rPr>
              <w:t>ACTIVIDAD</w:t>
            </w:r>
          </w:p>
        </w:tc>
        <w:tc>
          <w:tcPr>
            <w:tcW w:w="1848" w:type="dxa"/>
            <w:shd w:val="clear" w:color="auto" w:fill="FFF2CC" w:themeFill="accent4" w:themeFillTint="33"/>
            <w:vAlign w:val="center"/>
          </w:tcPr>
          <w:p w14:paraId="32E415D6" w14:textId="77777777" w:rsidR="00C956A3" w:rsidRPr="00A95849" w:rsidRDefault="00C956A3" w:rsidP="00C956A3">
            <w:pPr>
              <w:jc w:val="center"/>
              <w:rPr>
                <w:b/>
                <w:sz w:val="16"/>
                <w:szCs w:val="16"/>
              </w:rPr>
            </w:pPr>
            <w:r w:rsidRPr="00A95849">
              <w:rPr>
                <w:b/>
                <w:sz w:val="16"/>
                <w:szCs w:val="16"/>
              </w:rPr>
              <w:t>META/PRODUCTO</w:t>
            </w:r>
          </w:p>
        </w:tc>
        <w:tc>
          <w:tcPr>
            <w:tcW w:w="4297" w:type="dxa"/>
            <w:shd w:val="clear" w:color="auto" w:fill="FFF2CC" w:themeFill="accent4" w:themeFillTint="33"/>
            <w:vAlign w:val="center"/>
          </w:tcPr>
          <w:p w14:paraId="73267B32" w14:textId="77777777" w:rsidR="00C956A3" w:rsidRPr="00A95849" w:rsidRDefault="00C956A3" w:rsidP="00C956A3">
            <w:pPr>
              <w:jc w:val="center"/>
              <w:rPr>
                <w:b/>
                <w:sz w:val="16"/>
                <w:szCs w:val="16"/>
              </w:rPr>
            </w:pPr>
            <w:r w:rsidRPr="00A95849">
              <w:rPr>
                <w:b/>
                <w:sz w:val="16"/>
                <w:szCs w:val="16"/>
              </w:rPr>
              <w:t>EVIDENCIAS</w:t>
            </w:r>
          </w:p>
        </w:tc>
      </w:tr>
      <w:tr w:rsidR="00C956A3" w:rsidRPr="00A95849" w14:paraId="233F466B" w14:textId="77777777" w:rsidTr="00F72841">
        <w:trPr>
          <w:trHeight w:val="2220"/>
        </w:trPr>
        <w:tc>
          <w:tcPr>
            <w:tcW w:w="1337" w:type="dxa"/>
            <w:vMerge w:val="restart"/>
            <w:vAlign w:val="center"/>
          </w:tcPr>
          <w:p w14:paraId="72D65D89" w14:textId="1FF944AB" w:rsidR="00C956A3" w:rsidRPr="00A95849" w:rsidRDefault="00C956A3" w:rsidP="00DF0636">
            <w:pPr>
              <w:jc w:val="both"/>
              <w:rPr>
                <w:sz w:val="16"/>
                <w:szCs w:val="16"/>
              </w:rPr>
            </w:pPr>
            <w:r w:rsidRPr="00420E7D">
              <w:rPr>
                <w:sz w:val="16"/>
                <w:szCs w:val="16"/>
              </w:rPr>
              <w:t>Aprestamiento institucional y preparación</w:t>
            </w:r>
          </w:p>
        </w:tc>
        <w:tc>
          <w:tcPr>
            <w:tcW w:w="2060" w:type="dxa"/>
            <w:vAlign w:val="center"/>
          </w:tcPr>
          <w:p w14:paraId="24CF3BEB" w14:textId="77777777" w:rsidR="00C956A3" w:rsidRPr="00C62DF1" w:rsidRDefault="00C956A3" w:rsidP="00DF0636">
            <w:pPr>
              <w:jc w:val="both"/>
              <w:rPr>
                <w:sz w:val="16"/>
                <w:szCs w:val="16"/>
              </w:rPr>
            </w:pPr>
            <w:r w:rsidRPr="00C62DF1">
              <w:rPr>
                <w:sz w:val="16"/>
                <w:szCs w:val="16"/>
              </w:rPr>
              <w:t>Realizar reuniones de sensibilización internas sobre la importancia de la participación ciudadana con enfoque diferencial, territorial</w:t>
            </w:r>
          </w:p>
          <w:p w14:paraId="3D3A769F" w14:textId="77777777" w:rsidR="00C956A3" w:rsidRPr="00C62DF1" w:rsidRDefault="00C956A3" w:rsidP="00DF0636">
            <w:pPr>
              <w:jc w:val="both"/>
              <w:rPr>
                <w:sz w:val="16"/>
                <w:szCs w:val="16"/>
              </w:rPr>
            </w:pPr>
          </w:p>
          <w:p w14:paraId="06E579D9" w14:textId="77777777" w:rsidR="00C956A3" w:rsidRPr="00C62DF1" w:rsidRDefault="00C956A3" w:rsidP="00DF0636">
            <w:pPr>
              <w:jc w:val="both"/>
              <w:rPr>
                <w:sz w:val="16"/>
                <w:szCs w:val="16"/>
              </w:rPr>
            </w:pPr>
            <w:r w:rsidRPr="00C62DF1">
              <w:rPr>
                <w:sz w:val="16"/>
                <w:szCs w:val="16"/>
              </w:rPr>
              <w:t>Realizar acciones de sensibilización sobre la importancia de la rendición de cuentas a los funcionarios y contratistas del Instituto.</w:t>
            </w:r>
          </w:p>
        </w:tc>
        <w:tc>
          <w:tcPr>
            <w:tcW w:w="1848" w:type="dxa"/>
            <w:vAlign w:val="center"/>
          </w:tcPr>
          <w:p w14:paraId="486359C0" w14:textId="77777777" w:rsidR="00C956A3" w:rsidRPr="00C62DF1" w:rsidRDefault="00C956A3" w:rsidP="00DF0636">
            <w:pPr>
              <w:jc w:val="both"/>
              <w:rPr>
                <w:sz w:val="16"/>
                <w:szCs w:val="16"/>
              </w:rPr>
            </w:pPr>
            <w:r w:rsidRPr="00C62DF1">
              <w:rPr>
                <w:sz w:val="16"/>
                <w:szCs w:val="16"/>
              </w:rPr>
              <w:t xml:space="preserve">Soportes de jornadas de sensibilización y capacitación realizadas. </w:t>
            </w:r>
          </w:p>
        </w:tc>
        <w:tc>
          <w:tcPr>
            <w:tcW w:w="4297" w:type="dxa"/>
            <w:vAlign w:val="center"/>
          </w:tcPr>
          <w:p w14:paraId="12BAC232" w14:textId="09546757" w:rsidR="00C956A3" w:rsidRPr="00C62DF1" w:rsidRDefault="00C956A3" w:rsidP="00DF0636">
            <w:pPr>
              <w:jc w:val="both"/>
              <w:rPr>
                <w:sz w:val="16"/>
                <w:szCs w:val="16"/>
              </w:rPr>
            </w:pPr>
            <w:r w:rsidRPr="00C62DF1">
              <w:rPr>
                <w:sz w:val="16"/>
                <w:szCs w:val="16"/>
              </w:rPr>
              <w:t>Actividad 3.2.4. del PAAC 2021 ejecutada.</w:t>
            </w:r>
          </w:p>
          <w:p w14:paraId="21B8A233" w14:textId="77777777" w:rsidR="00C956A3" w:rsidRPr="00C62DF1" w:rsidRDefault="00C956A3" w:rsidP="00DF0636">
            <w:pPr>
              <w:jc w:val="both"/>
              <w:rPr>
                <w:sz w:val="16"/>
                <w:szCs w:val="16"/>
              </w:rPr>
            </w:pPr>
          </w:p>
          <w:p w14:paraId="4333548C" w14:textId="77777777" w:rsidR="00C956A3" w:rsidRPr="00C62DF1" w:rsidRDefault="00C956A3" w:rsidP="00DF0636">
            <w:pPr>
              <w:jc w:val="both"/>
              <w:rPr>
                <w:sz w:val="16"/>
                <w:szCs w:val="16"/>
              </w:rPr>
            </w:pPr>
            <w:r w:rsidRPr="00C62DF1">
              <w:rPr>
                <w:sz w:val="16"/>
                <w:szCs w:val="16"/>
              </w:rPr>
              <w:t xml:space="preserve">Actividad 3.3.2 del PAAC 2021 ejecutada </w:t>
            </w:r>
          </w:p>
        </w:tc>
      </w:tr>
      <w:tr w:rsidR="00C956A3" w:rsidRPr="00A95849" w14:paraId="4410DFDA" w14:textId="77777777" w:rsidTr="00F72841">
        <w:trPr>
          <w:trHeight w:val="1171"/>
        </w:trPr>
        <w:tc>
          <w:tcPr>
            <w:tcW w:w="1337" w:type="dxa"/>
            <w:vMerge/>
            <w:vAlign w:val="center"/>
          </w:tcPr>
          <w:p w14:paraId="4D7D3C41" w14:textId="77777777" w:rsidR="00C956A3" w:rsidRPr="00A95849" w:rsidRDefault="00C956A3" w:rsidP="00DF0636">
            <w:pPr>
              <w:jc w:val="both"/>
              <w:rPr>
                <w:sz w:val="16"/>
                <w:szCs w:val="16"/>
              </w:rPr>
            </w:pPr>
          </w:p>
        </w:tc>
        <w:tc>
          <w:tcPr>
            <w:tcW w:w="2060" w:type="dxa"/>
            <w:vAlign w:val="center"/>
          </w:tcPr>
          <w:p w14:paraId="4A4E77CD" w14:textId="060D277C" w:rsidR="00C956A3" w:rsidRPr="00A95849" w:rsidRDefault="00C956A3" w:rsidP="00DF0636">
            <w:pPr>
              <w:jc w:val="both"/>
              <w:rPr>
                <w:sz w:val="16"/>
                <w:szCs w:val="16"/>
              </w:rPr>
            </w:pPr>
            <w:r w:rsidRPr="00A95849">
              <w:rPr>
                <w:sz w:val="16"/>
                <w:szCs w:val="16"/>
              </w:rPr>
              <w:t>Conformar el equipo responsable de la estrategia.</w:t>
            </w:r>
          </w:p>
        </w:tc>
        <w:tc>
          <w:tcPr>
            <w:tcW w:w="1848" w:type="dxa"/>
            <w:vAlign w:val="center"/>
          </w:tcPr>
          <w:p w14:paraId="3F56C18C" w14:textId="77777777" w:rsidR="00C956A3" w:rsidRPr="00A95849" w:rsidRDefault="00C956A3" w:rsidP="00DF0636">
            <w:pPr>
              <w:jc w:val="both"/>
              <w:rPr>
                <w:sz w:val="16"/>
                <w:szCs w:val="16"/>
              </w:rPr>
            </w:pPr>
            <w:r w:rsidRPr="00A95849">
              <w:rPr>
                <w:sz w:val="16"/>
                <w:szCs w:val="16"/>
              </w:rPr>
              <w:t>Conformación grupo de apoyo al proceso de RdC y roles.</w:t>
            </w:r>
          </w:p>
        </w:tc>
        <w:tc>
          <w:tcPr>
            <w:tcW w:w="4297" w:type="dxa"/>
            <w:vAlign w:val="center"/>
          </w:tcPr>
          <w:p w14:paraId="7E4BFC09" w14:textId="77777777" w:rsidR="00C956A3" w:rsidRPr="00A95849" w:rsidRDefault="00C956A3" w:rsidP="00DF0636">
            <w:pPr>
              <w:jc w:val="both"/>
              <w:rPr>
                <w:sz w:val="16"/>
                <w:szCs w:val="16"/>
              </w:rPr>
            </w:pPr>
            <w:r w:rsidRPr="00094D59">
              <w:rPr>
                <w:sz w:val="16"/>
                <w:szCs w:val="16"/>
              </w:rPr>
              <w:t>Mediante Acta del 24 de agosto de 2020, se conformó el equipo líder del proceso de Rendición de Cuentas del IDPC y el rol desempeñado</w:t>
            </w:r>
            <w:r>
              <w:rPr>
                <w:sz w:val="16"/>
                <w:szCs w:val="16"/>
              </w:rPr>
              <w:t xml:space="preserve"> – Líder del proceso de rendición de cuentas la Oficina Asesora de Planeación</w:t>
            </w:r>
          </w:p>
        </w:tc>
      </w:tr>
      <w:tr w:rsidR="00C956A3" w:rsidRPr="00A95849" w14:paraId="592C511A" w14:textId="77777777" w:rsidTr="00F72841">
        <w:trPr>
          <w:trHeight w:val="1485"/>
        </w:trPr>
        <w:tc>
          <w:tcPr>
            <w:tcW w:w="1337" w:type="dxa"/>
            <w:vMerge/>
            <w:vAlign w:val="center"/>
          </w:tcPr>
          <w:p w14:paraId="56688E54" w14:textId="77777777" w:rsidR="00C956A3" w:rsidRPr="00A95849" w:rsidRDefault="00C956A3" w:rsidP="00DF0636">
            <w:pPr>
              <w:jc w:val="both"/>
              <w:rPr>
                <w:sz w:val="16"/>
                <w:szCs w:val="16"/>
              </w:rPr>
            </w:pPr>
          </w:p>
        </w:tc>
        <w:tc>
          <w:tcPr>
            <w:tcW w:w="2060" w:type="dxa"/>
            <w:vAlign w:val="center"/>
          </w:tcPr>
          <w:p w14:paraId="3527BFC2" w14:textId="77777777" w:rsidR="00C956A3" w:rsidRPr="00A95849" w:rsidRDefault="00C956A3" w:rsidP="00DF0636">
            <w:pPr>
              <w:jc w:val="both"/>
              <w:rPr>
                <w:sz w:val="16"/>
                <w:szCs w:val="16"/>
              </w:rPr>
            </w:pPr>
            <w:r w:rsidRPr="00A95849">
              <w:rPr>
                <w:sz w:val="16"/>
                <w:szCs w:val="16"/>
              </w:rPr>
              <w:t>Elaborar los informes de gestión y de ejecución presupuestal previo a los espacios de rendición de cuentas.</w:t>
            </w:r>
          </w:p>
        </w:tc>
        <w:tc>
          <w:tcPr>
            <w:tcW w:w="1848" w:type="dxa"/>
            <w:vAlign w:val="center"/>
          </w:tcPr>
          <w:p w14:paraId="44CDA80B" w14:textId="77777777" w:rsidR="00C956A3" w:rsidRPr="00A95849" w:rsidRDefault="00C956A3" w:rsidP="00DF0636">
            <w:pPr>
              <w:jc w:val="both"/>
              <w:rPr>
                <w:sz w:val="16"/>
                <w:szCs w:val="16"/>
              </w:rPr>
            </w:pPr>
            <w:r w:rsidRPr="00A95849">
              <w:rPr>
                <w:sz w:val="16"/>
                <w:szCs w:val="16"/>
              </w:rPr>
              <w:t>Informes de gestión y de ejecución presupuestal previo a los espacios de rendición de cuentas.</w:t>
            </w:r>
          </w:p>
        </w:tc>
        <w:tc>
          <w:tcPr>
            <w:tcW w:w="4297" w:type="dxa"/>
            <w:vAlign w:val="center"/>
          </w:tcPr>
          <w:p w14:paraId="4922DAAF" w14:textId="41B08056" w:rsidR="00C956A3" w:rsidRPr="00C956A3" w:rsidRDefault="00C956A3" w:rsidP="00DF0636">
            <w:pPr>
              <w:jc w:val="both"/>
              <w:rPr>
                <w:color w:val="0070C0"/>
                <w:sz w:val="16"/>
                <w:szCs w:val="16"/>
                <w:u w:val="single"/>
              </w:rPr>
            </w:pPr>
            <w:r w:rsidRPr="00A95849">
              <w:rPr>
                <w:sz w:val="16"/>
                <w:szCs w:val="16"/>
              </w:rPr>
              <w:t xml:space="preserve">Informe publicado </w:t>
            </w:r>
            <w:r>
              <w:rPr>
                <w:sz w:val="16"/>
                <w:szCs w:val="16"/>
              </w:rPr>
              <w:t xml:space="preserve">el 3 de noviembre </w:t>
            </w:r>
            <w:r w:rsidRPr="00A95849">
              <w:rPr>
                <w:sz w:val="16"/>
                <w:szCs w:val="16"/>
              </w:rPr>
              <w:t>en la página web</w:t>
            </w:r>
            <w:r>
              <w:rPr>
                <w:sz w:val="16"/>
                <w:szCs w:val="16"/>
              </w:rPr>
              <w:t xml:space="preserve"> de la entidad botón de transparencia en el siguiente link: </w:t>
            </w:r>
            <w:r w:rsidRPr="002D08DB">
              <w:rPr>
                <w:color w:val="0070C0"/>
                <w:sz w:val="16"/>
                <w:szCs w:val="16"/>
                <w:u w:val="single"/>
              </w:rPr>
              <w:t>https://idpc.gov.co/transparencia-y-acceso-a-la-informacion-publica-ley-1712-del-6-de-marzo-de-2014/participa/5-rendicion-de-cuentas/</w:t>
            </w:r>
          </w:p>
        </w:tc>
      </w:tr>
      <w:tr w:rsidR="00C956A3" w:rsidRPr="00A95849" w14:paraId="7E69A72A" w14:textId="77777777" w:rsidTr="00F72841">
        <w:trPr>
          <w:trHeight w:val="1617"/>
        </w:trPr>
        <w:tc>
          <w:tcPr>
            <w:tcW w:w="1337" w:type="dxa"/>
            <w:vMerge/>
            <w:vAlign w:val="center"/>
          </w:tcPr>
          <w:p w14:paraId="14303102" w14:textId="77777777" w:rsidR="00C956A3" w:rsidRPr="00A95849" w:rsidRDefault="00C956A3" w:rsidP="00DF0636">
            <w:pPr>
              <w:jc w:val="both"/>
            </w:pPr>
          </w:p>
        </w:tc>
        <w:tc>
          <w:tcPr>
            <w:tcW w:w="2060" w:type="dxa"/>
            <w:vAlign w:val="center"/>
          </w:tcPr>
          <w:p w14:paraId="19A9DDCE" w14:textId="77777777" w:rsidR="00C956A3" w:rsidRPr="00101140" w:rsidRDefault="00C956A3" w:rsidP="00DF0636">
            <w:pPr>
              <w:jc w:val="both"/>
              <w:rPr>
                <w:sz w:val="16"/>
                <w:szCs w:val="16"/>
              </w:rPr>
            </w:pPr>
            <w:r w:rsidRPr="00101140">
              <w:rPr>
                <w:sz w:val="16"/>
                <w:szCs w:val="16"/>
              </w:rPr>
              <w:t>Difundir los informes de gestión y de ejecución presupuestal a través de medios físicos y virtuales, previo a los espacios de rendición de cuentas.</w:t>
            </w:r>
          </w:p>
        </w:tc>
        <w:tc>
          <w:tcPr>
            <w:tcW w:w="1848" w:type="dxa"/>
            <w:vAlign w:val="center"/>
          </w:tcPr>
          <w:p w14:paraId="408AF51B" w14:textId="77777777" w:rsidR="00C956A3" w:rsidRPr="00A95849" w:rsidRDefault="00C956A3" w:rsidP="00DF0636">
            <w:pPr>
              <w:jc w:val="both"/>
            </w:pPr>
            <w:r w:rsidRPr="00101140">
              <w:rPr>
                <w:sz w:val="16"/>
                <w:szCs w:val="16"/>
              </w:rPr>
              <w:t>Registro de publicaciones realizadas.</w:t>
            </w:r>
          </w:p>
        </w:tc>
        <w:tc>
          <w:tcPr>
            <w:tcW w:w="4297" w:type="dxa"/>
            <w:vAlign w:val="center"/>
          </w:tcPr>
          <w:p w14:paraId="55E99E45" w14:textId="2B38373D" w:rsidR="00C956A3" w:rsidRPr="00C956A3" w:rsidRDefault="00C956A3" w:rsidP="00DF0636">
            <w:pPr>
              <w:jc w:val="both"/>
              <w:rPr>
                <w:color w:val="0070C0"/>
                <w:sz w:val="16"/>
                <w:szCs w:val="16"/>
                <w:u w:val="single"/>
              </w:rPr>
            </w:pPr>
            <w:r w:rsidRPr="00101140">
              <w:rPr>
                <w:sz w:val="16"/>
                <w:szCs w:val="16"/>
              </w:rPr>
              <w:t>Informe</w:t>
            </w:r>
            <w:r>
              <w:rPr>
                <w:sz w:val="16"/>
                <w:szCs w:val="16"/>
              </w:rPr>
              <w:t xml:space="preserve"> de rendición de cuentas </w:t>
            </w:r>
            <w:r w:rsidRPr="00101140">
              <w:rPr>
                <w:sz w:val="16"/>
                <w:szCs w:val="16"/>
              </w:rPr>
              <w:t>publicado</w:t>
            </w:r>
            <w:r>
              <w:rPr>
                <w:sz w:val="16"/>
                <w:szCs w:val="16"/>
              </w:rPr>
              <w:t xml:space="preserve"> el 3 de noviembre 2021</w:t>
            </w:r>
            <w:r w:rsidRPr="00101140">
              <w:rPr>
                <w:sz w:val="16"/>
                <w:szCs w:val="16"/>
              </w:rPr>
              <w:t xml:space="preserve"> en la página web de la Entidad</w:t>
            </w:r>
            <w:r>
              <w:rPr>
                <w:sz w:val="16"/>
                <w:szCs w:val="16"/>
              </w:rPr>
              <w:t xml:space="preserve"> botón de transparencia en el siguiente </w:t>
            </w:r>
            <w:r w:rsidRPr="002D08DB">
              <w:rPr>
                <w:sz w:val="16"/>
                <w:szCs w:val="16"/>
              </w:rPr>
              <w:t>link:</w:t>
            </w:r>
            <w:r w:rsidRPr="00101140">
              <w:rPr>
                <w:color w:val="C00000"/>
                <w:sz w:val="16"/>
                <w:szCs w:val="16"/>
              </w:rPr>
              <w:t xml:space="preserve"> </w:t>
            </w:r>
            <w:hyperlink r:id="rId32" w:history="1">
              <w:r w:rsidRPr="002D08DB">
                <w:rPr>
                  <w:color w:val="0070C0"/>
                  <w:sz w:val="16"/>
                  <w:szCs w:val="16"/>
                  <w:u w:val="single"/>
                </w:rPr>
                <w:t>https://idpc.gov.co/transparencia-y-acceso-a-la-informacion-publica-ley-1712-del-6-de-marzo-de-2014/participa/5-rendicion-de-cuentas/</w:t>
              </w:r>
            </w:hyperlink>
          </w:p>
        </w:tc>
      </w:tr>
      <w:tr w:rsidR="00C956A3" w:rsidRPr="00A95849" w14:paraId="178B8FB2" w14:textId="77777777" w:rsidTr="00F72841">
        <w:trPr>
          <w:trHeight w:val="444"/>
        </w:trPr>
        <w:tc>
          <w:tcPr>
            <w:tcW w:w="1337" w:type="dxa"/>
            <w:vMerge/>
            <w:vAlign w:val="center"/>
          </w:tcPr>
          <w:p w14:paraId="363EE35B" w14:textId="77777777" w:rsidR="00C956A3" w:rsidRPr="00A95849" w:rsidRDefault="00C956A3" w:rsidP="00DF0636">
            <w:pPr>
              <w:jc w:val="both"/>
            </w:pPr>
          </w:p>
        </w:tc>
        <w:tc>
          <w:tcPr>
            <w:tcW w:w="2060" w:type="dxa"/>
            <w:vAlign w:val="center"/>
          </w:tcPr>
          <w:p w14:paraId="25A4DF85" w14:textId="77777777" w:rsidR="00C956A3" w:rsidRPr="00A95849" w:rsidRDefault="00C956A3" w:rsidP="00DF0636">
            <w:pPr>
              <w:jc w:val="both"/>
            </w:pPr>
            <w:r w:rsidRPr="005F4FF5">
              <w:rPr>
                <w:sz w:val="16"/>
                <w:szCs w:val="16"/>
              </w:rPr>
              <w:t>Elaborar y difundir informes de interés con información clave de la Entidad: cumplimiento de metas, inversión y atención a la población, por medios físicos y virtuales.</w:t>
            </w:r>
          </w:p>
        </w:tc>
        <w:tc>
          <w:tcPr>
            <w:tcW w:w="1848" w:type="dxa"/>
            <w:vAlign w:val="center"/>
          </w:tcPr>
          <w:p w14:paraId="411FB367" w14:textId="77777777" w:rsidR="00C956A3" w:rsidRDefault="00C956A3" w:rsidP="00DF0636">
            <w:pPr>
              <w:jc w:val="both"/>
            </w:pPr>
          </w:p>
          <w:p w14:paraId="78325832" w14:textId="77777777" w:rsidR="00C956A3" w:rsidRDefault="00C956A3" w:rsidP="00DF0636">
            <w:pPr>
              <w:jc w:val="both"/>
            </w:pPr>
          </w:p>
          <w:p w14:paraId="3E6E77F1" w14:textId="77777777" w:rsidR="00C956A3" w:rsidRPr="00A95849" w:rsidRDefault="00C956A3" w:rsidP="00DF0636">
            <w:pPr>
              <w:jc w:val="both"/>
            </w:pPr>
            <w:r w:rsidRPr="005F4FF5">
              <w:rPr>
                <w:sz w:val="16"/>
                <w:szCs w:val="16"/>
              </w:rPr>
              <w:t>Publicaciones disponibles realizadas.</w:t>
            </w:r>
          </w:p>
        </w:tc>
        <w:tc>
          <w:tcPr>
            <w:tcW w:w="4297" w:type="dxa"/>
            <w:vAlign w:val="center"/>
          </w:tcPr>
          <w:p w14:paraId="2EFC231B" w14:textId="77777777" w:rsidR="00C956A3" w:rsidRDefault="00C956A3" w:rsidP="00DF0636">
            <w:pPr>
              <w:jc w:val="both"/>
              <w:rPr>
                <w:sz w:val="16"/>
                <w:szCs w:val="16"/>
              </w:rPr>
            </w:pPr>
          </w:p>
          <w:p w14:paraId="19DB9263" w14:textId="77777777" w:rsidR="00C956A3" w:rsidRPr="00A95849" w:rsidRDefault="00C956A3" w:rsidP="00DF0636">
            <w:pPr>
              <w:jc w:val="both"/>
            </w:pPr>
            <w:r w:rsidRPr="005F4FF5">
              <w:rPr>
                <w:sz w:val="16"/>
                <w:szCs w:val="16"/>
              </w:rPr>
              <w:t>Informe y presentaciones publicadas en la página web</w:t>
            </w:r>
            <w:r>
              <w:rPr>
                <w:sz w:val="16"/>
                <w:szCs w:val="16"/>
              </w:rPr>
              <w:t xml:space="preserve"> de la entidad botón de transparencia en el siguiente link: </w:t>
            </w:r>
            <w:r w:rsidRPr="002D08DB">
              <w:rPr>
                <w:color w:val="0070C0"/>
                <w:sz w:val="16"/>
                <w:szCs w:val="16"/>
                <w:u w:val="single"/>
              </w:rPr>
              <w:t>https://idpc.gov.co/transparencia-y-acceso-a-la-informacion-publica-ley-1712-del-6-de-marzo-de-2014</w:t>
            </w:r>
          </w:p>
        </w:tc>
      </w:tr>
      <w:tr w:rsidR="00C956A3" w:rsidRPr="00A95849" w14:paraId="6DDF9C91" w14:textId="77777777" w:rsidTr="00F72841">
        <w:trPr>
          <w:trHeight w:val="1639"/>
        </w:trPr>
        <w:tc>
          <w:tcPr>
            <w:tcW w:w="1337" w:type="dxa"/>
            <w:vMerge w:val="restart"/>
            <w:vAlign w:val="center"/>
          </w:tcPr>
          <w:p w14:paraId="15D15548" w14:textId="77777777" w:rsidR="00C956A3" w:rsidRDefault="00C956A3" w:rsidP="00C956A3">
            <w:pPr>
              <w:jc w:val="both"/>
              <w:rPr>
                <w:sz w:val="16"/>
                <w:szCs w:val="16"/>
              </w:rPr>
            </w:pPr>
            <w:r w:rsidRPr="00420E7D">
              <w:rPr>
                <w:sz w:val="16"/>
                <w:szCs w:val="16"/>
              </w:rPr>
              <w:t>Diseño y ejecución de la estrategia</w:t>
            </w:r>
          </w:p>
          <w:p w14:paraId="3A13DB11" w14:textId="77777777" w:rsidR="00C956A3" w:rsidRPr="00A95849" w:rsidRDefault="00C956A3" w:rsidP="00C956A3">
            <w:pPr>
              <w:jc w:val="both"/>
            </w:pPr>
          </w:p>
        </w:tc>
        <w:tc>
          <w:tcPr>
            <w:tcW w:w="2060" w:type="dxa"/>
            <w:vAlign w:val="center"/>
          </w:tcPr>
          <w:p w14:paraId="26C7F205" w14:textId="6B4940E1" w:rsidR="00C956A3" w:rsidRPr="005F4FF5" w:rsidRDefault="00C956A3" w:rsidP="00C956A3">
            <w:pPr>
              <w:jc w:val="both"/>
              <w:rPr>
                <w:sz w:val="16"/>
                <w:szCs w:val="16"/>
              </w:rPr>
            </w:pPr>
            <w:r w:rsidRPr="00094D59">
              <w:rPr>
                <w:sz w:val="16"/>
                <w:szCs w:val="16"/>
              </w:rPr>
              <w:t>Definir los temas de los espacios de rendición de cuentas</w:t>
            </w:r>
          </w:p>
        </w:tc>
        <w:tc>
          <w:tcPr>
            <w:tcW w:w="1848" w:type="dxa"/>
            <w:vAlign w:val="center"/>
          </w:tcPr>
          <w:p w14:paraId="5F9C714C" w14:textId="2668092D" w:rsidR="00C956A3" w:rsidRDefault="00C956A3" w:rsidP="00C956A3">
            <w:pPr>
              <w:jc w:val="both"/>
            </w:pPr>
            <w:r w:rsidRPr="00E543B1">
              <w:rPr>
                <w:sz w:val="16"/>
                <w:szCs w:val="16"/>
              </w:rPr>
              <w:t>Matriz de temas</w:t>
            </w:r>
          </w:p>
        </w:tc>
        <w:tc>
          <w:tcPr>
            <w:tcW w:w="4297" w:type="dxa"/>
            <w:vAlign w:val="center"/>
          </w:tcPr>
          <w:p w14:paraId="0FB35564" w14:textId="0034BF38" w:rsidR="00C956A3" w:rsidRDefault="00C956A3" w:rsidP="00C956A3">
            <w:pPr>
              <w:jc w:val="both"/>
              <w:rPr>
                <w:sz w:val="16"/>
                <w:szCs w:val="16"/>
              </w:rPr>
            </w:pPr>
            <w:r>
              <w:rPr>
                <w:sz w:val="16"/>
                <w:szCs w:val="16"/>
              </w:rPr>
              <w:t>Re</w:t>
            </w:r>
            <w:r w:rsidRPr="00E543B1">
              <w:rPr>
                <w:sz w:val="16"/>
                <w:szCs w:val="16"/>
              </w:rPr>
              <w:t>sultados del Índice de Desempeño Institucional - IDI, reportado al DAFP, los espacios de Rendición de Cuentas presentan debilidades en la presentación de cifras concretas de presupuesto, estados financieros, cumplimiento de metas, contratación; temas considerados relevante</w:t>
            </w:r>
            <w:r>
              <w:rPr>
                <w:sz w:val="16"/>
                <w:szCs w:val="16"/>
              </w:rPr>
              <w:t>s.</w:t>
            </w:r>
          </w:p>
        </w:tc>
      </w:tr>
      <w:tr w:rsidR="00C956A3" w:rsidRPr="00A95849" w14:paraId="3F6ADA89" w14:textId="77777777" w:rsidTr="00F72841">
        <w:trPr>
          <w:trHeight w:val="1420"/>
        </w:trPr>
        <w:tc>
          <w:tcPr>
            <w:tcW w:w="1337" w:type="dxa"/>
            <w:vMerge/>
            <w:vAlign w:val="center"/>
          </w:tcPr>
          <w:p w14:paraId="6B27F152" w14:textId="77777777" w:rsidR="00C956A3" w:rsidRDefault="00C956A3" w:rsidP="00C956A3">
            <w:pPr>
              <w:jc w:val="both"/>
              <w:rPr>
                <w:sz w:val="16"/>
                <w:szCs w:val="16"/>
              </w:rPr>
            </w:pPr>
          </w:p>
        </w:tc>
        <w:tc>
          <w:tcPr>
            <w:tcW w:w="2060" w:type="dxa"/>
            <w:vAlign w:val="center"/>
          </w:tcPr>
          <w:p w14:paraId="7661D1E5" w14:textId="014E8B12" w:rsidR="00C956A3" w:rsidRDefault="00C956A3" w:rsidP="00C956A3">
            <w:pPr>
              <w:jc w:val="both"/>
              <w:rPr>
                <w:sz w:val="16"/>
                <w:szCs w:val="16"/>
              </w:rPr>
            </w:pPr>
            <w:r w:rsidRPr="00094D59">
              <w:rPr>
                <w:sz w:val="16"/>
                <w:szCs w:val="16"/>
              </w:rPr>
              <w:t>Definir la metodología de los espacios de rendición de cuentas</w:t>
            </w:r>
          </w:p>
        </w:tc>
        <w:tc>
          <w:tcPr>
            <w:tcW w:w="1848" w:type="dxa"/>
            <w:vAlign w:val="center"/>
          </w:tcPr>
          <w:p w14:paraId="21BE28D1" w14:textId="3D39E816" w:rsidR="00C956A3" w:rsidRDefault="00C956A3" w:rsidP="00C956A3">
            <w:pPr>
              <w:jc w:val="both"/>
              <w:rPr>
                <w:sz w:val="16"/>
                <w:szCs w:val="16"/>
              </w:rPr>
            </w:pPr>
            <w:r w:rsidRPr="00094D59">
              <w:rPr>
                <w:sz w:val="16"/>
                <w:szCs w:val="16"/>
              </w:rPr>
              <w:t>Metodología definida de espacios de rendición de cuentas</w:t>
            </w:r>
          </w:p>
        </w:tc>
        <w:tc>
          <w:tcPr>
            <w:tcW w:w="4297" w:type="dxa"/>
            <w:vAlign w:val="center"/>
          </w:tcPr>
          <w:p w14:paraId="17309FB0" w14:textId="718976D2" w:rsidR="00C956A3" w:rsidRDefault="00C956A3" w:rsidP="00C956A3">
            <w:pPr>
              <w:jc w:val="both"/>
              <w:rPr>
                <w:sz w:val="16"/>
                <w:szCs w:val="16"/>
              </w:rPr>
            </w:pPr>
            <w:r>
              <w:rPr>
                <w:sz w:val="16"/>
                <w:szCs w:val="16"/>
              </w:rPr>
              <w:t>E</w:t>
            </w:r>
            <w:r w:rsidRPr="00E543B1">
              <w:rPr>
                <w:sz w:val="16"/>
                <w:szCs w:val="16"/>
              </w:rPr>
              <w:t>strategia rendición de cuentas – 2021-2024</w:t>
            </w:r>
            <w:r>
              <w:rPr>
                <w:sz w:val="16"/>
                <w:szCs w:val="16"/>
              </w:rPr>
              <w:t xml:space="preserve">, publicada en el botón de transparencia de la página web de la entidad y puede ser consultada en el siguiente link: </w:t>
            </w:r>
            <w:r w:rsidRPr="000D2699">
              <w:rPr>
                <w:color w:val="2E74B5" w:themeColor="accent5" w:themeShade="BF"/>
                <w:sz w:val="16"/>
                <w:szCs w:val="16"/>
                <w:u w:val="single"/>
              </w:rPr>
              <w:t>https://drive.google.com/file/d/16m3S4-ArL_bNq1uWTl34IPNTxeygCcDf/view</w:t>
            </w:r>
          </w:p>
        </w:tc>
      </w:tr>
      <w:tr w:rsidR="00C956A3" w:rsidRPr="00A95849" w14:paraId="65F34AB8" w14:textId="77777777" w:rsidTr="00F72841">
        <w:trPr>
          <w:trHeight w:val="1395"/>
        </w:trPr>
        <w:tc>
          <w:tcPr>
            <w:tcW w:w="1337" w:type="dxa"/>
            <w:vMerge/>
            <w:vAlign w:val="center"/>
          </w:tcPr>
          <w:p w14:paraId="0B6173A2" w14:textId="77777777" w:rsidR="00C956A3" w:rsidRDefault="00C956A3" w:rsidP="00C956A3">
            <w:pPr>
              <w:jc w:val="both"/>
              <w:rPr>
                <w:sz w:val="16"/>
                <w:szCs w:val="16"/>
              </w:rPr>
            </w:pPr>
          </w:p>
        </w:tc>
        <w:tc>
          <w:tcPr>
            <w:tcW w:w="2060" w:type="dxa"/>
            <w:vAlign w:val="center"/>
          </w:tcPr>
          <w:p w14:paraId="349DB8A3" w14:textId="41865979" w:rsidR="00C956A3" w:rsidRPr="00094D59" w:rsidRDefault="00C956A3" w:rsidP="00C956A3">
            <w:pPr>
              <w:jc w:val="both"/>
              <w:rPr>
                <w:sz w:val="16"/>
                <w:szCs w:val="16"/>
              </w:rPr>
            </w:pPr>
            <w:r w:rsidRPr="00094D59">
              <w:rPr>
                <w:sz w:val="16"/>
                <w:szCs w:val="16"/>
              </w:rPr>
              <w:t>Definir la metodología de la audiencia pública de rendición de cuentas</w:t>
            </w:r>
          </w:p>
        </w:tc>
        <w:tc>
          <w:tcPr>
            <w:tcW w:w="1848" w:type="dxa"/>
            <w:vAlign w:val="center"/>
          </w:tcPr>
          <w:p w14:paraId="21C11431" w14:textId="5A234E9F" w:rsidR="00C956A3" w:rsidRPr="00094D59" w:rsidRDefault="00C956A3" w:rsidP="00C956A3">
            <w:pPr>
              <w:jc w:val="both"/>
              <w:rPr>
                <w:sz w:val="16"/>
                <w:szCs w:val="16"/>
              </w:rPr>
            </w:pPr>
            <w:r w:rsidRPr="00094D59">
              <w:rPr>
                <w:sz w:val="16"/>
                <w:szCs w:val="16"/>
              </w:rPr>
              <w:t>Metodología definida de la audiencia de rendición de cuentas</w:t>
            </w:r>
          </w:p>
        </w:tc>
        <w:tc>
          <w:tcPr>
            <w:tcW w:w="4297" w:type="dxa"/>
            <w:vAlign w:val="center"/>
          </w:tcPr>
          <w:p w14:paraId="07306084" w14:textId="178C1789" w:rsidR="00C956A3" w:rsidRDefault="00C956A3" w:rsidP="00C956A3">
            <w:pPr>
              <w:jc w:val="both"/>
              <w:rPr>
                <w:sz w:val="16"/>
                <w:szCs w:val="16"/>
              </w:rPr>
            </w:pPr>
            <w:r>
              <w:rPr>
                <w:sz w:val="16"/>
                <w:szCs w:val="16"/>
              </w:rPr>
              <w:t>E</w:t>
            </w:r>
            <w:r w:rsidRPr="00E543B1">
              <w:rPr>
                <w:sz w:val="16"/>
                <w:szCs w:val="16"/>
              </w:rPr>
              <w:t>strategia rendición de cuentas – 2021-2024</w:t>
            </w:r>
            <w:r>
              <w:rPr>
                <w:sz w:val="16"/>
                <w:szCs w:val="16"/>
              </w:rPr>
              <w:t xml:space="preserve">, publicada en el botón de transparencia de la página web de la entidad y puede ser consultada en el siguiente link: </w:t>
            </w:r>
            <w:r w:rsidRPr="000D2699">
              <w:rPr>
                <w:color w:val="2E74B5" w:themeColor="accent5" w:themeShade="BF"/>
                <w:sz w:val="16"/>
                <w:szCs w:val="16"/>
                <w:u w:val="single"/>
              </w:rPr>
              <w:t>https://drive.google.com/file/d/16m3S4-ArL_bNq1uWTl34IPNTxeygCcDf/view</w:t>
            </w:r>
          </w:p>
        </w:tc>
      </w:tr>
      <w:tr w:rsidR="00C956A3" w:rsidRPr="00A95849" w14:paraId="7A9B0076" w14:textId="77777777" w:rsidTr="00F72841">
        <w:trPr>
          <w:trHeight w:val="1102"/>
        </w:trPr>
        <w:tc>
          <w:tcPr>
            <w:tcW w:w="1337" w:type="dxa"/>
            <w:vMerge/>
            <w:vAlign w:val="center"/>
          </w:tcPr>
          <w:p w14:paraId="31D73173" w14:textId="77777777" w:rsidR="00C956A3" w:rsidRDefault="00C956A3" w:rsidP="00C956A3">
            <w:pPr>
              <w:jc w:val="both"/>
              <w:rPr>
                <w:sz w:val="16"/>
                <w:szCs w:val="16"/>
              </w:rPr>
            </w:pPr>
          </w:p>
        </w:tc>
        <w:tc>
          <w:tcPr>
            <w:tcW w:w="2060" w:type="dxa"/>
            <w:vAlign w:val="center"/>
          </w:tcPr>
          <w:p w14:paraId="2790E577" w14:textId="37C221C4" w:rsidR="00C956A3" w:rsidRPr="00094D59" w:rsidRDefault="00C956A3" w:rsidP="00C956A3">
            <w:pPr>
              <w:jc w:val="both"/>
              <w:rPr>
                <w:sz w:val="16"/>
                <w:szCs w:val="16"/>
              </w:rPr>
            </w:pPr>
            <w:r w:rsidRPr="00094D59">
              <w:rPr>
                <w:sz w:val="16"/>
                <w:szCs w:val="16"/>
              </w:rPr>
              <w:t>Realizar mínimo una audiencia pública de Rendición de Cuentas.</w:t>
            </w:r>
          </w:p>
        </w:tc>
        <w:tc>
          <w:tcPr>
            <w:tcW w:w="1848" w:type="dxa"/>
            <w:vAlign w:val="center"/>
          </w:tcPr>
          <w:p w14:paraId="7CBFD427" w14:textId="26ABEA64" w:rsidR="00C956A3" w:rsidRPr="00094D59" w:rsidRDefault="00C956A3" w:rsidP="00C956A3">
            <w:pPr>
              <w:jc w:val="both"/>
              <w:rPr>
                <w:sz w:val="16"/>
                <w:szCs w:val="16"/>
              </w:rPr>
            </w:pPr>
            <w:r w:rsidRPr="00094D59">
              <w:rPr>
                <w:sz w:val="16"/>
                <w:szCs w:val="16"/>
              </w:rPr>
              <w:t>Audiencia pública de rendición de cuentas realizada</w:t>
            </w:r>
          </w:p>
        </w:tc>
        <w:tc>
          <w:tcPr>
            <w:tcW w:w="4297" w:type="dxa"/>
            <w:vAlign w:val="center"/>
          </w:tcPr>
          <w:p w14:paraId="663AD8C6" w14:textId="77658AD1" w:rsidR="00C956A3" w:rsidRDefault="00C956A3" w:rsidP="00C956A3">
            <w:pPr>
              <w:jc w:val="both"/>
              <w:rPr>
                <w:sz w:val="16"/>
                <w:szCs w:val="16"/>
              </w:rPr>
            </w:pPr>
            <w:r>
              <w:rPr>
                <w:sz w:val="16"/>
                <w:szCs w:val="16"/>
              </w:rPr>
              <w:t xml:space="preserve">Informe Audiencia Pública </w:t>
            </w:r>
            <w:r w:rsidRPr="00E543B1">
              <w:rPr>
                <w:sz w:val="16"/>
                <w:szCs w:val="16"/>
              </w:rPr>
              <w:t>Rendi</w:t>
            </w:r>
            <w:r>
              <w:rPr>
                <w:sz w:val="16"/>
                <w:szCs w:val="16"/>
              </w:rPr>
              <w:t xml:space="preserve">ción de Cuentas Sector Cultura, </w:t>
            </w:r>
            <w:r w:rsidRPr="00E543B1">
              <w:rPr>
                <w:sz w:val="16"/>
                <w:szCs w:val="16"/>
              </w:rPr>
              <w:t>Recreación y Deporte, 2021</w:t>
            </w:r>
            <w:r>
              <w:rPr>
                <w:sz w:val="16"/>
                <w:szCs w:val="16"/>
              </w:rPr>
              <w:t xml:space="preserve"> – realizada el 3 de diciembre 2021 en el auditorio de la Biblioteca Virgilio Barco</w:t>
            </w:r>
          </w:p>
        </w:tc>
      </w:tr>
      <w:tr w:rsidR="00C956A3" w:rsidRPr="00A95849" w14:paraId="5DF86168" w14:textId="77777777" w:rsidTr="00F72841">
        <w:trPr>
          <w:trHeight w:val="1158"/>
        </w:trPr>
        <w:tc>
          <w:tcPr>
            <w:tcW w:w="1337" w:type="dxa"/>
            <w:vMerge/>
            <w:vAlign w:val="center"/>
          </w:tcPr>
          <w:p w14:paraId="50B4D832" w14:textId="77777777" w:rsidR="00C956A3" w:rsidRDefault="00C956A3" w:rsidP="00C956A3">
            <w:pPr>
              <w:jc w:val="both"/>
              <w:rPr>
                <w:sz w:val="16"/>
                <w:szCs w:val="16"/>
              </w:rPr>
            </w:pPr>
          </w:p>
        </w:tc>
        <w:tc>
          <w:tcPr>
            <w:tcW w:w="2060" w:type="dxa"/>
            <w:vAlign w:val="center"/>
          </w:tcPr>
          <w:p w14:paraId="44D6D519" w14:textId="1CBDC726" w:rsidR="00C956A3" w:rsidRDefault="00C956A3" w:rsidP="00C956A3">
            <w:pPr>
              <w:jc w:val="both"/>
              <w:rPr>
                <w:sz w:val="16"/>
                <w:szCs w:val="16"/>
              </w:rPr>
            </w:pPr>
            <w:r w:rsidRPr="00094D59">
              <w:rPr>
                <w:sz w:val="16"/>
                <w:szCs w:val="16"/>
              </w:rPr>
              <w:t>Participar en las mesas de diálogo del observatorio de veedurías ciudadanas, coordinadas por la Veeduría Distrital.</w:t>
            </w:r>
          </w:p>
        </w:tc>
        <w:tc>
          <w:tcPr>
            <w:tcW w:w="1848" w:type="dxa"/>
            <w:vAlign w:val="center"/>
          </w:tcPr>
          <w:p w14:paraId="378DB3A7" w14:textId="77777777" w:rsidR="00C956A3" w:rsidRPr="00094D59" w:rsidRDefault="00C956A3" w:rsidP="00C956A3">
            <w:pPr>
              <w:jc w:val="both"/>
              <w:rPr>
                <w:sz w:val="16"/>
                <w:szCs w:val="16"/>
              </w:rPr>
            </w:pPr>
            <w:r w:rsidRPr="00094D59">
              <w:rPr>
                <w:sz w:val="16"/>
                <w:szCs w:val="16"/>
              </w:rPr>
              <w:t>Asistencia a las mesas de diálogo</w:t>
            </w:r>
          </w:p>
          <w:p w14:paraId="00B9FF3F" w14:textId="77777777" w:rsidR="00C956A3" w:rsidRDefault="00C956A3" w:rsidP="00C956A3">
            <w:pPr>
              <w:jc w:val="both"/>
              <w:rPr>
                <w:sz w:val="16"/>
                <w:szCs w:val="16"/>
              </w:rPr>
            </w:pPr>
          </w:p>
        </w:tc>
        <w:tc>
          <w:tcPr>
            <w:tcW w:w="4297" w:type="dxa"/>
            <w:vAlign w:val="center"/>
          </w:tcPr>
          <w:p w14:paraId="7A81BB39" w14:textId="5231E602" w:rsidR="00C956A3" w:rsidRPr="00E543B1" w:rsidRDefault="00C956A3" w:rsidP="00C956A3">
            <w:pPr>
              <w:jc w:val="both"/>
              <w:rPr>
                <w:sz w:val="16"/>
                <w:szCs w:val="16"/>
              </w:rPr>
            </w:pPr>
            <w:r>
              <w:rPr>
                <w:sz w:val="16"/>
                <w:szCs w:val="16"/>
              </w:rPr>
              <w:t>Se realizó mesa de dialogo ciudadano en el marco de la rendición de cuentas en la localidad de Bosa -</w:t>
            </w:r>
            <w:r>
              <w:rPr>
                <w:rFonts w:eastAsia="Arial" w:cs="Arial"/>
                <w:szCs w:val="22"/>
              </w:rPr>
              <w:t xml:space="preserve"> </w:t>
            </w:r>
            <w:r w:rsidRPr="00174D2C">
              <w:rPr>
                <w:sz w:val="16"/>
                <w:szCs w:val="16"/>
              </w:rPr>
              <w:t>el día 2 de diciembre 2021, actividad desarrollada en el Colegio Francisco de Paula Santander (Plaza Fundacional)</w:t>
            </w:r>
          </w:p>
        </w:tc>
      </w:tr>
      <w:tr w:rsidR="00C956A3" w:rsidRPr="00A95849" w14:paraId="38855972" w14:textId="77777777" w:rsidTr="00F72841">
        <w:trPr>
          <w:trHeight w:val="1046"/>
        </w:trPr>
        <w:tc>
          <w:tcPr>
            <w:tcW w:w="1337" w:type="dxa"/>
            <w:vMerge w:val="restart"/>
            <w:vAlign w:val="center"/>
          </w:tcPr>
          <w:p w14:paraId="6AF89A31" w14:textId="77777777" w:rsidR="00C956A3" w:rsidRDefault="00C956A3" w:rsidP="00C956A3">
            <w:pPr>
              <w:jc w:val="both"/>
              <w:rPr>
                <w:sz w:val="16"/>
                <w:szCs w:val="16"/>
              </w:rPr>
            </w:pPr>
            <w:r w:rsidRPr="006A6E4F">
              <w:rPr>
                <w:sz w:val="16"/>
                <w:szCs w:val="16"/>
              </w:rPr>
              <w:t>Seguimiento y evaluación de la implementación de la estrategia de rendición de cuentas</w:t>
            </w:r>
          </w:p>
          <w:p w14:paraId="5E4035FF" w14:textId="77777777" w:rsidR="00C956A3" w:rsidRDefault="00C956A3" w:rsidP="00C956A3">
            <w:pPr>
              <w:jc w:val="both"/>
              <w:rPr>
                <w:sz w:val="16"/>
                <w:szCs w:val="16"/>
              </w:rPr>
            </w:pPr>
          </w:p>
          <w:p w14:paraId="2ADB95A5" w14:textId="77777777" w:rsidR="00C956A3" w:rsidRDefault="00C956A3" w:rsidP="00C956A3">
            <w:pPr>
              <w:jc w:val="both"/>
              <w:rPr>
                <w:sz w:val="16"/>
                <w:szCs w:val="16"/>
              </w:rPr>
            </w:pPr>
          </w:p>
        </w:tc>
        <w:tc>
          <w:tcPr>
            <w:tcW w:w="2060" w:type="dxa"/>
            <w:vAlign w:val="center"/>
          </w:tcPr>
          <w:p w14:paraId="4508B109" w14:textId="0DF4071E" w:rsidR="00C956A3" w:rsidRPr="00094D59" w:rsidRDefault="00C956A3" w:rsidP="00C956A3">
            <w:pPr>
              <w:jc w:val="both"/>
              <w:rPr>
                <w:sz w:val="16"/>
                <w:szCs w:val="16"/>
              </w:rPr>
            </w:pPr>
            <w:r w:rsidRPr="006A6E4F">
              <w:rPr>
                <w:sz w:val="16"/>
                <w:szCs w:val="16"/>
              </w:rPr>
              <w:t>Elaborar el informe de la audiencia pública de rendición de cuentas del sector</w:t>
            </w:r>
            <w:r w:rsidR="00514DD5">
              <w:rPr>
                <w:sz w:val="16"/>
                <w:szCs w:val="16"/>
              </w:rPr>
              <w:t xml:space="preserve"> </w:t>
            </w:r>
            <w:r w:rsidRPr="006A6E4F">
              <w:rPr>
                <w:sz w:val="16"/>
                <w:szCs w:val="16"/>
              </w:rPr>
              <w:t>y publicarlo en la página web de la Entidad.</w:t>
            </w:r>
          </w:p>
        </w:tc>
        <w:tc>
          <w:tcPr>
            <w:tcW w:w="1848" w:type="dxa"/>
            <w:vAlign w:val="center"/>
          </w:tcPr>
          <w:p w14:paraId="017ACF7C" w14:textId="77777777" w:rsidR="00C956A3" w:rsidRDefault="00C956A3" w:rsidP="00C956A3">
            <w:pPr>
              <w:jc w:val="both"/>
              <w:rPr>
                <w:sz w:val="16"/>
                <w:szCs w:val="16"/>
              </w:rPr>
            </w:pPr>
            <w:r w:rsidRPr="006A6E4F">
              <w:rPr>
                <w:sz w:val="16"/>
                <w:szCs w:val="16"/>
              </w:rPr>
              <w:t>Informe</w:t>
            </w:r>
            <w:r>
              <w:rPr>
                <w:sz w:val="16"/>
                <w:szCs w:val="16"/>
              </w:rPr>
              <w:t xml:space="preserve"> de la audiencia pública del sector cultura </w:t>
            </w:r>
          </w:p>
          <w:p w14:paraId="797C74CB" w14:textId="18C4F373" w:rsidR="00C956A3" w:rsidRPr="00094D59" w:rsidRDefault="00C956A3" w:rsidP="00C956A3">
            <w:pPr>
              <w:jc w:val="both"/>
              <w:rPr>
                <w:sz w:val="16"/>
                <w:szCs w:val="16"/>
              </w:rPr>
            </w:pPr>
            <w:r w:rsidRPr="006A6E4F">
              <w:rPr>
                <w:sz w:val="16"/>
                <w:szCs w:val="16"/>
              </w:rPr>
              <w:t>elaborado</w:t>
            </w:r>
          </w:p>
        </w:tc>
        <w:tc>
          <w:tcPr>
            <w:tcW w:w="4297" w:type="dxa"/>
            <w:vAlign w:val="center"/>
          </w:tcPr>
          <w:p w14:paraId="4D217CB0" w14:textId="478DBE11" w:rsidR="00C956A3" w:rsidRDefault="00514DD5" w:rsidP="00C956A3">
            <w:pPr>
              <w:jc w:val="both"/>
              <w:rPr>
                <w:color w:val="C00000"/>
                <w:sz w:val="16"/>
                <w:szCs w:val="16"/>
              </w:rPr>
            </w:pPr>
            <w:r w:rsidRPr="00514DD5">
              <w:rPr>
                <w:sz w:val="16"/>
                <w:szCs w:val="16"/>
              </w:rPr>
              <w:t xml:space="preserve">Informe de la audiencia </w:t>
            </w:r>
            <w:r>
              <w:rPr>
                <w:sz w:val="16"/>
                <w:szCs w:val="16"/>
              </w:rPr>
              <w:t xml:space="preserve">pública del sector cultura, </w:t>
            </w:r>
            <w:r w:rsidRPr="00514DD5">
              <w:rPr>
                <w:sz w:val="16"/>
                <w:szCs w:val="16"/>
              </w:rPr>
              <w:t xml:space="preserve">publicado en la página web de la Entidad micrositio de transparencia link: </w:t>
            </w:r>
            <w:hyperlink r:id="rId33" w:history="1">
              <w:r w:rsidRPr="00B917F2">
                <w:rPr>
                  <w:rStyle w:val="Hipervnculo"/>
                  <w:sz w:val="16"/>
                  <w:szCs w:val="16"/>
                </w:rPr>
                <w:t>https://idpc.gov.co/transparencia-y-acceso-a-la-informacion-publica-ley-1712-del-6-de-marzo-de-2014/participa/5-rendicion-de-cuentas</w:t>
              </w:r>
            </w:hyperlink>
          </w:p>
          <w:p w14:paraId="3699775F" w14:textId="4EEF4B1D" w:rsidR="00514DD5" w:rsidRPr="00C956A3" w:rsidRDefault="00514DD5" w:rsidP="00C956A3">
            <w:pPr>
              <w:jc w:val="both"/>
              <w:rPr>
                <w:sz w:val="16"/>
                <w:szCs w:val="16"/>
              </w:rPr>
            </w:pPr>
          </w:p>
        </w:tc>
      </w:tr>
      <w:tr w:rsidR="00C956A3" w:rsidRPr="00A95849" w14:paraId="53A8EDA2" w14:textId="77777777" w:rsidTr="00F72841">
        <w:trPr>
          <w:trHeight w:val="1246"/>
        </w:trPr>
        <w:tc>
          <w:tcPr>
            <w:tcW w:w="1337" w:type="dxa"/>
            <w:vMerge/>
            <w:vAlign w:val="center"/>
          </w:tcPr>
          <w:p w14:paraId="146A62DC" w14:textId="77777777" w:rsidR="00C956A3" w:rsidRDefault="00C956A3" w:rsidP="00C956A3">
            <w:pPr>
              <w:jc w:val="both"/>
              <w:rPr>
                <w:sz w:val="16"/>
                <w:szCs w:val="16"/>
              </w:rPr>
            </w:pPr>
          </w:p>
        </w:tc>
        <w:tc>
          <w:tcPr>
            <w:tcW w:w="2060" w:type="dxa"/>
            <w:vAlign w:val="center"/>
          </w:tcPr>
          <w:p w14:paraId="505F5F9F" w14:textId="12B153FE" w:rsidR="00C956A3" w:rsidRPr="006A6E4F" w:rsidRDefault="00C956A3" w:rsidP="00C956A3">
            <w:pPr>
              <w:jc w:val="both"/>
              <w:rPr>
                <w:sz w:val="16"/>
                <w:szCs w:val="16"/>
              </w:rPr>
            </w:pPr>
            <w:r w:rsidRPr="006A6E4F">
              <w:rPr>
                <w:sz w:val="16"/>
                <w:szCs w:val="16"/>
              </w:rPr>
              <w:t>Analizar la pertinencia de las observaciones, opiniones y/o sugerencias realizadas por los ciudadanos en el marco de la Estrategia de Rendición de cuentas.</w:t>
            </w:r>
          </w:p>
        </w:tc>
        <w:tc>
          <w:tcPr>
            <w:tcW w:w="1848" w:type="dxa"/>
            <w:vAlign w:val="center"/>
          </w:tcPr>
          <w:p w14:paraId="75E43E76" w14:textId="0D2CB579" w:rsidR="00C956A3" w:rsidRDefault="00C956A3" w:rsidP="00C956A3">
            <w:pPr>
              <w:jc w:val="both"/>
              <w:rPr>
                <w:sz w:val="16"/>
                <w:szCs w:val="16"/>
              </w:rPr>
            </w:pPr>
            <w:r w:rsidRPr="006A6E4F">
              <w:rPr>
                <w:sz w:val="16"/>
                <w:szCs w:val="16"/>
              </w:rPr>
              <w:t>Matriz de análisis de pertinencia de las observaciones</w:t>
            </w:r>
          </w:p>
        </w:tc>
        <w:tc>
          <w:tcPr>
            <w:tcW w:w="4297" w:type="dxa"/>
            <w:vAlign w:val="center"/>
          </w:tcPr>
          <w:p w14:paraId="083372C4" w14:textId="77777777" w:rsidR="00514DD5" w:rsidRDefault="00514DD5" w:rsidP="00F72841">
            <w:pPr>
              <w:jc w:val="both"/>
              <w:rPr>
                <w:color w:val="C00000"/>
                <w:sz w:val="16"/>
                <w:szCs w:val="16"/>
              </w:rPr>
            </w:pPr>
            <w:r w:rsidRPr="00514DD5">
              <w:rPr>
                <w:sz w:val="16"/>
                <w:szCs w:val="16"/>
              </w:rPr>
              <w:t>Documentos de preguntas y respuesta publicados en la página web micrositio de transparencia link:</w:t>
            </w:r>
            <w:r w:rsidRPr="006A6E4F">
              <w:rPr>
                <w:color w:val="C00000"/>
                <w:sz w:val="16"/>
                <w:szCs w:val="16"/>
              </w:rPr>
              <w:t xml:space="preserve"> </w:t>
            </w:r>
          </w:p>
          <w:p w14:paraId="01FEC76E" w14:textId="03E851A7" w:rsidR="00F72841" w:rsidRDefault="00A54D97" w:rsidP="00F72841">
            <w:pPr>
              <w:jc w:val="both"/>
              <w:rPr>
                <w:sz w:val="16"/>
                <w:szCs w:val="16"/>
              </w:rPr>
            </w:pPr>
            <w:hyperlink r:id="rId34" w:history="1">
              <w:r w:rsidR="00F72841" w:rsidRPr="00B917F2">
                <w:rPr>
                  <w:rStyle w:val="Hipervnculo"/>
                  <w:sz w:val="16"/>
                  <w:szCs w:val="16"/>
                </w:rPr>
                <w:t>https://idpc.gov.co/wp-content/uploads/2021/12/20212200069011_Respuesta-a-la-solicitud-de-Orlando-Caicedo.pdf</w:t>
              </w:r>
            </w:hyperlink>
          </w:p>
          <w:p w14:paraId="503D1DB1" w14:textId="6E4FAF23" w:rsidR="00F72841" w:rsidRPr="00C956A3" w:rsidRDefault="00F72841" w:rsidP="00F72841">
            <w:pPr>
              <w:jc w:val="both"/>
              <w:rPr>
                <w:sz w:val="16"/>
                <w:szCs w:val="16"/>
              </w:rPr>
            </w:pPr>
          </w:p>
        </w:tc>
      </w:tr>
      <w:tr w:rsidR="00C956A3" w:rsidRPr="00A95849" w14:paraId="334448AE" w14:textId="77777777" w:rsidTr="00F72841">
        <w:tc>
          <w:tcPr>
            <w:tcW w:w="1337" w:type="dxa"/>
            <w:vMerge/>
            <w:vAlign w:val="center"/>
          </w:tcPr>
          <w:p w14:paraId="5EED432C" w14:textId="77777777" w:rsidR="00C956A3" w:rsidRDefault="00C956A3" w:rsidP="00C956A3">
            <w:pPr>
              <w:jc w:val="both"/>
              <w:rPr>
                <w:sz w:val="16"/>
                <w:szCs w:val="16"/>
              </w:rPr>
            </w:pPr>
          </w:p>
        </w:tc>
        <w:tc>
          <w:tcPr>
            <w:tcW w:w="2060" w:type="dxa"/>
            <w:vAlign w:val="center"/>
          </w:tcPr>
          <w:p w14:paraId="4F36D7F5" w14:textId="56BC44F0" w:rsidR="00C956A3" w:rsidRPr="006A6E4F" w:rsidRDefault="00C956A3" w:rsidP="00C956A3">
            <w:pPr>
              <w:jc w:val="both"/>
              <w:rPr>
                <w:sz w:val="16"/>
                <w:szCs w:val="16"/>
              </w:rPr>
            </w:pPr>
            <w:r w:rsidRPr="006A6E4F">
              <w:rPr>
                <w:sz w:val="16"/>
                <w:szCs w:val="16"/>
              </w:rPr>
              <w:t>Elaborar el informe de la estrategia de rendición de cuentas y publicarlo en la página web de la Entidad.</w:t>
            </w:r>
          </w:p>
        </w:tc>
        <w:tc>
          <w:tcPr>
            <w:tcW w:w="1848" w:type="dxa"/>
            <w:vAlign w:val="center"/>
          </w:tcPr>
          <w:p w14:paraId="0607BE34" w14:textId="36DED696" w:rsidR="00C956A3" w:rsidRDefault="00C956A3" w:rsidP="00C956A3">
            <w:pPr>
              <w:jc w:val="both"/>
              <w:rPr>
                <w:sz w:val="16"/>
                <w:szCs w:val="16"/>
              </w:rPr>
            </w:pPr>
            <w:r w:rsidRPr="006A6E4F">
              <w:rPr>
                <w:sz w:val="16"/>
                <w:szCs w:val="16"/>
              </w:rPr>
              <w:t xml:space="preserve">Informe de la estrategia de rendición de cuentas publicado para la vigencia </w:t>
            </w:r>
            <w:r>
              <w:rPr>
                <w:sz w:val="16"/>
                <w:szCs w:val="16"/>
              </w:rPr>
              <w:t>2021</w:t>
            </w:r>
          </w:p>
        </w:tc>
        <w:tc>
          <w:tcPr>
            <w:tcW w:w="4297" w:type="dxa"/>
            <w:vAlign w:val="center"/>
          </w:tcPr>
          <w:p w14:paraId="72188F74" w14:textId="79A8898C" w:rsidR="00C956A3" w:rsidRPr="006A6E4F" w:rsidRDefault="00C956A3" w:rsidP="00C956A3">
            <w:pPr>
              <w:jc w:val="both"/>
              <w:rPr>
                <w:color w:val="C00000"/>
                <w:sz w:val="16"/>
                <w:szCs w:val="16"/>
              </w:rPr>
            </w:pPr>
            <w:r>
              <w:rPr>
                <w:sz w:val="16"/>
                <w:szCs w:val="16"/>
              </w:rPr>
              <w:t>Informe p</w:t>
            </w:r>
            <w:r w:rsidRPr="006A6E4F">
              <w:rPr>
                <w:sz w:val="16"/>
                <w:szCs w:val="16"/>
              </w:rPr>
              <w:t>ublicado en la página web de la Entidad</w:t>
            </w:r>
            <w:r>
              <w:rPr>
                <w:sz w:val="16"/>
                <w:szCs w:val="16"/>
              </w:rPr>
              <w:t xml:space="preserve"> micrositio de transparencia link: </w:t>
            </w:r>
            <w:r w:rsidRPr="006A6E4F">
              <w:rPr>
                <w:color w:val="2E74B5" w:themeColor="accent5" w:themeShade="BF"/>
                <w:sz w:val="16"/>
                <w:szCs w:val="16"/>
                <w:u w:val="single"/>
              </w:rPr>
              <w:t>https://idpc.gov.co/transparencia-y-acceso-a-la-informacion-publica-ley-1712-del-6-de-marzo-de-2014/participa/5-rendicion-de-cuentas/</w:t>
            </w:r>
          </w:p>
        </w:tc>
      </w:tr>
    </w:tbl>
    <w:p w14:paraId="60146E30" w14:textId="77777777" w:rsidR="00C956A3" w:rsidRPr="008A4265" w:rsidRDefault="00C956A3" w:rsidP="00C956A3">
      <w:pPr>
        <w:ind w:left="142"/>
        <w:jc w:val="both"/>
        <w:rPr>
          <w:i/>
          <w:sz w:val="14"/>
        </w:rPr>
      </w:pPr>
      <w:r w:rsidRPr="008A4265">
        <w:rPr>
          <w:b/>
          <w:i/>
          <w:sz w:val="14"/>
        </w:rPr>
        <w:t>Nota:</w:t>
      </w:r>
      <w:r w:rsidRPr="008A4265">
        <w:rPr>
          <w:i/>
          <w:sz w:val="14"/>
        </w:rPr>
        <w:t xml:space="preserve"> La matriz corresponde a la verificación del cumplimiento </w:t>
      </w:r>
      <w:r>
        <w:rPr>
          <w:i/>
          <w:sz w:val="14"/>
        </w:rPr>
        <w:t xml:space="preserve">de </w:t>
      </w:r>
      <w:r w:rsidRPr="008A4265">
        <w:rPr>
          <w:i/>
          <w:sz w:val="14"/>
        </w:rPr>
        <w:t>las actividades definidas, de acuerdo con lo establecido por el Manual Único d</w:t>
      </w:r>
      <w:bookmarkEnd w:id="4"/>
      <w:r w:rsidRPr="008A4265">
        <w:rPr>
          <w:i/>
          <w:sz w:val="14"/>
        </w:rPr>
        <w:t>e Rendición de Cuentas -MURC</w:t>
      </w:r>
    </w:p>
    <w:p w14:paraId="4D8C3EF7" w14:textId="38B19400" w:rsidR="00C956A3" w:rsidRDefault="00C956A3" w:rsidP="00FB2062">
      <w:pPr>
        <w:jc w:val="both"/>
        <w:rPr>
          <w:rFonts w:cs="Arial"/>
          <w:szCs w:val="22"/>
        </w:rPr>
      </w:pPr>
    </w:p>
    <w:p w14:paraId="0F878BB6" w14:textId="5E077213" w:rsidR="00283799" w:rsidRDefault="00283799" w:rsidP="00FB2062">
      <w:pPr>
        <w:jc w:val="both"/>
        <w:rPr>
          <w:rFonts w:cs="Arial"/>
          <w:szCs w:val="22"/>
        </w:rPr>
      </w:pPr>
    </w:p>
    <w:p w14:paraId="5EB01C24" w14:textId="253477BB" w:rsidR="00283799" w:rsidRDefault="00283799" w:rsidP="00FB2062">
      <w:pPr>
        <w:jc w:val="both"/>
        <w:rPr>
          <w:rFonts w:cs="Arial"/>
          <w:szCs w:val="22"/>
        </w:rPr>
      </w:pPr>
    </w:p>
    <w:p w14:paraId="68E214ED" w14:textId="77777777" w:rsidR="00283799" w:rsidRDefault="00283799" w:rsidP="00FB2062">
      <w:pPr>
        <w:jc w:val="both"/>
        <w:rPr>
          <w:rFonts w:cs="Arial"/>
          <w:szCs w:val="22"/>
        </w:rPr>
      </w:pPr>
    </w:p>
    <w:p w14:paraId="39299C38" w14:textId="77777777" w:rsidR="00A4095B" w:rsidRPr="007E187A" w:rsidRDefault="00A4095B" w:rsidP="005F400D">
      <w:pPr>
        <w:pStyle w:val="Prrafodelista"/>
        <w:numPr>
          <w:ilvl w:val="0"/>
          <w:numId w:val="1"/>
        </w:numPr>
        <w:jc w:val="center"/>
        <w:rPr>
          <w:rFonts w:cs="Arial"/>
          <w:b/>
        </w:rPr>
      </w:pPr>
      <w:r w:rsidRPr="007E187A">
        <w:rPr>
          <w:rFonts w:cs="Arial"/>
          <w:b/>
        </w:rPr>
        <w:t>FORTALEZAS EVIDENCIADAS</w:t>
      </w:r>
    </w:p>
    <w:p w14:paraId="0C5AF0A1" w14:textId="77777777" w:rsidR="00A4095B" w:rsidRDefault="00A4095B" w:rsidP="00FB2062">
      <w:pPr>
        <w:pStyle w:val="Prrafodelista"/>
        <w:jc w:val="both"/>
        <w:rPr>
          <w:rFonts w:cs="Arial"/>
          <w:b/>
        </w:rPr>
      </w:pPr>
    </w:p>
    <w:p w14:paraId="17CE13A0" w14:textId="1C9C017A" w:rsidR="00A4095B" w:rsidRDefault="00541065" w:rsidP="005F400D">
      <w:pPr>
        <w:pStyle w:val="Prrafodelista"/>
        <w:numPr>
          <w:ilvl w:val="0"/>
          <w:numId w:val="4"/>
        </w:numPr>
        <w:ind w:left="426"/>
        <w:jc w:val="both"/>
        <w:rPr>
          <w:rFonts w:cs="Arial"/>
        </w:rPr>
      </w:pPr>
      <w:r>
        <w:rPr>
          <w:rFonts w:cs="Arial"/>
        </w:rPr>
        <w:t>El Instituto desarrolló</w:t>
      </w:r>
      <w:r w:rsidR="00A4095B">
        <w:rPr>
          <w:rFonts w:cs="Arial"/>
        </w:rPr>
        <w:t xml:space="preserve"> acciones sectoriales</w:t>
      </w:r>
      <w:r w:rsidR="00710007">
        <w:rPr>
          <w:rFonts w:cs="Arial"/>
        </w:rPr>
        <w:t xml:space="preserve"> y locales </w:t>
      </w:r>
      <w:r w:rsidR="00A4095B">
        <w:rPr>
          <w:rFonts w:cs="Arial"/>
        </w:rPr>
        <w:t>que dan muestra de su capacidad de articulación en cuanto a gestión institucional y fomento de la participación ciudadana.</w:t>
      </w:r>
    </w:p>
    <w:p w14:paraId="57D3B15F" w14:textId="77777777" w:rsidR="00A4095B" w:rsidRDefault="00A4095B" w:rsidP="005F400D">
      <w:pPr>
        <w:pStyle w:val="Prrafodelista"/>
        <w:numPr>
          <w:ilvl w:val="0"/>
          <w:numId w:val="4"/>
        </w:numPr>
        <w:ind w:left="426"/>
        <w:jc w:val="both"/>
        <w:rPr>
          <w:rFonts w:cs="Arial"/>
        </w:rPr>
      </w:pPr>
      <w:r w:rsidRPr="00E9175D">
        <w:rPr>
          <w:rFonts w:cs="Arial"/>
        </w:rPr>
        <w:t xml:space="preserve">La entidad cuenta con canales que permiten generar diálogo ciudadano asertivo </w:t>
      </w:r>
      <w:r>
        <w:rPr>
          <w:rFonts w:cs="Arial"/>
        </w:rPr>
        <w:t>que a su vez posibilita el mejoramiento de su gestión institucional.</w:t>
      </w:r>
    </w:p>
    <w:p w14:paraId="6F4877F4" w14:textId="77777777" w:rsidR="00A4095B" w:rsidRDefault="00A4095B" w:rsidP="005F400D">
      <w:pPr>
        <w:pStyle w:val="Prrafodelista"/>
        <w:numPr>
          <w:ilvl w:val="0"/>
          <w:numId w:val="4"/>
        </w:numPr>
        <w:ind w:left="426"/>
        <w:jc w:val="both"/>
        <w:rPr>
          <w:rFonts w:cs="Arial"/>
        </w:rPr>
      </w:pPr>
      <w:r>
        <w:rPr>
          <w:rFonts w:cs="Arial"/>
        </w:rPr>
        <w:t>El IDPC cuenta con un equipo de líderes para la planeación del ejercicio de Rendición de Cuentas.</w:t>
      </w:r>
    </w:p>
    <w:p w14:paraId="4A2EC1CD" w14:textId="77777777" w:rsidR="00A4095B" w:rsidRDefault="00A4095B" w:rsidP="005F400D">
      <w:pPr>
        <w:pStyle w:val="Prrafodelista"/>
        <w:numPr>
          <w:ilvl w:val="0"/>
          <w:numId w:val="4"/>
        </w:numPr>
        <w:ind w:left="426"/>
        <w:jc w:val="both"/>
        <w:rPr>
          <w:rFonts w:cs="Arial"/>
        </w:rPr>
      </w:pPr>
      <w:r>
        <w:rPr>
          <w:rFonts w:cs="Arial"/>
        </w:rPr>
        <w:t>La entidad dio cuenta de que a través de la implementación de acciones involucra a diversos grupos poblacionales garantizando la participación ciudadana.</w:t>
      </w:r>
    </w:p>
    <w:p w14:paraId="7ECDC08B" w14:textId="44FE8BDF" w:rsidR="00A4095B" w:rsidRDefault="00A4095B" w:rsidP="00FB2062">
      <w:pPr>
        <w:pStyle w:val="Prrafodelista"/>
        <w:jc w:val="both"/>
        <w:rPr>
          <w:rFonts w:cs="Arial"/>
        </w:rPr>
      </w:pPr>
    </w:p>
    <w:p w14:paraId="7448C81E" w14:textId="77777777" w:rsidR="009D75EE" w:rsidRDefault="009D75EE" w:rsidP="00FB2062">
      <w:pPr>
        <w:pStyle w:val="Prrafodelista"/>
        <w:jc w:val="both"/>
        <w:rPr>
          <w:rFonts w:cs="Arial"/>
        </w:rPr>
      </w:pPr>
    </w:p>
    <w:p w14:paraId="2FB4658A" w14:textId="4449B9B0" w:rsidR="00A4095B" w:rsidRDefault="00283799" w:rsidP="005F400D">
      <w:pPr>
        <w:pStyle w:val="Prrafodelista"/>
        <w:numPr>
          <w:ilvl w:val="0"/>
          <w:numId w:val="1"/>
        </w:numPr>
        <w:jc w:val="center"/>
        <w:rPr>
          <w:rFonts w:cs="Arial"/>
          <w:b/>
        </w:rPr>
      </w:pPr>
      <w:r>
        <w:rPr>
          <w:rFonts w:cs="Arial"/>
          <w:b/>
        </w:rPr>
        <w:t>O</w:t>
      </w:r>
      <w:r w:rsidR="00A4095B" w:rsidRPr="007E187A">
        <w:rPr>
          <w:rFonts w:cs="Arial"/>
          <w:b/>
        </w:rPr>
        <w:t>BSERVACIONES</w:t>
      </w:r>
    </w:p>
    <w:p w14:paraId="7D2E2BFB" w14:textId="40054858" w:rsidR="00D53CF0" w:rsidRDefault="00D53CF0" w:rsidP="00C956A3">
      <w:pPr>
        <w:rPr>
          <w:rFonts w:cs="Arial"/>
          <w:b/>
        </w:rPr>
      </w:pPr>
    </w:p>
    <w:p w14:paraId="2E8B8A1D" w14:textId="70AC821B" w:rsidR="00C956A3" w:rsidRPr="00C956A3" w:rsidRDefault="00C956A3" w:rsidP="005F400D">
      <w:pPr>
        <w:pStyle w:val="Prrafodelista"/>
        <w:numPr>
          <w:ilvl w:val="0"/>
          <w:numId w:val="8"/>
        </w:numPr>
        <w:ind w:left="426"/>
        <w:jc w:val="both"/>
        <w:rPr>
          <w:rFonts w:cs="Arial"/>
        </w:rPr>
      </w:pPr>
      <w:r>
        <w:rPr>
          <w:rFonts w:cs="Arial"/>
        </w:rPr>
        <w:t xml:space="preserve">Para el caso de la audiencia pública de rendición de cuentas sectorial se evidenció </w:t>
      </w:r>
      <w:r w:rsidR="00C01B3F">
        <w:rPr>
          <w:rFonts w:cs="Arial"/>
        </w:rPr>
        <w:t xml:space="preserve">que únicamente </w:t>
      </w:r>
      <w:r w:rsidR="00C01B3F">
        <w:rPr>
          <w:rFonts w:eastAsia="Arial" w:cs="Arial"/>
          <w:szCs w:val="22"/>
        </w:rPr>
        <w:t xml:space="preserve">el </w:t>
      </w:r>
      <w:r w:rsidR="00C01B3F" w:rsidRPr="00C97413">
        <w:rPr>
          <w:rFonts w:eastAsia="Arial" w:cs="Arial"/>
          <w:szCs w:val="22"/>
        </w:rPr>
        <w:t>12</w:t>
      </w:r>
      <w:r w:rsidR="00C01B3F">
        <w:rPr>
          <w:rFonts w:eastAsia="Arial" w:cs="Arial"/>
          <w:szCs w:val="22"/>
        </w:rPr>
        <w:t>%</w:t>
      </w:r>
      <w:r w:rsidR="00C01B3F" w:rsidRPr="00C97413">
        <w:rPr>
          <w:rFonts w:eastAsia="Arial" w:cs="Arial"/>
          <w:szCs w:val="22"/>
        </w:rPr>
        <w:t xml:space="preserve"> </w:t>
      </w:r>
      <w:r w:rsidR="00C01B3F">
        <w:rPr>
          <w:rFonts w:eastAsia="Arial" w:cs="Arial"/>
          <w:szCs w:val="22"/>
        </w:rPr>
        <w:t xml:space="preserve">de los asistentes </w:t>
      </w:r>
      <w:r w:rsidR="00C01B3F" w:rsidRPr="00C97413">
        <w:rPr>
          <w:rFonts w:eastAsia="Arial" w:cs="Arial"/>
          <w:szCs w:val="22"/>
        </w:rPr>
        <w:t>forman parte de gremios ciudadanos interesados en la oferta cultural del sector</w:t>
      </w:r>
      <w:r w:rsidR="00C01B3F">
        <w:rPr>
          <w:rFonts w:eastAsia="Arial" w:cs="Arial"/>
          <w:szCs w:val="22"/>
        </w:rPr>
        <w:t xml:space="preserve">, por lo cual es importante </w:t>
      </w:r>
      <w:r w:rsidR="0081659A">
        <w:rPr>
          <w:rFonts w:eastAsia="Arial" w:cs="Arial"/>
          <w:szCs w:val="22"/>
        </w:rPr>
        <w:t>fortalece</w:t>
      </w:r>
      <w:r w:rsidR="00C01B3F">
        <w:rPr>
          <w:rFonts w:eastAsia="Arial" w:cs="Arial"/>
          <w:szCs w:val="22"/>
        </w:rPr>
        <w:t xml:space="preserve">r </w:t>
      </w:r>
      <w:r w:rsidR="0081659A">
        <w:rPr>
          <w:rFonts w:eastAsia="Arial" w:cs="Arial"/>
          <w:szCs w:val="22"/>
        </w:rPr>
        <w:t xml:space="preserve">las </w:t>
      </w:r>
      <w:r w:rsidR="00C01B3F">
        <w:rPr>
          <w:rFonts w:eastAsia="Arial" w:cs="Arial"/>
          <w:szCs w:val="22"/>
        </w:rPr>
        <w:t>acciones que permitan incrementar este porcentaje de participación ciudadana.</w:t>
      </w:r>
    </w:p>
    <w:p w14:paraId="6C2D840B" w14:textId="27322C7F" w:rsidR="00AA29D7" w:rsidRDefault="00AA29D7" w:rsidP="00FB2062">
      <w:pPr>
        <w:jc w:val="both"/>
        <w:rPr>
          <w:b/>
        </w:rPr>
      </w:pPr>
    </w:p>
    <w:p w14:paraId="4AE1D8E1" w14:textId="77777777" w:rsidR="009D75EE" w:rsidRDefault="009D75EE" w:rsidP="00FB2062">
      <w:pPr>
        <w:jc w:val="both"/>
        <w:rPr>
          <w:b/>
        </w:rPr>
      </w:pPr>
    </w:p>
    <w:p w14:paraId="21FE9B49" w14:textId="77777777" w:rsidR="00A4095B" w:rsidRPr="00460856" w:rsidRDefault="00A4095B" w:rsidP="005F400D">
      <w:pPr>
        <w:pStyle w:val="Prrafodelista"/>
        <w:numPr>
          <w:ilvl w:val="0"/>
          <w:numId w:val="1"/>
        </w:numPr>
        <w:jc w:val="center"/>
        <w:rPr>
          <w:rFonts w:cs="Arial"/>
          <w:b/>
        </w:rPr>
      </w:pPr>
      <w:r w:rsidRPr="00460856">
        <w:rPr>
          <w:rFonts w:cs="Arial"/>
          <w:b/>
        </w:rPr>
        <w:t>NO CONFORMIDADES DETECTADAS</w:t>
      </w:r>
    </w:p>
    <w:p w14:paraId="3F97FB3D" w14:textId="554A1A49" w:rsidR="00A4095B" w:rsidRDefault="00A4095B" w:rsidP="00FB2062">
      <w:pPr>
        <w:pStyle w:val="Prrafodelista"/>
      </w:pPr>
    </w:p>
    <w:p w14:paraId="16DF479A" w14:textId="77777777" w:rsidR="009D75EE" w:rsidRDefault="009D75EE" w:rsidP="00FB2062">
      <w:pPr>
        <w:pStyle w:val="Prrafodelista"/>
      </w:pPr>
    </w:p>
    <w:p w14:paraId="448E2415" w14:textId="77777777" w:rsidR="00A4095B" w:rsidRDefault="00A4095B" w:rsidP="00FB2062">
      <w:pPr>
        <w:pStyle w:val="Prrafodelista"/>
        <w:ind w:left="0"/>
      </w:pPr>
      <w:r>
        <w:t>No se detectan no conformidades.</w:t>
      </w:r>
    </w:p>
    <w:p w14:paraId="3CF1A0F7" w14:textId="0ECA93B3" w:rsidR="00522407" w:rsidRDefault="00522407" w:rsidP="00460856"/>
    <w:p w14:paraId="0C90E8B6" w14:textId="77777777" w:rsidR="009D75EE" w:rsidRDefault="009D75EE" w:rsidP="00460856"/>
    <w:p w14:paraId="4EA2D478" w14:textId="77777777" w:rsidR="00A4095B" w:rsidRDefault="00A4095B" w:rsidP="005F400D">
      <w:pPr>
        <w:pStyle w:val="Prrafodelista"/>
        <w:numPr>
          <w:ilvl w:val="0"/>
          <w:numId w:val="1"/>
        </w:numPr>
        <w:jc w:val="center"/>
        <w:rPr>
          <w:rFonts w:cs="Arial"/>
          <w:b/>
        </w:rPr>
      </w:pPr>
      <w:r w:rsidRPr="007E187A">
        <w:rPr>
          <w:rFonts w:cs="Arial"/>
          <w:b/>
        </w:rPr>
        <w:t>CONCLUSIÓN GENERAL</w:t>
      </w:r>
    </w:p>
    <w:p w14:paraId="57BDEEDC" w14:textId="77777777" w:rsidR="00A4095B" w:rsidRPr="007E187A" w:rsidRDefault="00A4095B" w:rsidP="00FB2062">
      <w:pPr>
        <w:pStyle w:val="Prrafodelista"/>
        <w:rPr>
          <w:rFonts w:cs="Arial"/>
          <w:b/>
        </w:rPr>
      </w:pPr>
    </w:p>
    <w:p w14:paraId="0A2C90D1" w14:textId="1AC5B25D" w:rsidR="009A1EDB" w:rsidRDefault="00285324" w:rsidP="00FB2062">
      <w:pPr>
        <w:shd w:val="clear" w:color="auto" w:fill="FFFFFF"/>
        <w:tabs>
          <w:tab w:val="left" w:pos="1095"/>
        </w:tabs>
        <w:jc w:val="both"/>
        <w:rPr>
          <w:rFonts w:cs="Arial"/>
        </w:rPr>
      </w:pPr>
      <w:r>
        <w:rPr>
          <w:rFonts w:cs="Arial"/>
        </w:rPr>
        <w:t xml:space="preserve">El IDPC ha implementado acciones tendientes a </w:t>
      </w:r>
      <w:r w:rsidR="00A4095B">
        <w:rPr>
          <w:rFonts w:cs="Arial"/>
        </w:rPr>
        <w:t xml:space="preserve">propiciar y garantizar el derecho a la participación ciudadana </w:t>
      </w:r>
      <w:r>
        <w:rPr>
          <w:rFonts w:cs="Arial"/>
        </w:rPr>
        <w:t xml:space="preserve">no solo </w:t>
      </w:r>
      <w:r w:rsidR="009A1EDB">
        <w:rPr>
          <w:rFonts w:cs="Arial"/>
        </w:rPr>
        <w:t xml:space="preserve">a través de la audiencia pública de rendición de cuentas  que se realiza cada </w:t>
      </w:r>
      <w:r>
        <w:rPr>
          <w:rFonts w:cs="Arial"/>
        </w:rPr>
        <w:t>año</w:t>
      </w:r>
      <w:r w:rsidR="009A1EDB">
        <w:rPr>
          <w:rFonts w:cs="Arial"/>
        </w:rPr>
        <w:t>,</w:t>
      </w:r>
      <w:r>
        <w:rPr>
          <w:rFonts w:cs="Arial"/>
        </w:rPr>
        <w:t xml:space="preserve"> </w:t>
      </w:r>
      <w:r w:rsidR="009A1EDB">
        <w:rPr>
          <w:rFonts w:cs="Arial"/>
        </w:rPr>
        <w:t xml:space="preserve">sino que permanentemente realiza el ejercicio </w:t>
      </w:r>
      <w:r w:rsidR="009A1EDB">
        <w:rPr>
          <w:rFonts w:eastAsia="Arial" w:cs="Arial"/>
          <w:szCs w:val="22"/>
        </w:rPr>
        <w:t xml:space="preserve">de construcción de comunidad, orientado fundamentalmente al ciudadano, para informar y hacerlo partícipe de las decisiones que se han tomado en la ciudad, con respecto a la valoración del patrimonio y su importancia dentro de la memoria histórica; dando cuenta de aspectos que los afectan en su calidad y condiciones de vida y de las acciones que desarrolla para garantizar su derecho a la vida cultural, incluida la capacidad de acceder al patrimonio, lo anterior como un mecanismo importante </w:t>
      </w:r>
      <w:r w:rsidR="009A1EDB">
        <w:rPr>
          <w:rFonts w:cs="Arial"/>
        </w:rPr>
        <w:t xml:space="preserve">de rendición de cuentas a la comunidad con la que interactúa. </w:t>
      </w:r>
    </w:p>
    <w:p w14:paraId="7F5B5793" w14:textId="2E3C47D0" w:rsidR="009A1EDB" w:rsidRDefault="009A1EDB" w:rsidP="00FB2062">
      <w:pPr>
        <w:shd w:val="clear" w:color="auto" w:fill="FFFFFF"/>
        <w:tabs>
          <w:tab w:val="left" w:pos="1095"/>
        </w:tabs>
        <w:jc w:val="both"/>
        <w:rPr>
          <w:rFonts w:cs="Arial"/>
        </w:rPr>
      </w:pPr>
      <w:r>
        <w:rPr>
          <w:rFonts w:cs="Arial"/>
        </w:rPr>
        <w:t xml:space="preserve"> </w:t>
      </w:r>
    </w:p>
    <w:p w14:paraId="599BCB28" w14:textId="77777777" w:rsidR="009D75EE" w:rsidRDefault="009D75EE" w:rsidP="00FB2062">
      <w:pPr>
        <w:shd w:val="clear" w:color="auto" w:fill="FFFFFF"/>
        <w:tabs>
          <w:tab w:val="left" w:pos="1095"/>
        </w:tabs>
        <w:jc w:val="both"/>
        <w:rPr>
          <w:rFonts w:cs="Arial"/>
        </w:rPr>
      </w:pPr>
    </w:p>
    <w:p w14:paraId="59DF1700" w14:textId="7DEAB621" w:rsidR="00A4095B" w:rsidRDefault="00A4095B" w:rsidP="005F400D">
      <w:pPr>
        <w:pStyle w:val="Prrafodelista"/>
        <w:numPr>
          <w:ilvl w:val="0"/>
          <w:numId w:val="1"/>
        </w:numPr>
        <w:jc w:val="center"/>
        <w:rPr>
          <w:rFonts w:cs="Arial"/>
          <w:b/>
        </w:rPr>
      </w:pPr>
      <w:r w:rsidRPr="007E187A">
        <w:rPr>
          <w:rFonts w:cs="Arial"/>
          <w:b/>
        </w:rPr>
        <w:t>RECOMENDACIONES</w:t>
      </w:r>
    </w:p>
    <w:p w14:paraId="305A1B82" w14:textId="48CD9A24" w:rsidR="00522407" w:rsidRDefault="00522407" w:rsidP="00FB2062">
      <w:pPr>
        <w:pStyle w:val="Prrafodelista"/>
        <w:ind w:left="1080"/>
        <w:rPr>
          <w:rFonts w:cs="Arial"/>
          <w:b/>
        </w:rPr>
      </w:pPr>
    </w:p>
    <w:p w14:paraId="129F4467" w14:textId="77777777" w:rsidR="009D75EE" w:rsidRPr="007E187A" w:rsidRDefault="009D75EE" w:rsidP="00FB2062">
      <w:pPr>
        <w:pStyle w:val="Prrafodelista"/>
        <w:ind w:left="1080"/>
        <w:rPr>
          <w:rFonts w:cs="Arial"/>
          <w:b/>
        </w:rPr>
      </w:pPr>
    </w:p>
    <w:p w14:paraId="4670D3E9" w14:textId="77777777" w:rsidR="00A4095B" w:rsidRPr="00D853B1" w:rsidRDefault="00A4095B" w:rsidP="005F400D">
      <w:pPr>
        <w:pStyle w:val="Prrafodelista"/>
        <w:numPr>
          <w:ilvl w:val="0"/>
          <w:numId w:val="5"/>
        </w:numPr>
        <w:ind w:left="426"/>
        <w:jc w:val="both"/>
        <w:rPr>
          <w:rFonts w:cs="Arial"/>
          <w:b/>
        </w:rPr>
      </w:pPr>
      <w:r>
        <w:t>Continuar trabajando en incentivar y motivar a la ciudadanía y a los servidores públicos a participar de estos espacios de Audiencia Pública de Rendición de Cuentas realizadas a nivel institucional o sectorial.</w:t>
      </w:r>
    </w:p>
    <w:p w14:paraId="717E7ED0" w14:textId="77777777" w:rsidR="00A4095B" w:rsidRPr="00B5230A" w:rsidRDefault="00A4095B" w:rsidP="00FB2062">
      <w:pPr>
        <w:pStyle w:val="Prrafodelista"/>
        <w:ind w:left="426"/>
        <w:jc w:val="both"/>
        <w:rPr>
          <w:rFonts w:cs="Arial"/>
          <w:b/>
        </w:rPr>
      </w:pPr>
    </w:p>
    <w:p w14:paraId="01991313" w14:textId="35ACCDC1" w:rsidR="00A240CA" w:rsidRDefault="00A240CA" w:rsidP="005F400D">
      <w:pPr>
        <w:pStyle w:val="Prrafodelista"/>
        <w:numPr>
          <w:ilvl w:val="0"/>
          <w:numId w:val="5"/>
        </w:numPr>
        <w:ind w:left="426"/>
        <w:jc w:val="both"/>
      </w:pPr>
      <w:r w:rsidRPr="00A240CA">
        <w:lastRenderedPageBreak/>
        <w:t xml:space="preserve">Ampliar los mecanismos de divulgación y promoción del conocimiento del informe de gestión del IDPC, con el propósito de motivar e incrementar la participación ciudadana en el evento de rendición de cuentas que se realiza anualmente. </w:t>
      </w:r>
    </w:p>
    <w:p w14:paraId="57F54490" w14:textId="77777777" w:rsidR="006D43EA" w:rsidRDefault="006D43EA" w:rsidP="00FB2062">
      <w:pPr>
        <w:pStyle w:val="Prrafodelista"/>
      </w:pPr>
    </w:p>
    <w:p w14:paraId="415E4120" w14:textId="5E855E30" w:rsidR="006D43EA" w:rsidRDefault="006E3257" w:rsidP="005F400D">
      <w:pPr>
        <w:pStyle w:val="Prrafodelista"/>
        <w:numPr>
          <w:ilvl w:val="0"/>
          <w:numId w:val="5"/>
        </w:numPr>
        <w:ind w:left="426"/>
        <w:jc w:val="both"/>
      </w:pPr>
      <w:r>
        <w:t>Robustecer</w:t>
      </w:r>
      <w:r w:rsidR="006D43EA">
        <w:t xml:space="preserve"> el mecanismo de rendición de cuentas a través de las mesas de diálogos ciudad</w:t>
      </w:r>
      <w:r>
        <w:t>anos llegando a más localidades en las cuales se desarrollen proyectos desde el IDPC.</w:t>
      </w:r>
    </w:p>
    <w:p w14:paraId="084AC642" w14:textId="77777777" w:rsidR="006D43EA" w:rsidRDefault="006D43EA" w:rsidP="00FB2062">
      <w:pPr>
        <w:pStyle w:val="Prrafodelista"/>
      </w:pPr>
    </w:p>
    <w:p w14:paraId="5BD31159" w14:textId="1E9727F0" w:rsidR="00B036B5" w:rsidRDefault="006D43EA" w:rsidP="00FC1DCF">
      <w:pPr>
        <w:pStyle w:val="Prrafodelista"/>
        <w:numPr>
          <w:ilvl w:val="0"/>
          <w:numId w:val="5"/>
        </w:numPr>
        <w:ind w:left="426"/>
        <w:jc w:val="both"/>
      </w:pPr>
      <w:r>
        <w:t>Fortalecer los mecanismos utilizados para realizar las convocatorias y promoción de la rendición de cuentas para la próxima vigencia</w:t>
      </w:r>
      <w:r w:rsidR="000E4F3B">
        <w:t>,</w:t>
      </w:r>
      <w:r>
        <w:t xml:space="preserve"> con el fin de llegar a más ciudadanos y contar con más presencia en la audiencia pública. </w:t>
      </w:r>
    </w:p>
    <w:sectPr w:rsidR="00B036B5" w:rsidSect="002F1F7E">
      <w:headerReference w:type="default" r:id="rId35"/>
      <w:footerReference w:type="default" r:id="rId36"/>
      <w:pgSz w:w="12240" w:h="15840"/>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0388D8" w14:textId="77777777" w:rsidR="00A54D97" w:rsidRDefault="00A54D97" w:rsidP="00106E49">
      <w:r>
        <w:separator/>
      </w:r>
    </w:p>
  </w:endnote>
  <w:endnote w:type="continuationSeparator" w:id="0">
    <w:p w14:paraId="036DCC92" w14:textId="77777777" w:rsidR="00A54D97" w:rsidRDefault="00A54D97" w:rsidP="00106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Cuerpo en alfa">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de3of9">
    <w:altName w:val="Calibri"/>
    <w:panose1 w:val="00000000000000000000"/>
    <w:charset w:val="00"/>
    <w:family w:val="auto"/>
    <w:pitch w:val="variable"/>
    <w:sig w:usb0="00000003" w:usb1="00000000" w:usb2="00000000" w:usb3="00000000" w:csb0="00000001" w:csb1="00000000"/>
  </w:font>
  <w:font w:name="Andale Sans UI">
    <w:panose1 w:val="00000000000000000000"/>
    <w:charset w:val="00"/>
    <w:family w:val="roman"/>
    <w:notTrueType/>
    <w:pitch w:val="default"/>
  </w:font>
  <w:font w:name="Lucidasans, '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460856" w14:paraId="4649E5C5" w14:textId="77777777" w:rsidTr="00455B38">
      <w:tc>
        <w:tcPr>
          <w:tcW w:w="2942" w:type="dxa"/>
        </w:tcPr>
        <w:p w14:paraId="5B4A80BF" w14:textId="260E9B2A" w:rsidR="00460856" w:rsidRPr="00455B38" w:rsidRDefault="00460856" w:rsidP="001D2412">
          <w:pPr>
            <w:pStyle w:val="Piedepgina"/>
            <w:rPr>
              <w:sz w:val="18"/>
              <w:szCs w:val="18"/>
            </w:rPr>
          </w:pPr>
          <w:r>
            <w:rPr>
              <w:sz w:val="18"/>
              <w:szCs w:val="18"/>
            </w:rPr>
            <w:t>Versión 03</w:t>
          </w:r>
          <w:r w:rsidRPr="00455B38">
            <w:rPr>
              <w:sz w:val="18"/>
              <w:szCs w:val="18"/>
            </w:rPr>
            <w:t xml:space="preserve">   3</w:t>
          </w:r>
          <w:r>
            <w:rPr>
              <w:sz w:val="18"/>
              <w:szCs w:val="18"/>
            </w:rPr>
            <w:t>1</w:t>
          </w:r>
          <w:r w:rsidRPr="00455B38">
            <w:rPr>
              <w:sz w:val="18"/>
              <w:szCs w:val="18"/>
            </w:rPr>
            <w:t>/</w:t>
          </w:r>
          <w:r>
            <w:rPr>
              <w:sz w:val="18"/>
              <w:szCs w:val="18"/>
            </w:rPr>
            <w:t>12</w:t>
          </w:r>
          <w:r w:rsidRPr="00455B38">
            <w:rPr>
              <w:sz w:val="18"/>
              <w:szCs w:val="18"/>
            </w:rPr>
            <w:t>/2020</w:t>
          </w:r>
        </w:p>
      </w:tc>
      <w:tc>
        <w:tcPr>
          <w:tcW w:w="2943" w:type="dxa"/>
        </w:tcPr>
        <w:p w14:paraId="543A11A7" w14:textId="77777777" w:rsidR="00460856" w:rsidRDefault="00460856">
          <w:pPr>
            <w:pStyle w:val="Piedepgina"/>
          </w:pPr>
        </w:p>
      </w:tc>
      <w:tc>
        <w:tcPr>
          <w:tcW w:w="2943" w:type="dxa"/>
        </w:tcPr>
        <w:p w14:paraId="52C40D95" w14:textId="77777777" w:rsidR="00460856" w:rsidRDefault="00460856">
          <w:pPr>
            <w:pStyle w:val="Piedepgina"/>
          </w:pPr>
        </w:p>
      </w:tc>
    </w:tr>
  </w:tbl>
  <w:p w14:paraId="5B4AE9E1" w14:textId="77777777" w:rsidR="00460856" w:rsidRPr="00455B38" w:rsidRDefault="00460856" w:rsidP="00455B38">
    <w:pPr>
      <w:pStyle w:val="Piedepgina"/>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96D83" w14:textId="77777777" w:rsidR="00A54D97" w:rsidRDefault="00A54D97" w:rsidP="00106E49">
      <w:r>
        <w:separator/>
      </w:r>
    </w:p>
  </w:footnote>
  <w:footnote w:type="continuationSeparator" w:id="0">
    <w:p w14:paraId="79902D1A" w14:textId="77777777" w:rsidR="00A54D97" w:rsidRDefault="00A54D97" w:rsidP="00106E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Layout w:type="fixed"/>
      <w:tblLook w:val="04A0" w:firstRow="1" w:lastRow="0" w:firstColumn="1" w:lastColumn="0" w:noHBand="0" w:noVBand="1"/>
    </w:tblPr>
    <w:tblGrid>
      <w:gridCol w:w="1412"/>
      <w:gridCol w:w="4395"/>
      <w:gridCol w:w="3021"/>
    </w:tblGrid>
    <w:tr w:rsidR="00460856" w14:paraId="17F55E8E" w14:textId="77777777" w:rsidTr="00F1402C">
      <w:trPr>
        <w:trHeight w:val="268"/>
      </w:trPr>
      <w:tc>
        <w:tcPr>
          <w:tcW w:w="800" w:type="pct"/>
          <w:vMerge w:val="restart"/>
          <w:vAlign w:val="center"/>
        </w:tcPr>
        <w:p w14:paraId="7FFF3766" w14:textId="301B7BC8" w:rsidR="00460856" w:rsidRDefault="00460856" w:rsidP="00455B38">
          <w:pPr>
            <w:pStyle w:val="Encabezado"/>
            <w:jc w:val="center"/>
          </w:pPr>
          <w:r>
            <w:rPr>
              <w:noProof/>
              <w:lang w:eastAsia="es-CO"/>
            </w:rPr>
            <w:drawing>
              <wp:inline distT="0" distB="0" distL="0" distR="0" wp14:anchorId="296869BF" wp14:editId="0EE6423E">
                <wp:extent cx="775970" cy="672465"/>
                <wp:effectExtent l="0" t="0" r="0" b="635"/>
                <wp:docPr id="6" name="image1.jpg" descr="Descripción: IDPCBYN"/>
                <wp:cNvGraphicFramePr/>
                <a:graphic xmlns:a="http://schemas.openxmlformats.org/drawingml/2006/main">
                  <a:graphicData uri="http://schemas.openxmlformats.org/drawingml/2006/picture">
                    <pic:pic xmlns:pic="http://schemas.openxmlformats.org/drawingml/2006/picture">
                      <pic:nvPicPr>
                        <pic:cNvPr id="0" name="image1.jpg" descr="Descripción: IDPCBYN"/>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5970" cy="672465"/>
                        </a:xfrm>
                        <a:prstGeom prst="rect">
                          <a:avLst/>
                        </a:prstGeom>
                        <a:ln/>
                      </pic:spPr>
                    </pic:pic>
                  </a:graphicData>
                </a:graphic>
              </wp:inline>
            </w:drawing>
          </w:r>
        </w:p>
      </w:tc>
      <w:tc>
        <w:tcPr>
          <w:tcW w:w="2489" w:type="pct"/>
          <w:vAlign w:val="center"/>
        </w:tcPr>
        <w:p w14:paraId="7CFD37E4" w14:textId="6B6BB5CD" w:rsidR="00460856" w:rsidRPr="002F1F7E" w:rsidRDefault="00460856" w:rsidP="00455B38">
          <w:pPr>
            <w:pStyle w:val="Encabezado"/>
            <w:jc w:val="center"/>
            <w:rPr>
              <w:b/>
              <w:bCs/>
              <w:sz w:val="18"/>
              <w:szCs w:val="18"/>
            </w:rPr>
          </w:pPr>
          <w:r w:rsidRPr="002F1F7E">
            <w:rPr>
              <w:b/>
              <w:bCs/>
              <w:sz w:val="18"/>
              <w:szCs w:val="18"/>
            </w:rPr>
            <w:t>INSTITUTO DISTRITAL DE PATRIMONIO CULTURAL</w:t>
          </w:r>
        </w:p>
      </w:tc>
      <w:tc>
        <w:tcPr>
          <w:tcW w:w="1711" w:type="pct"/>
          <w:vMerge w:val="restart"/>
          <w:vAlign w:val="center"/>
        </w:tcPr>
        <w:p w14:paraId="22B738FF" w14:textId="77777777" w:rsidR="00460856" w:rsidRPr="00C2554A" w:rsidRDefault="00460856" w:rsidP="00455B38">
          <w:pPr>
            <w:pStyle w:val="Encabezamiento"/>
            <w:jc w:val="right"/>
            <w:rPr>
              <w:rFonts w:ascii="Code3of9" w:eastAsia="Andale Sans UI" w:hAnsi="Code3of9" w:cs="Lucidasans, 'Times New Roman'"/>
              <w:sz w:val="28"/>
              <w:szCs w:val="28"/>
              <w:lang w:val="en-US"/>
            </w:rPr>
          </w:pPr>
          <w:r w:rsidRPr="00C2554A">
            <w:rPr>
              <w:rFonts w:ascii="Code3of9" w:eastAsia="Andale Sans UI" w:hAnsi="Code3of9" w:cs="Lucidasans, 'Times New Roman'"/>
              <w:sz w:val="28"/>
              <w:szCs w:val="28"/>
              <w:lang w:val="en-US"/>
            </w:rPr>
            <w:t>*20211200200283*</w:t>
          </w:r>
        </w:p>
        <w:p w14:paraId="6A124EDA" w14:textId="375563B4" w:rsidR="00460856" w:rsidRDefault="00460856" w:rsidP="00455B38">
          <w:pPr>
            <w:pStyle w:val="Sinespaciado"/>
            <w:jc w:val="right"/>
            <w:rPr>
              <w:rFonts w:ascii="Times New Roman" w:eastAsia="Times New Roman" w:hAnsi="Times New Roman" w:cs="Times New Roman"/>
              <w:sz w:val="16"/>
              <w:szCs w:val="16"/>
              <w:lang w:val="en-US"/>
            </w:rPr>
          </w:pPr>
          <w:r w:rsidRPr="00645334">
            <w:rPr>
              <w:rFonts w:ascii="Arial" w:eastAsia="Times New Roman" w:hAnsi="Arial" w:cs="Arial"/>
              <w:sz w:val="16"/>
              <w:szCs w:val="16"/>
              <w:lang w:val="en-US"/>
            </w:rPr>
            <w:t>Radicado:</w:t>
          </w:r>
          <w:r>
            <w:rPr>
              <w:rFonts w:ascii="Times New Roman" w:eastAsia="Times New Roman" w:hAnsi="Times New Roman" w:cs="Times New Roman"/>
              <w:sz w:val="16"/>
              <w:szCs w:val="16"/>
              <w:lang w:val="en-US"/>
            </w:rPr>
            <w:t xml:space="preserve"> </w:t>
          </w:r>
          <w:r>
            <w:rPr>
              <w:rFonts w:ascii="Arial" w:eastAsia="Times New Roman" w:hAnsi="Arial" w:cs="Times New Roman"/>
              <w:b/>
              <w:bCs/>
              <w:sz w:val="20"/>
              <w:szCs w:val="20"/>
              <w:lang w:val="en-US"/>
            </w:rPr>
            <w:t>20211200200283</w:t>
          </w:r>
        </w:p>
        <w:p w14:paraId="5B67E539" w14:textId="77777777" w:rsidR="00460856" w:rsidRDefault="00460856" w:rsidP="00455B38">
          <w:pPr>
            <w:pStyle w:val="Sinespaciado"/>
            <w:jc w:val="right"/>
            <w:rPr>
              <w:rFonts w:ascii="Arial" w:eastAsia="Times New Roman" w:hAnsi="Arial" w:cs="Times New Roman"/>
              <w:sz w:val="20"/>
              <w:szCs w:val="20"/>
              <w:lang w:val="en-US"/>
            </w:rPr>
          </w:pPr>
          <w:r w:rsidRPr="00645334">
            <w:rPr>
              <w:rFonts w:ascii="Arial" w:eastAsia="Times New Roman" w:hAnsi="Arial" w:cs="Times New Roman"/>
              <w:sz w:val="16"/>
              <w:szCs w:val="16"/>
              <w:lang w:val="en-US"/>
            </w:rPr>
            <w:t xml:space="preserve">Fecha: </w:t>
          </w:r>
          <w:r>
            <w:rPr>
              <w:rFonts w:ascii="Arial" w:eastAsia="Times New Roman" w:hAnsi="Arial" w:cs="Times New Roman"/>
              <w:sz w:val="20"/>
              <w:szCs w:val="20"/>
              <w:lang w:val="en-US"/>
            </w:rPr>
            <w:t>28-12-2021</w:t>
          </w:r>
        </w:p>
        <w:p w14:paraId="19561F24" w14:textId="6F2021D7" w:rsidR="00460856" w:rsidRDefault="00460856" w:rsidP="00455B38">
          <w:pPr>
            <w:pStyle w:val="Encabezado"/>
            <w:jc w:val="right"/>
          </w:pPr>
          <w:r w:rsidRPr="006C56C7">
            <w:rPr>
              <w:rFonts w:cs="Arial"/>
              <w:sz w:val="18"/>
              <w:szCs w:val="18"/>
              <w:lang w:val="en-US"/>
            </w:rPr>
            <w:t xml:space="preserve">Pág. </w:t>
          </w:r>
          <w:r w:rsidRPr="006C56C7">
            <w:rPr>
              <w:rFonts w:cs="Arial"/>
              <w:sz w:val="18"/>
              <w:szCs w:val="18"/>
              <w:lang w:val="en-US"/>
            </w:rPr>
            <w:fldChar w:fldCharType="begin"/>
          </w:r>
          <w:r w:rsidRPr="006C56C7">
            <w:rPr>
              <w:rFonts w:cs="Arial"/>
              <w:sz w:val="18"/>
              <w:szCs w:val="18"/>
            </w:rPr>
            <w:instrText>PAGE</w:instrText>
          </w:r>
          <w:r w:rsidRPr="006C56C7">
            <w:rPr>
              <w:rFonts w:cs="Arial"/>
              <w:sz w:val="18"/>
              <w:szCs w:val="18"/>
            </w:rPr>
            <w:fldChar w:fldCharType="separate"/>
          </w:r>
          <w:r w:rsidR="00245BDB">
            <w:rPr>
              <w:rFonts w:cs="Arial"/>
              <w:noProof/>
              <w:sz w:val="18"/>
              <w:szCs w:val="18"/>
            </w:rPr>
            <w:t>22</w:t>
          </w:r>
          <w:r w:rsidRPr="006C56C7">
            <w:rPr>
              <w:rFonts w:cs="Arial"/>
              <w:sz w:val="18"/>
              <w:szCs w:val="18"/>
            </w:rPr>
            <w:fldChar w:fldCharType="end"/>
          </w:r>
          <w:r w:rsidRPr="006C56C7">
            <w:rPr>
              <w:rFonts w:cs="Arial"/>
              <w:sz w:val="18"/>
              <w:szCs w:val="18"/>
              <w:lang w:val="en-US"/>
            </w:rPr>
            <w:t xml:space="preserve"> de </w:t>
          </w:r>
          <w:r w:rsidRPr="006C56C7">
            <w:rPr>
              <w:rFonts w:cs="Arial"/>
              <w:sz w:val="18"/>
              <w:szCs w:val="18"/>
              <w:lang w:val="en-US"/>
            </w:rPr>
            <w:fldChar w:fldCharType="begin"/>
          </w:r>
          <w:r w:rsidRPr="006C56C7">
            <w:rPr>
              <w:rFonts w:cs="Arial"/>
              <w:sz w:val="18"/>
              <w:szCs w:val="18"/>
            </w:rPr>
            <w:instrText>NUMPAGES</w:instrText>
          </w:r>
          <w:r w:rsidRPr="006C56C7">
            <w:rPr>
              <w:rFonts w:cs="Arial"/>
              <w:sz w:val="18"/>
              <w:szCs w:val="18"/>
            </w:rPr>
            <w:fldChar w:fldCharType="separate"/>
          </w:r>
          <w:r w:rsidR="00245BDB">
            <w:rPr>
              <w:rFonts w:cs="Arial"/>
              <w:noProof/>
              <w:sz w:val="18"/>
              <w:szCs w:val="18"/>
            </w:rPr>
            <w:t>24</w:t>
          </w:r>
          <w:r w:rsidRPr="006C56C7">
            <w:rPr>
              <w:rFonts w:cs="Arial"/>
              <w:sz w:val="18"/>
              <w:szCs w:val="18"/>
            </w:rPr>
            <w:fldChar w:fldCharType="end"/>
          </w:r>
        </w:p>
      </w:tc>
    </w:tr>
    <w:tr w:rsidR="00460856" w14:paraId="08F8725E" w14:textId="77777777" w:rsidTr="00F1402C">
      <w:trPr>
        <w:trHeight w:val="343"/>
      </w:trPr>
      <w:tc>
        <w:tcPr>
          <w:tcW w:w="800" w:type="pct"/>
          <w:vMerge/>
          <w:vAlign w:val="center"/>
        </w:tcPr>
        <w:p w14:paraId="657EB559" w14:textId="77777777" w:rsidR="00460856" w:rsidRDefault="00460856" w:rsidP="00455B38">
          <w:pPr>
            <w:pStyle w:val="Encabezado"/>
            <w:jc w:val="center"/>
          </w:pPr>
        </w:p>
      </w:tc>
      <w:tc>
        <w:tcPr>
          <w:tcW w:w="2489" w:type="pct"/>
          <w:vAlign w:val="center"/>
        </w:tcPr>
        <w:p w14:paraId="48FFF810" w14:textId="1FEBDBD4" w:rsidR="00460856" w:rsidRPr="002F1F7E" w:rsidRDefault="00460856" w:rsidP="00455B38">
          <w:pPr>
            <w:pStyle w:val="Encabezado"/>
            <w:jc w:val="center"/>
            <w:rPr>
              <w:b/>
              <w:bCs/>
              <w:sz w:val="18"/>
              <w:szCs w:val="18"/>
            </w:rPr>
          </w:pPr>
          <w:r>
            <w:rPr>
              <w:b/>
              <w:bCs/>
              <w:sz w:val="18"/>
              <w:szCs w:val="18"/>
            </w:rPr>
            <w:t>PROCESO DE SEGUIMIENTO Y EVALUACIÓN</w:t>
          </w:r>
        </w:p>
      </w:tc>
      <w:tc>
        <w:tcPr>
          <w:tcW w:w="1711" w:type="pct"/>
          <w:vMerge/>
          <w:vAlign w:val="center"/>
        </w:tcPr>
        <w:p w14:paraId="1EDC6AC3" w14:textId="77777777" w:rsidR="00460856" w:rsidRDefault="00460856" w:rsidP="00455B38">
          <w:pPr>
            <w:pStyle w:val="Encabezado"/>
            <w:jc w:val="center"/>
          </w:pPr>
        </w:p>
      </w:tc>
    </w:tr>
    <w:tr w:rsidR="00460856" w14:paraId="3DC35361" w14:textId="77777777" w:rsidTr="00F1402C">
      <w:tc>
        <w:tcPr>
          <w:tcW w:w="800" w:type="pct"/>
          <w:vMerge/>
          <w:vAlign w:val="center"/>
        </w:tcPr>
        <w:p w14:paraId="581663E7" w14:textId="77777777" w:rsidR="00460856" w:rsidRDefault="00460856" w:rsidP="00455B38">
          <w:pPr>
            <w:pStyle w:val="Encabezado"/>
            <w:jc w:val="center"/>
          </w:pPr>
        </w:p>
      </w:tc>
      <w:tc>
        <w:tcPr>
          <w:tcW w:w="2489" w:type="pct"/>
          <w:vAlign w:val="center"/>
        </w:tcPr>
        <w:p w14:paraId="6E036EAE" w14:textId="216961A6" w:rsidR="00460856" w:rsidRPr="002F1F7E" w:rsidRDefault="00460856" w:rsidP="00455B38">
          <w:pPr>
            <w:pStyle w:val="Encabezado"/>
            <w:jc w:val="center"/>
            <w:rPr>
              <w:b/>
              <w:bCs/>
              <w:sz w:val="18"/>
              <w:szCs w:val="18"/>
            </w:rPr>
          </w:pPr>
          <w:r w:rsidRPr="0045782D">
            <w:rPr>
              <w:b/>
              <w:bCs/>
              <w:sz w:val="18"/>
              <w:szCs w:val="18"/>
            </w:rPr>
            <w:t>INFORME DE SEGUIMIENTO Y/O EVALUACIÓN</w:t>
          </w:r>
        </w:p>
      </w:tc>
      <w:tc>
        <w:tcPr>
          <w:tcW w:w="1711" w:type="pct"/>
          <w:vMerge/>
          <w:vAlign w:val="center"/>
        </w:tcPr>
        <w:p w14:paraId="14B9FA48" w14:textId="77777777" w:rsidR="00460856" w:rsidRDefault="00460856" w:rsidP="00455B38">
          <w:pPr>
            <w:pStyle w:val="Encabezado"/>
            <w:jc w:val="center"/>
          </w:pPr>
        </w:p>
      </w:tc>
    </w:tr>
  </w:tbl>
  <w:p w14:paraId="37E387B7" w14:textId="77777777" w:rsidR="00460856" w:rsidRDefault="0046085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A97F3F"/>
    <w:multiLevelType w:val="hybridMultilevel"/>
    <w:tmpl w:val="E9284CA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F7C6355"/>
    <w:multiLevelType w:val="hybridMultilevel"/>
    <w:tmpl w:val="F06AAF9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8E27639"/>
    <w:multiLevelType w:val="multilevel"/>
    <w:tmpl w:val="54BAC44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BCB7A97"/>
    <w:multiLevelType w:val="hybridMultilevel"/>
    <w:tmpl w:val="B004388C"/>
    <w:lvl w:ilvl="0" w:tplc="0C0A0019">
      <w:start w:val="1"/>
      <w:numFmt w:val="lowerLetter"/>
      <w:lvlText w:val="%1."/>
      <w:lvlJc w:val="left"/>
      <w:pPr>
        <w:ind w:left="144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4BD20E3B"/>
    <w:multiLevelType w:val="hybridMultilevel"/>
    <w:tmpl w:val="5228500A"/>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FB76160"/>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78E34C2"/>
    <w:multiLevelType w:val="hybridMultilevel"/>
    <w:tmpl w:val="788CEFB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FA90FD7"/>
    <w:multiLevelType w:val="hybridMultilevel"/>
    <w:tmpl w:val="E9389B8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675C75EF"/>
    <w:multiLevelType w:val="hybridMultilevel"/>
    <w:tmpl w:val="A68E289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58552CF"/>
    <w:multiLevelType w:val="hybridMultilevel"/>
    <w:tmpl w:val="238072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7BB779E8"/>
    <w:multiLevelType w:val="hybridMultilevel"/>
    <w:tmpl w:val="35EE75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8"/>
  </w:num>
  <w:num w:numId="4">
    <w:abstractNumId w:val="0"/>
  </w:num>
  <w:num w:numId="5">
    <w:abstractNumId w:val="4"/>
  </w:num>
  <w:num w:numId="6">
    <w:abstractNumId w:val="9"/>
  </w:num>
  <w:num w:numId="7">
    <w:abstractNumId w:val="10"/>
  </w:num>
  <w:num w:numId="8">
    <w:abstractNumId w:val="7"/>
  </w:num>
  <w:num w:numId="9">
    <w:abstractNumId w:val="2"/>
  </w:num>
  <w:num w:numId="10">
    <w:abstractNumId w:val="5"/>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2C5"/>
    <w:rsid w:val="00006EBC"/>
    <w:rsid w:val="00014E3D"/>
    <w:rsid w:val="000619AF"/>
    <w:rsid w:val="000676C0"/>
    <w:rsid w:val="00094D59"/>
    <w:rsid w:val="00097C7B"/>
    <w:rsid w:val="000D2476"/>
    <w:rsid w:val="000D2699"/>
    <w:rsid w:val="000E27B7"/>
    <w:rsid w:val="000E4F3B"/>
    <w:rsid w:val="000F4E94"/>
    <w:rsid w:val="000F701D"/>
    <w:rsid w:val="00101140"/>
    <w:rsid w:val="00104B84"/>
    <w:rsid w:val="00106E49"/>
    <w:rsid w:val="00110E34"/>
    <w:rsid w:val="00123A60"/>
    <w:rsid w:val="00127B55"/>
    <w:rsid w:val="00145DC8"/>
    <w:rsid w:val="00153F14"/>
    <w:rsid w:val="001607A5"/>
    <w:rsid w:val="00163667"/>
    <w:rsid w:val="00172F30"/>
    <w:rsid w:val="00174D2C"/>
    <w:rsid w:val="00197A5D"/>
    <w:rsid w:val="001B3D27"/>
    <w:rsid w:val="001D2412"/>
    <w:rsid w:val="001D75A6"/>
    <w:rsid w:val="001F1424"/>
    <w:rsid w:val="001F3121"/>
    <w:rsid w:val="001F32F9"/>
    <w:rsid w:val="001F7174"/>
    <w:rsid w:val="002047A2"/>
    <w:rsid w:val="00207F28"/>
    <w:rsid w:val="00245BDB"/>
    <w:rsid w:val="00265FA8"/>
    <w:rsid w:val="00273409"/>
    <w:rsid w:val="00283799"/>
    <w:rsid w:val="00285324"/>
    <w:rsid w:val="002D08DB"/>
    <w:rsid w:val="002F1F7E"/>
    <w:rsid w:val="003064BD"/>
    <w:rsid w:val="00334E16"/>
    <w:rsid w:val="00374597"/>
    <w:rsid w:val="00377A39"/>
    <w:rsid w:val="003962B9"/>
    <w:rsid w:val="003D5D30"/>
    <w:rsid w:val="003F6E7F"/>
    <w:rsid w:val="00403D37"/>
    <w:rsid w:val="00406C1A"/>
    <w:rsid w:val="00420E7D"/>
    <w:rsid w:val="004321C3"/>
    <w:rsid w:val="0044600D"/>
    <w:rsid w:val="00454F6D"/>
    <w:rsid w:val="004550B8"/>
    <w:rsid w:val="00455B38"/>
    <w:rsid w:val="0045722A"/>
    <w:rsid w:val="0045782D"/>
    <w:rsid w:val="00460856"/>
    <w:rsid w:val="004712F9"/>
    <w:rsid w:val="004717EB"/>
    <w:rsid w:val="004805B6"/>
    <w:rsid w:val="004B355D"/>
    <w:rsid w:val="004F387A"/>
    <w:rsid w:val="00514DD5"/>
    <w:rsid w:val="00522407"/>
    <w:rsid w:val="005238BC"/>
    <w:rsid w:val="00523BDB"/>
    <w:rsid w:val="00533FFC"/>
    <w:rsid w:val="00535307"/>
    <w:rsid w:val="00541065"/>
    <w:rsid w:val="00551789"/>
    <w:rsid w:val="005558BD"/>
    <w:rsid w:val="005600D0"/>
    <w:rsid w:val="005604CC"/>
    <w:rsid w:val="00570C9A"/>
    <w:rsid w:val="00586F43"/>
    <w:rsid w:val="005F400D"/>
    <w:rsid w:val="005F4FF5"/>
    <w:rsid w:val="0060242E"/>
    <w:rsid w:val="0060306A"/>
    <w:rsid w:val="00607040"/>
    <w:rsid w:val="006363D5"/>
    <w:rsid w:val="00643BBD"/>
    <w:rsid w:val="00645792"/>
    <w:rsid w:val="00667F44"/>
    <w:rsid w:val="00684A21"/>
    <w:rsid w:val="0069271C"/>
    <w:rsid w:val="006A2CCB"/>
    <w:rsid w:val="006A6E4F"/>
    <w:rsid w:val="006C0987"/>
    <w:rsid w:val="006D43EA"/>
    <w:rsid w:val="006D49C8"/>
    <w:rsid w:val="006D4D5D"/>
    <w:rsid w:val="006E3257"/>
    <w:rsid w:val="00710007"/>
    <w:rsid w:val="00711A50"/>
    <w:rsid w:val="0071503C"/>
    <w:rsid w:val="00743014"/>
    <w:rsid w:val="007454F7"/>
    <w:rsid w:val="00746541"/>
    <w:rsid w:val="00753CE6"/>
    <w:rsid w:val="00770519"/>
    <w:rsid w:val="00794BD5"/>
    <w:rsid w:val="007A783F"/>
    <w:rsid w:val="007B56AF"/>
    <w:rsid w:val="007C4AFA"/>
    <w:rsid w:val="007D430F"/>
    <w:rsid w:val="007E168A"/>
    <w:rsid w:val="007E187A"/>
    <w:rsid w:val="007E4F3C"/>
    <w:rsid w:val="00800C82"/>
    <w:rsid w:val="0081659A"/>
    <w:rsid w:val="00822561"/>
    <w:rsid w:val="00835059"/>
    <w:rsid w:val="00844A3B"/>
    <w:rsid w:val="00860325"/>
    <w:rsid w:val="00865E55"/>
    <w:rsid w:val="008732B9"/>
    <w:rsid w:val="00882768"/>
    <w:rsid w:val="00891B70"/>
    <w:rsid w:val="008A4265"/>
    <w:rsid w:val="008D312B"/>
    <w:rsid w:val="008D719F"/>
    <w:rsid w:val="008F6DC3"/>
    <w:rsid w:val="00901100"/>
    <w:rsid w:val="009037A8"/>
    <w:rsid w:val="00906BAC"/>
    <w:rsid w:val="00914F6F"/>
    <w:rsid w:val="009311EC"/>
    <w:rsid w:val="00940149"/>
    <w:rsid w:val="00952A6A"/>
    <w:rsid w:val="00955685"/>
    <w:rsid w:val="00990E02"/>
    <w:rsid w:val="00995CE6"/>
    <w:rsid w:val="009A1EDB"/>
    <w:rsid w:val="009A2C84"/>
    <w:rsid w:val="009B2E69"/>
    <w:rsid w:val="009C2361"/>
    <w:rsid w:val="009C5226"/>
    <w:rsid w:val="009D3CD2"/>
    <w:rsid w:val="009D75EE"/>
    <w:rsid w:val="00A13D3D"/>
    <w:rsid w:val="00A14A41"/>
    <w:rsid w:val="00A17F7E"/>
    <w:rsid w:val="00A224AA"/>
    <w:rsid w:val="00A240CA"/>
    <w:rsid w:val="00A31975"/>
    <w:rsid w:val="00A4095B"/>
    <w:rsid w:val="00A54D97"/>
    <w:rsid w:val="00A70FA3"/>
    <w:rsid w:val="00A944C7"/>
    <w:rsid w:val="00A95849"/>
    <w:rsid w:val="00AA246F"/>
    <w:rsid w:val="00AA29D7"/>
    <w:rsid w:val="00AC76AE"/>
    <w:rsid w:val="00AD5687"/>
    <w:rsid w:val="00AE383B"/>
    <w:rsid w:val="00B036B5"/>
    <w:rsid w:val="00B363C7"/>
    <w:rsid w:val="00B375B4"/>
    <w:rsid w:val="00B70142"/>
    <w:rsid w:val="00B7109B"/>
    <w:rsid w:val="00B945A0"/>
    <w:rsid w:val="00BD21BB"/>
    <w:rsid w:val="00C01B3F"/>
    <w:rsid w:val="00C0375A"/>
    <w:rsid w:val="00C52A69"/>
    <w:rsid w:val="00C5439E"/>
    <w:rsid w:val="00C62DF1"/>
    <w:rsid w:val="00C82515"/>
    <w:rsid w:val="00C86977"/>
    <w:rsid w:val="00C956A3"/>
    <w:rsid w:val="00C97413"/>
    <w:rsid w:val="00CA7B3A"/>
    <w:rsid w:val="00D1056D"/>
    <w:rsid w:val="00D36DA5"/>
    <w:rsid w:val="00D379BE"/>
    <w:rsid w:val="00D41372"/>
    <w:rsid w:val="00D53CF0"/>
    <w:rsid w:val="00D932C5"/>
    <w:rsid w:val="00DA28B6"/>
    <w:rsid w:val="00DA2C39"/>
    <w:rsid w:val="00DC7098"/>
    <w:rsid w:val="00DD3922"/>
    <w:rsid w:val="00DE2F94"/>
    <w:rsid w:val="00E35F90"/>
    <w:rsid w:val="00E402F5"/>
    <w:rsid w:val="00E543B1"/>
    <w:rsid w:val="00E57371"/>
    <w:rsid w:val="00E57CCC"/>
    <w:rsid w:val="00E60E2A"/>
    <w:rsid w:val="00E65613"/>
    <w:rsid w:val="00EB0DCE"/>
    <w:rsid w:val="00EF3F9C"/>
    <w:rsid w:val="00EF7607"/>
    <w:rsid w:val="00F011DB"/>
    <w:rsid w:val="00F060FB"/>
    <w:rsid w:val="00F1264C"/>
    <w:rsid w:val="00F1402C"/>
    <w:rsid w:val="00F354AE"/>
    <w:rsid w:val="00F5446B"/>
    <w:rsid w:val="00F5759E"/>
    <w:rsid w:val="00F66C98"/>
    <w:rsid w:val="00F72841"/>
    <w:rsid w:val="00F92811"/>
    <w:rsid w:val="00F952C5"/>
    <w:rsid w:val="00FB2062"/>
    <w:rsid w:val="00FB3539"/>
    <w:rsid w:val="00FC7826"/>
    <w:rsid w:val="00FD1831"/>
    <w:rsid w:val="00FE3B9A"/>
    <w:rsid w:val="00FF686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0631E"/>
  <w15:chartTrackingRefBased/>
  <w15:docId w15:val="{89E199FD-06CC-D245-8FF6-92C4FF14C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Cuerpo en alfa"/>
        <w:sz w:val="22"/>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B036B5"/>
    <w:pPr>
      <w:widowControl w:val="0"/>
      <w:autoSpaceDE w:val="0"/>
      <w:autoSpaceDN w:val="0"/>
      <w:ind w:left="837" w:hanging="360"/>
      <w:outlineLvl w:val="0"/>
    </w:pPr>
    <w:rPr>
      <w:rFonts w:eastAsia="Arial" w:cs="Arial"/>
      <w:b/>
      <w:bCs/>
      <w:sz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6E49"/>
    <w:pPr>
      <w:tabs>
        <w:tab w:val="center" w:pos="4419"/>
        <w:tab w:val="right" w:pos="8838"/>
      </w:tabs>
    </w:pPr>
  </w:style>
  <w:style w:type="character" w:customStyle="1" w:styleId="EncabezadoCar">
    <w:name w:val="Encabezado Car"/>
    <w:basedOn w:val="Fuentedeprrafopredeter"/>
    <w:link w:val="Encabezado"/>
    <w:qFormat/>
    <w:rsid w:val="00106E49"/>
  </w:style>
  <w:style w:type="paragraph" w:styleId="Piedepgina">
    <w:name w:val="footer"/>
    <w:basedOn w:val="Normal"/>
    <w:link w:val="PiedepginaCar"/>
    <w:uiPriority w:val="99"/>
    <w:unhideWhenUsed/>
    <w:rsid w:val="00106E49"/>
    <w:pPr>
      <w:tabs>
        <w:tab w:val="center" w:pos="4419"/>
        <w:tab w:val="right" w:pos="8838"/>
      </w:tabs>
    </w:pPr>
  </w:style>
  <w:style w:type="character" w:customStyle="1" w:styleId="PiedepginaCar">
    <w:name w:val="Pie de página Car"/>
    <w:basedOn w:val="Fuentedeprrafopredeter"/>
    <w:link w:val="Piedepgina"/>
    <w:uiPriority w:val="99"/>
    <w:rsid w:val="00106E49"/>
  </w:style>
  <w:style w:type="table" w:styleId="Tablaconcuadrcula">
    <w:name w:val="Table Grid"/>
    <w:basedOn w:val="Tablanormal"/>
    <w:uiPriority w:val="39"/>
    <w:rsid w:val="00106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miento">
    <w:name w:val="Encabezamiento"/>
    <w:basedOn w:val="Normal"/>
    <w:qFormat/>
    <w:rsid w:val="002F1F7E"/>
    <w:pPr>
      <w:widowControl w:val="0"/>
      <w:tabs>
        <w:tab w:val="center" w:pos="4252"/>
        <w:tab w:val="right" w:pos="8504"/>
      </w:tabs>
      <w:suppressAutoHyphens/>
      <w:spacing w:line="100" w:lineRule="atLeast"/>
    </w:pPr>
    <w:rPr>
      <w:rFonts w:ascii="Times New Roman" w:eastAsia="Arial Unicode MS" w:hAnsi="Times New Roman" w:cs="Tahoma"/>
      <w:color w:val="00000A"/>
      <w:sz w:val="24"/>
      <w:lang w:val="es-ES" w:eastAsia="es-CO"/>
    </w:rPr>
  </w:style>
  <w:style w:type="paragraph" w:styleId="Sinespaciado">
    <w:name w:val="No Spacing"/>
    <w:qFormat/>
    <w:rsid w:val="002F1F7E"/>
    <w:pPr>
      <w:suppressAutoHyphens/>
      <w:spacing w:line="100" w:lineRule="atLeast"/>
    </w:pPr>
    <w:rPr>
      <w:rFonts w:ascii="Calibri" w:eastAsia="Arial Unicode MS" w:hAnsi="Calibri" w:cs="Mangal"/>
      <w:color w:val="00000A"/>
      <w:szCs w:val="22"/>
      <w:lang w:eastAsia="es-CO"/>
    </w:rPr>
  </w:style>
  <w:style w:type="character" w:customStyle="1" w:styleId="Ttulo1Car">
    <w:name w:val="Título 1 Car"/>
    <w:basedOn w:val="Fuentedeprrafopredeter"/>
    <w:link w:val="Ttulo1"/>
    <w:uiPriority w:val="1"/>
    <w:rsid w:val="00B036B5"/>
    <w:rPr>
      <w:rFonts w:eastAsia="Arial" w:cs="Arial"/>
      <w:b/>
      <w:bCs/>
      <w:sz w:val="24"/>
      <w:lang w:val="es-ES" w:eastAsia="es-ES" w:bidi="es-ES"/>
    </w:rPr>
  </w:style>
  <w:style w:type="paragraph" w:styleId="Prrafodelista">
    <w:name w:val="List Paragraph"/>
    <w:basedOn w:val="Normal"/>
    <w:uiPriority w:val="34"/>
    <w:qFormat/>
    <w:rsid w:val="00B036B5"/>
    <w:pPr>
      <w:ind w:left="720"/>
      <w:contextualSpacing/>
    </w:pPr>
  </w:style>
  <w:style w:type="table" w:styleId="Tabladecuadrcula4-nfasis6">
    <w:name w:val="Grid Table 4 Accent 6"/>
    <w:basedOn w:val="Tablanormal"/>
    <w:uiPriority w:val="49"/>
    <w:rsid w:val="00B036B5"/>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A4095B"/>
    <w:rPr>
      <w:color w:val="0563C1" w:themeColor="hyperlink"/>
      <w:u w:val="single"/>
    </w:rPr>
  </w:style>
  <w:style w:type="character" w:customStyle="1" w:styleId="Mencinsinresolver1">
    <w:name w:val="Mención sin resolver1"/>
    <w:basedOn w:val="Fuentedeprrafopredeter"/>
    <w:uiPriority w:val="99"/>
    <w:semiHidden/>
    <w:unhideWhenUsed/>
    <w:rsid w:val="00800C82"/>
    <w:rPr>
      <w:color w:val="605E5C"/>
      <w:shd w:val="clear" w:color="auto" w:fill="E1DFDD"/>
    </w:rPr>
  </w:style>
  <w:style w:type="paragraph" w:styleId="NormalWeb">
    <w:name w:val="Normal (Web)"/>
    <w:basedOn w:val="Normal"/>
    <w:uiPriority w:val="99"/>
    <w:semiHidden/>
    <w:unhideWhenUsed/>
    <w:rsid w:val="00882768"/>
    <w:pPr>
      <w:spacing w:before="100" w:beforeAutospacing="1" w:after="100" w:afterAutospacing="1"/>
    </w:pPr>
    <w:rPr>
      <w:rFonts w:ascii="Times New Roman" w:eastAsia="Times New Roman" w:hAnsi="Times New Roman" w:cs="Times New Roman"/>
      <w:sz w:val="24"/>
      <w:lang w:eastAsia="es-CO"/>
    </w:rPr>
  </w:style>
  <w:style w:type="character" w:customStyle="1" w:styleId="UnresolvedMention">
    <w:name w:val="Unresolved Mention"/>
    <w:basedOn w:val="Fuentedeprrafopredeter"/>
    <w:uiPriority w:val="99"/>
    <w:semiHidden/>
    <w:unhideWhenUsed/>
    <w:rsid w:val="00514D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025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dpc.gov.co/transparencia-y-acceso-a-la-informacion-publica-ley-1712-del-6-de-marzo-de-2014/participa/5-rendicion-de-cuentas" TargetMode="External"/><Relationship Id="rId13" Type="http://schemas.openxmlformats.org/officeDocument/2006/relationships/image" Target="media/image5.png"/><Relationship Id="rId18" Type="http://schemas.openxmlformats.org/officeDocument/2006/relationships/hyperlink" Target="https://bogota.gov.co/sdqs/crear-peticion" TargetMode="Externa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idpc.gov.co/wp-content/uploads/2021/12/20212200069011_Respuesta-a-la-solicitud-de-Orlando-Caicedo.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idpc.gov.co/transparencia-y-acceso-a-la-informacion-publica-ley-1712-del-6-de-marzo-de-2014/participa/6-control-social" TargetMode="External"/><Relationship Id="rId25" Type="http://schemas.openxmlformats.org/officeDocument/2006/relationships/image" Target="media/image10.png"/><Relationship Id="rId33" Type="http://schemas.openxmlformats.org/officeDocument/2006/relationships/hyperlink" Target="https://idpc.gov.co/transparencia-y-acceso-a-la-informacion-publica-ley-1712-del-6-de-marzo-de-2014/participa/5-rendicion-de-cuenta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dpc.gov.co/transparencia-y-acceso-a-la-informacion-publica-ley-1712-del-6-de-marzo-de-2014" TargetMode="External"/><Relationship Id="rId20" Type="http://schemas.openxmlformats.org/officeDocument/2006/relationships/hyperlink" Target="https://idpc.gov.co/transparencia-y-acceso-a-la-informacion-publica-ley-1712-del-6-de-marzo-de-2014/participa/5-rendicion-de-cuentas/"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https://idpc.gov.co/transparencia-y-acceso-a-la-informacion-publica-ley-1712-del-6-de-marzo-de-2014/participa/5-rendicion-de-cuenta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dpc.gov.co/3-4-organigrama"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idpc.gov.co/transparencia-y-acceso-a-la-informacion-publica-ley-1712-del-6-de-marzo-de-2014/participa/5-rendicion-de-cuentas/"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idpc.gov.co/transparencia-y-acceso-a-la-informacion-publica-ley-1712-del-6-de-marzo-de-2014/participa/5-rendicion-de-cuenta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4CC5B-4C5F-4FB7-811A-B8CEB552F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7956</Words>
  <Characters>43758</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Informe de seguimiento o evaluación</vt:lpstr>
    </vt:vector>
  </TitlesOfParts>
  <Manager>SGDEA</Manager>
  <Company>Instituto Distrital de Patrimonio Cultural</Company>
  <LinksUpToDate>false</LinksUpToDate>
  <CharactersWithSpaces>51611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o evaluación</dc:title>
  <dc:subject>Informe de seguimiento o evaluación</dc:subject>
  <dc:creator>Seguimiento y evaluación</dc:creator>
  <cp:keywords/>
  <dc:description/>
  <cp:lastModifiedBy>INES</cp:lastModifiedBy>
  <cp:revision>2</cp:revision>
  <cp:lastPrinted>2021-12-28T15:02:00Z</cp:lastPrinted>
  <dcterms:created xsi:type="dcterms:W3CDTF">2021-12-28T16:26:00Z</dcterms:created>
  <dcterms:modified xsi:type="dcterms:W3CDTF">2021-12-28T16:26:00Z</dcterms:modified>
  <cp:category/>
  <cp:version>4</cp:version>
</cp:coreProperties>
</file>