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55BA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  <w:bookmarkStart w:id="0" w:name="_Toc521674700"/>
      <w:bookmarkStart w:id="1" w:name="_Toc523300822"/>
      <w:bookmarkStart w:id="2" w:name="_Toc527449284"/>
    </w:p>
    <w:p w14:paraId="7A7CDF1C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</w:p>
    <w:p w14:paraId="3B5D76A8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</w:p>
    <w:p w14:paraId="438D2EBE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</w:p>
    <w:p w14:paraId="34569F00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</w:p>
    <w:p w14:paraId="7F2C870C" w14:textId="77777777" w:rsidR="00D22FAE" w:rsidRPr="00D22FAE" w:rsidRDefault="00D22FAE" w:rsidP="00126B03">
      <w:pPr>
        <w:pStyle w:val="Prrafodelista"/>
        <w:keepNext/>
        <w:keepLines/>
        <w:numPr>
          <w:ilvl w:val="0"/>
          <w:numId w:val="22"/>
        </w:numPr>
        <w:overflowPunct/>
        <w:autoSpaceDE/>
        <w:autoSpaceDN/>
        <w:adjustRightInd/>
        <w:spacing w:before="240" w:after="240" w:line="276" w:lineRule="auto"/>
        <w:jc w:val="both"/>
        <w:textAlignment w:val="auto"/>
        <w:outlineLvl w:val="2"/>
        <w:rPr>
          <w:rFonts w:ascii="Cambria" w:eastAsiaTheme="majorEastAsia" w:hAnsi="Cambria" w:cstheme="majorBidi"/>
          <w:b/>
          <w:bCs/>
          <w:iCs/>
          <w:smallCaps/>
          <w:vanish/>
          <w:color w:val="1F4D78" w:themeColor="accent1" w:themeShade="7F"/>
          <w:sz w:val="24"/>
          <w:szCs w:val="24"/>
          <w:lang w:val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253D" w:rsidRPr="00575920" w14:paraId="7B80B57F" w14:textId="77777777" w:rsidTr="00EE011C">
        <w:tc>
          <w:tcPr>
            <w:tcW w:w="9747" w:type="dxa"/>
          </w:tcPr>
          <w:p w14:paraId="7D5B813A" w14:textId="223DABA3" w:rsidR="00BA253D" w:rsidRPr="00575920" w:rsidRDefault="00BA253D" w:rsidP="00160E9A">
            <w:pPr>
              <w:pStyle w:val="Ttulo3"/>
              <w:spacing w:before="240" w:after="240" w:line="276" w:lineRule="auto"/>
              <w:jc w:val="center"/>
              <w:outlineLvl w:val="2"/>
              <w:rPr>
                <w:rFonts w:ascii="Cambria" w:hAnsi="Cambria"/>
                <w:b/>
                <w:bCs/>
                <w:iCs/>
                <w:smallCaps/>
              </w:rPr>
            </w:pPr>
            <w:bookmarkStart w:id="3" w:name="_Toc524338644"/>
            <w:bookmarkStart w:id="4" w:name="_Toc527449285"/>
            <w:bookmarkEnd w:id="0"/>
            <w:bookmarkEnd w:id="1"/>
            <w:bookmarkEnd w:id="2"/>
            <w:r w:rsidRPr="00575920">
              <w:rPr>
                <w:rFonts w:ascii="Cambria" w:hAnsi="Cambria"/>
                <w:b/>
                <w:bCs/>
                <w:iCs/>
                <w:smallCaps/>
              </w:rPr>
              <w:t>FORMATO DE PROTECCIÓN DE DATOS PERSONALES</w:t>
            </w:r>
            <w:bookmarkEnd w:id="3"/>
            <w:bookmarkEnd w:id="4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49"/>
            </w:tblGrid>
            <w:tr w:rsidR="00BA253D" w:rsidRPr="00575920" w14:paraId="51BE939C" w14:textId="77777777" w:rsidTr="00B96699">
              <w:trPr>
                <w:trHeight w:val="6840"/>
              </w:trPr>
              <w:tc>
                <w:tcPr>
                  <w:tcW w:w="9449" w:type="dxa"/>
                </w:tcPr>
                <w:p w14:paraId="7EBB6752" w14:textId="77777777" w:rsidR="009F77D1" w:rsidRPr="00575920" w:rsidRDefault="009F77D1" w:rsidP="009F77D1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  <w:p w14:paraId="67BAC846" w14:textId="77777777" w:rsidR="009F77D1" w:rsidRPr="00575920" w:rsidRDefault="009F77D1" w:rsidP="009F77D1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  <w:r w:rsidRPr="00575920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>AUTORIZACIÓN PARA EL TRATAMIENTO DE DATOS PERSONALES POR PARTE DEL IDPC.</w:t>
                  </w:r>
                </w:p>
                <w:p w14:paraId="0DA4DA99" w14:textId="77777777" w:rsidR="003A0B3B" w:rsidRDefault="003A0B3B" w:rsidP="009F77D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A226E9" w14:textId="77777777" w:rsidR="009F77D1" w:rsidRPr="00575920" w:rsidRDefault="009F77D1" w:rsidP="009F77D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5920">
                    <w:rPr>
                      <w:rFonts w:ascii="Arial" w:hAnsi="Arial" w:cs="Arial"/>
                      <w:sz w:val="22"/>
                      <w:szCs w:val="22"/>
                    </w:rPr>
                    <w:t>En los términos de la Ley 1581 de 2012, yo _______________________________, identificado con cédula de ciudadanía número________________________, manifiesto expresamente que autorizo, de manera libre, previa y voluntaria, al Instituto Distrital de Patrimonio Cultural a dar el tratamiento pertinente a mis datos, suministrados a través de este formulario, para que en desarrollo de su misionalidad pueda recolectar, almacenar, procesar, usar, circular, suprimir, intercambiar, compilar,  transmitir y/o transferir a terceros los datos personales, de acuerdo con el Manual de Políticas y Procedimientos para el de Tratamiento de Datos Personales del Instituto Distrital de Patrimonio Cultural.</w:t>
                  </w:r>
                </w:p>
                <w:p w14:paraId="7677BB35" w14:textId="77777777" w:rsidR="009F77D1" w:rsidRPr="00575920" w:rsidRDefault="009F77D1" w:rsidP="00160E9A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  <w:p w14:paraId="6978FB48" w14:textId="010D8159" w:rsidR="00BA253D" w:rsidRPr="00575920" w:rsidRDefault="00BA253D" w:rsidP="00160E9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  <w:r w:rsidRPr="00575920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 xml:space="preserve">VIGENCIA: 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La presente Política para el Tratamiento de Datos Personales rige a partir del </w:t>
                  </w:r>
                  <w:r w:rsidR="00FD44CB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>22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de</w:t>
                  </w:r>
                  <w:r w:rsidR="007E0280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</w:t>
                  </w:r>
                  <w:r w:rsidR="00FD44CB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>Octubre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de</w:t>
                  </w:r>
                  <w:r w:rsidR="007E0280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2018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. Las bases de datos en las que se registrarán los datos personales tendrán</w:t>
                  </w:r>
                  <w:r w:rsidR="007E0280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una vigencia igual al tiempo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que se mantenga y utilice la información para las finalidades descritas en est</w:t>
                  </w:r>
                  <w:r w:rsidR="007E0280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a p</w:t>
                  </w:r>
                  <w:r w:rsidR="00160E9A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olítica. Una vez se cumpla</w:t>
                  </w:r>
                  <w:r w:rsidR="005652A4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n</w:t>
                  </w:r>
                  <w:r w:rsidR="00160E9A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</w:t>
                  </w:r>
                  <w:r w:rsidR="005652A4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l</w:t>
                  </w:r>
                  <w:r w:rsidR="00160E9A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a</w:t>
                  </w:r>
                  <w:r w:rsidR="005652A4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s</w:t>
                  </w:r>
                  <w:r w:rsidR="00160E9A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finalidad</w:t>
                  </w:r>
                  <w:r w:rsidR="005652A4"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es</w:t>
                  </w:r>
                  <w:r w:rsidRPr="00575920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 xml:space="preserve"> y siempre que no exista un deber legal o contractual de conservar su información, sus datos serán eliminados de nuestras bases de datos.</w:t>
                  </w:r>
                </w:p>
                <w:p w14:paraId="280B826F" w14:textId="77777777" w:rsidR="00BA253D" w:rsidRPr="00575920" w:rsidRDefault="00BA253D" w:rsidP="00160E9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97B4F7" w14:textId="77777777" w:rsidR="00BA253D" w:rsidRPr="00575920" w:rsidRDefault="00BA253D" w:rsidP="00160E9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5920">
                    <w:rPr>
                      <w:rFonts w:ascii="Arial" w:hAnsi="Arial" w:cs="Arial"/>
                      <w:sz w:val="22"/>
                      <w:szCs w:val="22"/>
                    </w:rPr>
                    <w:t>______________________________</w:t>
                  </w:r>
                </w:p>
                <w:p w14:paraId="43065401" w14:textId="77777777" w:rsidR="00BA253D" w:rsidRPr="00575920" w:rsidRDefault="00BA253D" w:rsidP="00160E9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5920">
                    <w:rPr>
                      <w:rFonts w:ascii="Arial" w:hAnsi="Arial" w:cs="Arial"/>
                      <w:sz w:val="22"/>
                      <w:szCs w:val="22"/>
                    </w:rPr>
                    <w:t>Firma</w:t>
                  </w:r>
                </w:p>
                <w:p w14:paraId="64D16FE5" w14:textId="77777777" w:rsidR="00BA253D" w:rsidRPr="00575920" w:rsidRDefault="00BA253D" w:rsidP="00160E9A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textAlignment w:val="baseline"/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0B3DE040" w14:textId="2A2CD16E" w:rsidR="00CB6E94" w:rsidRPr="00FD44CB" w:rsidRDefault="00CB6E94" w:rsidP="00CB6E94">
            <w:pPr>
              <w:pStyle w:val="Ttulo3"/>
              <w:spacing w:before="240" w:after="240" w:line="276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  <w:lang w:val="es-CO"/>
              </w:rPr>
            </w:pPr>
            <w:bookmarkStart w:id="5" w:name="_Toc527449286"/>
            <w:r w:rsidRPr="00FD44CB">
              <w:rPr>
                <w:rFonts w:ascii="Cambria" w:hAnsi="Cambria"/>
                <w:b/>
                <w:bCs/>
                <w:iCs/>
                <w:smallCaps/>
                <w:sz w:val="16"/>
                <w:szCs w:val="16"/>
              </w:rPr>
              <w:t>INFORMACIÓN GENERAL</w:t>
            </w:r>
            <w:bookmarkEnd w:id="5"/>
          </w:p>
          <w:p w14:paraId="64C4E122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OBJETIVO: </w:t>
            </w:r>
            <w:r w:rsidRPr="00FD44CB">
              <w:rPr>
                <w:rFonts w:ascii="Arial" w:hAnsi="Arial" w:cs="Arial"/>
                <w:sz w:val="16"/>
                <w:szCs w:val="16"/>
              </w:rPr>
              <w:t>El Manual de Políticas y Procedimientos para el Tratamiento y Protección de Datos Personales del Instituto Distrital de Patrimonio Cultural brinda los lineamientos, aplicables a todas las bases de datos y archivos que contengan datos personales de la ciudadanía, grupos de interés, servidores públicos y contratistas y sean objeto de tratamiento por parte del IDPC, en el marco de su misionalidad y en virtud a la normatividad vigente aplicable.</w:t>
            </w:r>
          </w:p>
          <w:p w14:paraId="6FFDD39A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BBD9E" w14:textId="600B5A73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ALCANCE: </w:t>
            </w:r>
            <w:r w:rsidRPr="00FD44CB">
              <w:rPr>
                <w:rFonts w:ascii="Arial" w:hAnsi="Arial" w:cs="Arial"/>
                <w:sz w:val="16"/>
                <w:szCs w:val="16"/>
              </w:rPr>
              <w:t xml:space="preserve">El Manual de Políticas y Procedimientos para el Tratamiento y Protección de Datos Personales, adoptado mediante acto administrativo, aplica para el tratmiento de datos personales realizado por </w:t>
            </w:r>
            <w:r w:rsidR="009F77D1" w:rsidRPr="00FD44CB">
              <w:rPr>
                <w:rFonts w:ascii="Arial" w:hAnsi="Arial" w:cs="Arial"/>
                <w:sz w:val="16"/>
                <w:szCs w:val="16"/>
              </w:rPr>
              <w:t>el</w:t>
            </w:r>
            <w:r w:rsidRPr="00FD44CB">
              <w:rPr>
                <w:rFonts w:ascii="Arial" w:hAnsi="Arial" w:cs="Arial"/>
                <w:sz w:val="16"/>
                <w:szCs w:val="16"/>
              </w:rPr>
              <w:t xml:space="preserve"> Instituto.</w:t>
            </w:r>
          </w:p>
          <w:p w14:paraId="12964E36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3322E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OBLIGACIONES: </w:t>
            </w:r>
            <w:r w:rsidRPr="00FD44CB">
              <w:rPr>
                <w:rFonts w:ascii="Arial" w:hAnsi="Arial" w:cs="Arial"/>
                <w:sz w:val="16"/>
                <w:szCs w:val="16"/>
              </w:rPr>
              <w:t>Esta política es de obligatorio y estricto cumplimiento para el Instituto Distrital de Patrimonio Cultural –IDPC.</w:t>
            </w:r>
          </w:p>
          <w:p w14:paraId="4BE8C9E7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68FCA" w14:textId="557BC47D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RESPONSABLE DEL TRATAMIENTO: </w:t>
            </w:r>
            <w:r w:rsidRPr="00FD44CB">
              <w:rPr>
                <w:rFonts w:ascii="Arial" w:hAnsi="Arial" w:cs="Arial"/>
                <w:sz w:val="16"/>
                <w:szCs w:val="16"/>
              </w:rPr>
              <w:t xml:space="preserve">El Instituto Distrital de Patrimonio Cultural –IDPC, con NIT 860.506.170-7, y con domicilio principal en la Calle 8 Nº 8-52, de la ciudad de Bogotá, Colombia. Página </w:t>
            </w:r>
            <w:r w:rsidR="00402A54" w:rsidRPr="00FD44CB">
              <w:rPr>
                <w:rFonts w:ascii="Arial" w:hAnsi="Arial" w:cs="Arial"/>
                <w:sz w:val="16"/>
                <w:szCs w:val="16"/>
                <w:lang w:val="es-CO"/>
              </w:rPr>
              <w:t>http://idpc.gov.co/transparencia-y-acceso-a-la-informacion-publica/ley_transparencia_idpc/</w:t>
            </w:r>
            <w:r w:rsidRPr="00FD44CB">
              <w:rPr>
                <w:rFonts w:ascii="Arial" w:hAnsi="Arial" w:cs="Arial"/>
                <w:sz w:val="16"/>
                <w:szCs w:val="16"/>
              </w:rPr>
              <w:t>. Teléfono (571) 355 08 00, en la ciudad de Bogotá.</w:t>
            </w:r>
          </w:p>
          <w:p w14:paraId="77170F4C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B2CB6C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TRATAMIENTO Y FINALIDAD. </w:t>
            </w:r>
          </w:p>
          <w:p w14:paraId="4832CEF7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CB">
              <w:rPr>
                <w:rFonts w:ascii="Arial" w:hAnsi="Arial" w:cs="Arial"/>
                <w:sz w:val="16"/>
                <w:szCs w:val="16"/>
              </w:rPr>
              <w:t>El tratamiento que realizará El Instituto Distrital de Patrimonio Cultural –IDPC con la información personal será la siguiente:</w:t>
            </w:r>
          </w:p>
          <w:p w14:paraId="603AC6AD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E4B8BC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D44CB">
              <w:rPr>
                <w:rFonts w:ascii="Arial" w:hAnsi="Arial" w:cs="Arial"/>
                <w:i/>
                <w:sz w:val="16"/>
                <w:szCs w:val="16"/>
              </w:rPr>
              <w:t>La recolección, almacenamiento, uso, circulación, encuestas de satisfacción de los bienes y servicios ofrecidos por el Instituto Distrital de Patrimonio Cultural –IDPC y bases de datos en cumplimiento de las acciones propias de la naturaleza jurídica del Instituto.</w:t>
            </w:r>
          </w:p>
          <w:p w14:paraId="668FCEA0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3094E3" w14:textId="77777777" w:rsidR="007A0378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t xml:space="preserve">TRATAMIENTO DE DATOS SENSIBLES. </w:t>
            </w:r>
          </w:p>
          <w:p w14:paraId="4BC835C6" w14:textId="23CCA022" w:rsidR="00CB6E94" w:rsidRPr="00FD44CB" w:rsidRDefault="00DF5560" w:rsidP="00CB6E94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bookmarkStart w:id="6" w:name="_GoBack"/>
            <w:bookmarkEnd w:id="6"/>
            <w:r w:rsidRPr="00FD44CB">
              <w:rPr>
                <w:rFonts w:ascii="Arial" w:hAnsi="Arial" w:cs="Arial"/>
                <w:i/>
                <w:sz w:val="16"/>
                <w:szCs w:val="16"/>
              </w:rPr>
              <w:t xml:space="preserve">El IDPC restringirá el tratamiento de datos personales sensibles únicamente para lo cual fueron suministrados; sin embargo, en caso de requerir su utilización para otros fines solicitará consentimiento previo y expreso a los titulares, representantes legales, apoderados o causahabientes, informando sobre la finalidad exclusiva de su tratamiento, en los términos señalados en la Ley 1581 de 2012. </w:t>
            </w:r>
          </w:p>
          <w:p w14:paraId="3E734C63" w14:textId="77777777" w:rsidR="00DF5560" w:rsidRPr="00FD44CB" w:rsidRDefault="00DF5560" w:rsidP="00CB6E94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CO"/>
              </w:rPr>
            </w:pPr>
          </w:p>
          <w:p w14:paraId="5AC3C9C4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</w:rPr>
              <w:lastRenderedPageBreak/>
              <w:t>DERECHOS DE LOS TITULARES.</w:t>
            </w:r>
          </w:p>
          <w:p w14:paraId="24204011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CB">
              <w:rPr>
                <w:rFonts w:ascii="Arial" w:hAnsi="Arial" w:cs="Arial"/>
                <w:sz w:val="16"/>
                <w:szCs w:val="16"/>
              </w:rPr>
              <w:t>Como titular de sus datos personales Usted tiene derecho a:</w:t>
            </w:r>
          </w:p>
          <w:p w14:paraId="23958D8F" w14:textId="5AC52EB7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Acceder en forma gratuita a los datos</w:t>
            </w:r>
            <w:r w:rsidR="00447193"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personales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proporcionados al Instituto Distrital de Patrimonio Cultural que hayan sido objeto de tratamiento. </w:t>
            </w:r>
          </w:p>
          <w:p w14:paraId="3B647F4A" w14:textId="77777777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Conocer, actualizar y rectificar su información frente a datos parciales, inexactos, incompletos, fraccionados, que induzcan a error, o a aquellos cuyo tratamiento esté prohibido. </w:t>
            </w:r>
          </w:p>
          <w:p w14:paraId="197419A5" w14:textId="77777777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Presentar queja ante la Superintendencia de Industria y Comercio por infracciones a lo dispuesto en la Ley 1581 de 2012 y las demás normas que la modifiquen, adicionen o complementen, una vez haya agotado el trámite de reclamo ante el responsable o encargado del tratamiento de datos personales. </w:t>
            </w:r>
          </w:p>
          <w:p w14:paraId="160887AA" w14:textId="5776EAD2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Solicitar la </w:t>
            </w:r>
            <w:r w:rsidR="00E25991" w:rsidRPr="00FD44CB">
              <w:rPr>
                <w:rFonts w:ascii="Arial" w:hAnsi="Arial" w:cs="Arial"/>
                <w:sz w:val="16"/>
                <w:szCs w:val="16"/>
                <w:lang w:val="es-CO"/>
              </w:rPr>
              <w:t>eliminaci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ón de</w:t>
            </w:r>
            <w:r w:rsidR="00E25991"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l</w:t>
            </w:r>
            <w:r w:rsidR="00E25991" w:rsidRPr="00FD44CB">
              <w:rPr>
                <w:rFonts w:ascii="Arial" w:hAnsi="Arial" w:cs="Arial"/>
                <w:sz w:val="16"/>
                <w:szCs w:val="16"/>
                <w:lang w:val="es-CO"/>
              </w:rPr>
              <w:t>os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dato</w:t>
            </w:r>
            <w:r w:rsidR="00E25991" w:rsidRPr="00FD44CB">
              <w:rPr>
                <w:rFonts w:ascii="Arial" w:hAnsi="Arial" w:cs="Arial"/>
                <w:sz w:val="16"/>
                <w:szCs w:val="16"/>
                <w:lang w:val="es-CO"/>
              </w:rPr>
              <w:t>s personales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cuando en el tratamiento no se respeten los principios, derechos y garantías constitucionales y legales, </w:t>
            </w:r>
            <w:r w:rsidR="00E25991" w:rsidRPr="00FD44CB">
              <w:rPr>
                <w:rFonts w:ascii="Arial" w:hAnsi="Arial" w:cs="Arial"/>
                <w:sz w:val="16"/>
                <w:szCs w:val="16"/>
                <w:lang w:val="es-CO"/>
              </w:rPr>
              <w:t>lo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cual procederá cuando la autoridad haya determinado que el Instituto Distrital de Patrimonio Cultural en el tratamiento ha incurrido en conductas contrarias a la Constitución y la normatividad vigente. </w:t>
            </w:r>
          </w:p>
          <w:p w14:paraId="60494B7D" w14:textId="77777777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Conocer la política de tratamiento de datos de la entidad y, a través de ella, el uso o finalidad que se le dará a sus datos personales. </w:t>
            </w:r>
          </w:p>
          <w:p w14:paraId="76E1E63B" w14:textId="03562C01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Solicitar prueba de la autorización otorgada al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r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esponsable del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ratamiento salvo cuando expresamente se exceptúe como requisito para 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ratamiento, de conformidad con lo previsto en el artículo 10 de la presente ley.</w:t>
            </w:r>
          </w:p>
          <w:p w14:paraId="534A4DE2" w14:textId="1707E4A8" w:rsidR="00CB6E94" w:rsidRPr="00FD44CB" w:rsidRDefault="00CB6E94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Ser informado por 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r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esponsable del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ratamiento o 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ncargado del </w:t>
            </w:r>
            <w:r w:rsidR="001E38FE" w:rsidRPr="00FD44C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ratamiento, previa solicitud, respecto del uso que </w:t>
            </w:r>
            <w:r w:rsidR="001D4BC9"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se 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le ha dado a sus datos personales.</w:t>
            </w:r>
          </w:p>
          <w:p w14:paraId="24DBC9CA" w14:textId="07B4B9E5" w:rsidR="001D4BC9" w:rsidRPr="00FD44CB" w:rsidRDefault="001D4BC9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Identificar al responsable del IDPC que dará trámite y respuesta a sus solicitudes.</w:t>
            </w:r>
          </w:p>
          <w:p w14:paraId="3B4C4BBA" w14:textId="0513AFFA" w:rsidR="001D4BC9" w:rsidRPr="00FD44CB" w:rsidRDefault="001D4BC9" w:rsidP="00126B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Los demás señalados por el artículo 8 de la Ley 1581 de 2012.</w:t>
            </w:r>
          </w:p>
          <w:p w14:paraId="649AB908" w14:textId="77777777" w:rsidR="00CB6E94" w:rsidRPr="00FD44CB" w:rsidRDefault="00CB6E94" w:rsidP="00FD44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EB95142" w14:textId="77777777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  <w:lang w:val="es-CO"/>
              </w:rPr>
              <w:t>ATENCIÓN DE PETICIONES, CONSULTAS Y RECLAMOS:</w:t>
            </w:r>
          </w:p>
          <w:p w14:paraId="2E43CE35" w14:textId="77777777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La Subdirección de Gestión Corporativa es la dependencia que tiene a cargo dar trámite a las solicitudes de los titulares para hacer efectivos sus derechos. </w:t>
            </w:r>
          </w:p>
          <w:p w14:paraId="7A4A964D" w14:textId="77777777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1A74FA04" w14:textId="77777777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  <w:lang w:val="es-CO"/>
              </w:rPr>
              <w:t>Medios habilitados para la presentación de peticiones, consultas, quejas y reclamos: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14A8309D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El Instituto Distrital de Patrimonio Cultural dispone de los siguientes medios para la recepción y atención de solicitudes relacionadas con el tratamiento de datos personales, los cuales permiten conservar prueba de los mismos en soporte físico o digital: </w:t>
            </w:r>
          </w:p>
          <w:p w14:paraId="6A42040D" w14:textId="77777777" w:rsidR="007F4B56" w:rsidRPr="00FD44CB" w:rsidRDefault="007F4B56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007E3EF" w14:textId="77777777" w:rsidR="009F77D1" w:rsidRPr="00FD44CB" w:rsidRDefault="009F77D1" w:rsidP="00126B03">
            <w:pPr>
              <w:numPr>
                <w:ilvl w:val="0"/>
                <w:numId w:val="20"/>
              </w:num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Comunicación escrita dirigida al IDPC, Subdirección de Gestión Corporativa – Grupo de Transparencia y Atención a la Ciudadanía, presentada en la ventanilla única de correspondencia, Sede Casa Fernández, Calle 8 Nº 8-52, Bogotá D.C.</w:t>
            </w:r>
          </w:p>
          <w:p w14:paraId="5F2DD695" w14:textId="409702B5" w:rsidR="009F77D1" w:rsidRPr="00FD44CB" w:rsidRDefault="009F77D1" w:rsidP="00126B03">
            <w:pPr>
              <w:numPr>
                <w:ilvl w:val="0"/>
                <w:numId w:val="20"/>
              </w:num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Comunicación enviada al correo electrónico</w:t>
            </w:r>
            <w:r w:rsidR="007F4B56" w:rsidRPr="00FD44CB"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FD44CB">
              <w:rPr>
                <w:rFonts w:ascii="Arial" w:hAnsi="Arial" w:cs="Arial"/>
                <w:i/>
                <w:sz w:val="16"/>
                <w:szCs w:val="16"/>
                <w:lang w:val="es-CO"/>
              </w:rPr>
              <w:t>atencionciudadania@idpc.gov.co</w:t>
            </w:r>
          </w:p>
          <w:p w14:paraId="6FB2EBF2" w14:textId="34A3774C" w:rsidR="009F77D1" w:rsidRPr="00FD44CB" w:rsidRDefault="009F77D1" w:rsidP="00126B03">
            <w:pPr>
              <w:numPr>
                <w:ilvl w:val="0"/>
                <w:numId w:val="20"/>
              </w:num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Formulario electrónico de la página web del IDPC: </w:t>
            </w:r>
            <w:r w:rsidR="00402A54" w:rsidRPr="00FD44CB">
              <w:rPr>
                <w:rFonts w:ascii="Arial" w:hAnsi="Arial" w:cs="Arial"/>
                <w:sz w:val="16"/>
                <w:szCs w:val="16"/>
                <w:lang w:val="es-CO"/>
              </w:rPr>
              <w:t>http://idpc.gov.co/transparencia-y-acceso-a-la-informacion-publica/ley_transparencia_idpc/</w:t>
            </w:r>
          </w:p>
          <w:p w14:paraId="6C9E00EB" w14:textId="77777777" w:rsidR="009F77D1" w:rsidRPr="00FD44CB" w:rsidRDefault="009F77D1" w:rsidP="00126B03">
            <w:pPr>
              <w:numPr>
                <w:ilvl w:val="0"/>
                <w:numId w:val="20"/>
              </w:num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Formulario electrónico del Sistema Distrital de Quejas y Soluciones -SDQS “Bogotá te Escucha” </w:t>
            </w:r>
            <w:hyperlink r:id="rId8" w:history="1">
              <w:r w:rsidRPr="00FD44CB">
                <w:rPr>
                  <w:rStyle w:val="Hipervnculo"/>
                  <w:rFonts w:ascii="Arial" w:hAnsi="Arial" w:cs="Arial"/>
                  <w:sz w:val="16"/>
                  <w:szCs w:val="16"/>
                  <w:lang w:val="es-CO"/>
                </w:rPr>
                <w:t>http://idpc.gov.co/transparencia-y-acceso-a-la-informacion-publica/ley_transparencia_idpc/formulario-electronico-solicitudes-peticiones-quejas-reclamos-denuncias/</w:t>
              </w:r>
            </w:hyperlink>
          </w:p>
          <w:p w14:paraId="0D2DE43A" w14:textId="77777777" w:rsidR="00F33658" w:rsidRPr="00FD44CB" w:rsidRDefault="00F33658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34B992C8" w14:textId="7C4FB23E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PROCEDIMIENTO PARA EL EJERCICIO DEL DERECHO </w:t>
            </w:r>
            <w:r w:rsidR="007F4B56" w:rsidRPr="00FD44CB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DE </w:t>
            </w:r>
            <w:r w:rsidRPr="00FD44CB">
              <w:rPr>
                <w:rFonts w:ascii="Arial" w:hAnsi="Arial" w:cs="Arial"/>
                <w:b/>
                <w:sz w:val="16"/>
                <w:szCs w:val="16"/>
                <w:lang w:val="es-CO"/>
              </w:rPr>
              <w:t>HABEAS DATA</w:t>
            </w:r>
          </w:p>
          <w:p w14:paraId="29ED3F16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En cumplimiento con las normas sobre protección de datos personales el Instituto Distrital de Patrimonio Cultural presenta el procedimiento y los requisitos mínimos para el ejercicio de sus derechos.</w:t>
            </w:r>
          </w:p>
          <w:p w14:paraId="0D99F1E8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5E20C9F" w14:textId="77777777" w:rsidR="00CB6E94" w:rsidRPr="00FD44CB" w:rsidRDefault="00CB6E94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Para la radicación y atención de su solicitud le solicitamos suministrar la siguiente información:</w:t>
            </w:r>
          </w:p>
          <w:p w14:paraId="349942F6" w14:textId="77777777" w:rsidR="00F33658" w:rsidRPr="00FD44CB" w:rsidRDefault="00F33658" w:rsidP="00CB6E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0B2A92" w14:textId="77777777" w:rsidR="00CB6E94" w:rsidRPr="00FD44CB" w:rsidRDefault="00CB6E94" w:rsidP="00126B03">
            <w:pPr>
              <w:pStyle w:val="Prrafodelista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Nombre y apellidos.</w:t>
            </w:r>
          </w:p>
          <w:p w14:paraId="436CF1B7" w14:textId="77777777" w:rsidR="00CB6E94" w:rsidRPr="00FD44CB" w:rsidRDefault="00CB6E94" w:rsidP="00126B03">
            <w:pPr>
              <w:pStyle w:val="Prrafodelista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Datos de contacto (dirección física y/o electrónica y teléfonos de contacto).</w:t>
            </w:r>
          </w:p>
          <w:p w14:paraId="4581C8AE" w14:textId="77777777" w:rsidR="00CB6E94" w:rsidRPr="00FD44CB" w:rsidRDefault="00CB6E94" w:rsidP="00126B03">
            <w:pPr>
              <w:pStyle w:val="Prrafodelista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Medios para recibir respuesta a su solicitud.</w:t>
            </w:r>
          </w:p>
          <w:p w14:paraId="1EFC94D4" w14:textId="77777777" w:rsidR="00CB6E94" w:rsidRPr="00FD44CB" w:rsidRDefault="00CB6E94" w:rsidP="00126B03">
            <w:pPr>
              <w:pStyle w:val="Prrafodelista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Motivo/hecho que dan lugar al reclamo con una breve descripción del derecho que desea ejercer (conocer, actualizar, rectificar, solicitar prueba de la autorización otorgada, revocarla, suprimir, acceder a la información).</w:t>
            </w:r>
          </w:p>
          <w:p w14:paraId="5AE645C8" w14:textId="77777777" w:rsidR="00CB6E94" w:rsidRPr="00FD44CB" w:rsidRDefault="00CB6E94" w:rsidP="00126B03">
            <w:pPr>
              <w:pStyle w:val="Prrafodelista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Firma y número de cédula.</w:t>
            </w:r>
          </w:p>
          <w:p w14:paraId="4F0FEF69" w14:textId="77777777" w:rsidR="00CB6E94" w:rsidRPr="00FD44CB" w:rsidRDefault="00CB6E94" w:rsidP="00CB6E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Las consultas, peticiones, quejas y reclamos sobre el tratamiento de datos personales serán atendidas en un término máximo de diez (10) días hábiles contados a partir de la fecha de recibo de las mismas; cuando no fuere posible atender la consulta dentro de dicho término, se informará al interesado, expresando los motivos de la demora y señalando cuándo se atenderá su petición o consulta, la cual en ningún caso podrá superar los cinco (5) días hábiles siguientes al vencimiento del primer término (de acuerdo con la Resolución 0373 del 29 de junio de 2018).</w:t>
            </w:r>
          </w:p>
          <w:p w14:paraId="37CE2C27" w14:textId="094C8107" w:rsidR="00BA253D" w:rsidRPr="00FD44CB" w:rsidRDefault="00CB6E94" w:rsidP="00FD44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 xml:space="preserve">Una vez cumplidos los términos señalados por la Ley 1581 de 2012 y las demás normas que la reglamentan o complementen, el </w:t>
            </w:r>
            <w:r w:rsidR="00447A2F" w:rsidRPr="00FD44CB">
              <w:rPr>
                <w:rFonts w:ascii="Arial" w:hAnsi="Arial" w:cs="Arial"/>
                <w:sz w:val="16"/>
                <w:szCs w:val="16"/>
                <w:lang w:val="es-CO"/>
              </w:rPr>
              <w:t>t</w:t>
            </w:r>
            <w:r w:rsidRPr="00FD44CB">
              <w:rPr>
                <w:rFonts w:ascii="Arial" w:hAnsi="Arial" w:cs="Arial"/>
                <w:sz w:val="16"/>
                <w:szCs w:val="16"/>
                <w:lang w:val="es-CO"/>
              </w:rPr>
              <w:t>itular al que se le deniegue, total o parcialmente, el ejercicio de los derechos de acceso, actualización, rectificación, supresión o revocación de datos personales podrá poner su caso en conocimiento con la Superintendencia de Industria y Comercio- Delegatura para la Protección de Datos Personales.</w:t>
            </w:r>
          </w:p>
        </w:tc>
      </w:tr>
    </w:tbl>
    <w:p w14:paraId="0F6EA466" w14:textId="77777777" w:rsidR="00EE011C" w:rsidRDefault="00EE011C" w:rsidP="00BA253D"/>
    <w:sectPr w:rsidR="00EE011C" w:rsidSect="00FD44CB">
      <w:headerReference w:type="first" r:id="rId9"/>
      <w:footerReference w:type="first" r:id="rId10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F6D3" w14:textId="77777777" w:rsidR="006D77DF" w:rsidRDefault="006D77DF" w:rsidP="00C51409">
      <w:r>
        <w:separator/>
      </w:r>
    </w:p>
  </w:endnote>
  <w:endnote w:type="continuationSeparator" w:id="0">
    <w:p w14:paraId="3549589E" w14:textId="77777777" w:rsidR="006D77DF" w:rsidRDefault="006D77DF" w:rsidP="00C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0EFB" w14:textId="77777777" w:rsidR="00402A54" w:rsidRPr="00241249" w:rsidRDefault="00402A54" w:rsidP="00B77801">
    <w:pPr>
      <w:pStyle w:val="Piedepgina"/>
      <w:rPr>
        <w:rFonts w:ascii="Arial Narrow" w:hAnsi="Arial Narrow"/>
        <w:i/>
        <w:sz w:val="18"/>
      </w:rPr>
    </w:pPr>
    <w:r w:rsidRPr="00241249">
      <w:rPr>
        <w:rFonts w:ascii="Arial Narrow" w:hAnsi="Arial Narrow"/>
        <w:i/>
        <w:sz w:val="18"/>
      </w:rPr>
      <w:t xml:space="preserve">Formato </w:t>
    </w:r>
    <w:r>
      <w:rPr>
        <w:rFonts w:ascii="Arial Narrow" w:hAnsi="Arial Narrow"/>
        <w:i/>
        <w:sz w:val="18"/>
      </w:rPr>
      <w:t>Procedimiento</w:t>
    </w:r>
    <w:r w:rsidRPr="00241249">
      <w:rPr>
        <w:rFonts w:ascii="Arial Narrow" w:hAnsi="Arial Narrow"/>
        <w:i/>
        <w:sz w:val="18"/>
      </w:rPr>
      <w:t xml:space="preserve"> V.X dd-mm-aa</w:t>
    </w:r>
  </w:p>
  <w:p w14:paraId="1DFA9378" w14:textId="77777777" w:rsidR="00402A54" w:rsidRDefault="00402A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CCD0" w14:textId="77777777" w:rsidR="006D77DF" w:rsidRDefault="006D77DF" w:rsidP="00C51409">
      <w:r>
        <w:separator/>
      </w:r>
    </w:p>
  </w:footnote>
  <w:footnote w:type="continuationSeparator" w:id="0">
    <w:p w14:paraId="38A049A9" w14:textId="77777777" w:rsidR="006D77DF" w:rsidRDefault="006D77DF" w:rsidP="00C5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5594"/>
      <w:gridCol w:w="2204"/>
    </w:tblGrid>
    <w:tr w:rsidR="00402A54" w:rsidRPr="00106168" w14:paraId="50F93888" w14:textId="77777777" w:rsidTr="00B77801">
      <w:trPr>
        <w:cantSplit/>
        <w:trHeight w:val="574"/>
        <w:jc w:val="center"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hideMark/>
        </w:tcPr>
        <w:p w14:paraId="2A5CEC22" w14:textId="77777777" w:rsidR="00402A54" w:rsidRPr="00106168" w:rsidRDefault="00402A54" w:rsidP="00B7780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6192" behindDoc="0" locked="0" layoutInCell="1" allowOverlap="1" wp14:anchorId="504F6583" wp14:editId="10F63B1E">
                <wp:simplePos x="0" y="0"/>
                <wp:positionH relativeFrom="column">
                  <wp:posOffset>44450</wp:posOffset>
                </wp:positionH>
                <wp:positionV relativeFrom="paragraph">
                  <wp:posOffset>66675</wp:posOffset>
                </wp:positionV>
                <wp:extent cx="793115" cy="673735"/>
                <wp:effectExtent l="0" t="0" r="6985" b="0"/>
                <wp:wrapTopAndBottom/>
                <wp:docPr id="5" name="Imagen 5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DBACB1" w14:textId="77777777" w:rsidR="00402A54" w:rsidRPr="00106168" w:rsidRDefault="00402A54" w:rsidP="00B7780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>CARACTERIZACIÓN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7CE210" w14:textId="77777777" w:rsidR="00402A54" w:rsidRPr="00106168" w:rsidRDefault="00402A54" w:rsidP="00B77801">
          <w:pPr>
            <w:rPr>
              <w:rFonts w:ascii="Arial" w:hAnsi="Arial" w:cs="Arial"/>
              <w:i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 xml:space="preserve">Código:   </w:t>
          </w:r>
        </w:p>
      </w:tc>
    </w:tr>
    <w:tr w:rsidR="00402A54" w:rsidRPr="00106168" w14:paraId="4DA4D7F1" w14:textId="77777777" w:rsidTr="00B77801">
      <w:trPr>
        <w:cantSplit/>
        <w:trHeight w:val="70"/>
        <w:jc w:val="center"/>
      </w:trPr>
      <w:tc>
        <w:tcPr>
          <w:tcW w:w="170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FAA681" w14:textId="77777777" w:rsidR="00402A54" w:rsidRPr="00106168" w:rsidRDefault="00402A54" w:rsidP="00B7780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55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D26852" w14:textId="77777777" w:rsidR="00402A54" w:rsidRPr="00106168" w:rsidRDefault="00402A54" w:rsidP="00B77801">
          <w:pPr>
            <w:pStyle w:val="Encabezado"/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2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F8FA3D" w14:textId="77777777" w:rsidR="00402A54" w:rsidRPr="00106168" w:rsidRDefault="00402A54" w:rsidP="00B77801">
          <w:pPr>
            <w:rPr>
              <w:rFonts w:ascii="Arial" w:hAnsi="Arial" w:cs="Arial"/>
              <w:bCs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 xml:space="preserve">Versión: </w:t>
          </w:r>
        </w:p>
      </w:tc>
    </w:tr>
    <w:tr w:rsidR="00402A54" w:rsidRPr="00106168" w14:paraId="122B4BD1" w14:textId="77777777" w:rsidTr="00B77801">
      <w:trPr>
        <w:cantSplit/>
        <w:trHeight w:val="312"/>
        <w:jc w:val="center"/>
      </w:trPr>
      <w:tc>
        <w:tcPr>
          <w:tcW w:w="170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FD13F7" w14:textId="77777777" w:rsidR="00402A54" w:rsidRPr="00106168" w:rsidRDefault="00402A54" w:rsidP="00B7780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559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14:paraId="52F3B549" w14:textId="77777777" w:rsidR="00402A54" w:rsidRPr="00106168" w:rsidRDefault="00402A54" w:rsidP="00B77801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>NOMBRE DEL PROCESO</w:t>
          </w:r>
        </w:p>
      </w:tc>
      <w:tc>
        <w:tcPr>
          <w:tcW w:w="220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7E8117" w14:textId="77777777" w:rsidR="00402A54" w:rsidRPr="00106168" w:rsidRDefault="00402A54" w:rsidP="00B77801">
          <w:pPr>
            <w:rPr>
              <w:rFonts w:ascii="Arial" w:hAnsi="Arial" w:cs="Arial"/>
              <w:b/>
              <w:bCs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 xml:space="preserve">Fecha:  </w:t>
          </w:r>
        </w:p>
      </w:tc>
    </w:tr>
    <w:tr w:rsidR="00402A54" w:rsidRPr="00106168" w14:paraId="38A8BAFF" w14:textId="77777777" w:rsidTr="00B77801">
      <w:trPr>
        <w:cantSplit/>
        <w:trHeight w:val="261"/>
        <w:jc w:val="center"/>
      </w:trPr>
      <w:tc>
        <w:tcPr>
          <w:tcW w:w="17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083917" w14:textId="77777777" w:rsidR="00402A54" w:rsidRPr="00106168" w:rsidRDefault="00402A54" w:rsidP="00B7780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559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82E89F" w14:textId="77777777" w:rsidR="00402A54" w:rsidRPr="00106168" w:rsidRDefault="00402A54" w:rsidP="00B77801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20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22D742" w14:textId="77777777" w:rsidR="00402A54" w:rsidRPr="00106168" w:rsidRDefault="00402A54" w:rsidP="00B77801">
          <w:pPr>
            <w:rPr>
              <w:rFonts w:ascii="Arial" w:hAnsi="Arial" w:cs="Arial"/>
              <w:b/>
              <w:bCs/>
              <w:color w:val="000000"/>
            </w:rPr>
          </w:pPr>
          <w:r w:rsidRPr="00106168">
            <w:rPr>
              <w:rFonts w:ascii="Arial" w:hAnsi="Arial" w:cs="Arial"/>
              <w:b/>
              <w:bCs/>
              <w:color w:val="000000"/>
            </w:rPr>
            <w:t>Pág.</w:t>
          </w:r>
          <w:r w:rsidRPr="00106168">
            <w:rPr>
              <w:rFonts w:ascii="Arial" w:hAnsi="Arial" w:cs="Arial"/>
              <w:b/>
            </w:rPr>
            <w:t xml:space="preserve">  x  de xx</w:t>
          </w:r>
        </w:p>
      </w:tc>
    </w:tr>
  </w:tbl>
  <w:p w14:paraId="3C1A8F12" w14:textId="77777777" w:rsidR="00402A54" w:rsidRDefault="00402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F0D"/>
    <w:multiLevelType w:val="hybridMultilevel"/>
    <w:tmpl w:val="F8EC232A"/>
    <w:lvl w:ilvl="0" w:tplc="AFAE5C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60F7A"/>
    <w:multiLevelType w:val="hybridMultilevel"/>
    <w:tmpl w:val="DE3C5D38"/>
    <w:lvl w:ilvl="0" w:tplc="5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65446"/>
    <w:multiLevelType w:val="hybridMultilevel"/>
    <w:tmpl w:val="774E5B8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55F"/>
    <w:multiLevelType w:val="hybridMultilevel"/>
    <w:tmpl w:val="578AA83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066B"/>
    <w:multiLevelType w:val="hybridMultilevel"/>
    <w:tmpl w:val="AF2477E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A2CF5"/>
    <w:multiLevelType w:val="hybridMultilevel"/>
    <w:tmpl w:val="DF8A6D50"/>
    <w:lvl w:ilvl="0" w:tplc="E8467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3656"/>
    <w:multiLevelType w:val="hybridMultilevel"/>
    <w:tmpl w:val="A50403BA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7CB7"/>
    <w:multiLevelType w:val="hybridMultilevel"/>
    <w:tmpl w:val="AD2E5332"/>
    <w:lvl w:ilvl="0" w:tplc="580A000B">
      <w:start w:val="1"/>
      <w:numFmt w:val="bullet"/>
      <w:lvlText w:val=""/>
      <w:lvlJc w:val="left"/>
      <w:pPr>
        <w:ind w:left="684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26FE2677"/>
    <w:multiLevelType w:val="multilevel"/>
    <w:tmpl w:val="2A3CC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6.%2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3C4D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6326D1"/>
    <w:multiLevelType w:val="hybridMultilevel"/>
    <w:tmpl w:val="9B66374C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4D7"/>
    <w:multiLevelType w:val="hybridMultilevel"/>
    <w:tmpl w:val="01A8F744"/>
    <w:lvl w:ilvl="0" w:tplc="5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AA16813"/>
    <w:multiLevelType w:val="hybridMultilevel"/>
    <w:tmpl w:val="C33A2FE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A7E4E"/>
    <w:multiLevelType w:val="hybridMultilevel"/>
    <w:tmpl w:val="117623C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2EE"/>
    <w:multiLevelType w:val="hybridMultilevel"/>
    <w:tmpl w:val="D5E40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748" w:hanging="360"/>
      </w:pPr>
    </w:lvl>
    <w:lvl w:ilvl="2" w:tplc="0C0A001B" w:tentative="1">
      <w:start w:val="1"/>
      <w:numFmt w:val="lowerRoman"/>
      <w:lvlText w:val="%3."/>
      <w:lvlJc w:val="right"/>
      <w:pPr>
        <w:ind w:left="-28" w:hanging="180"/>
      </w:pPr>
    </w:lvl>
    <w:lvl w:ilvl="3" w:tplc="0C0A000F" w:tentative="1">
      <w:start w:val="1"/>
      <w:numFmt w:val="decimal"/>
      <w:lvlText w:val="%4."/>
      <w:lvlJc w:val="left"/>
      <w:pPr>
        <w:ind w:left="692" w:hanging="360"/>
      </w:pPr>
    </w:lvl>
    <w:lvl w:ilvl="4" w:tplc="0C0A0019" w:tentative="1">
      <w:start w:val="1"/>
      <w:numFmt w:val="lowerLetter"/>
      <w:lvlText w:val="%5."/>
      <w:lvlJc w:val="left"/>
      <w:pPr>
        <w:ind w:left="1412" w:hanging="360"/>
      </w:pPr>
    </w:lvl>
    <w:lvl w:ilvl="5" w:tplc="0C0A001B" w:tentative="1">
      <w:start w:val="1"/>
      <w:numFmt w:val="lowerRoman"/>
      <w:lvlText w:val="%6."/>
      <w:lvlJc w:val="right"/>
      <w:pPr>
        <w:ind w:left="2132" w:hanging="180"/>
      </w:pPr>
    </w:lvl>
    <w:lvl w:ilvl="6" w:tplc="0C0A000F" w:tentative="1">
      <w:start w:val="1"/>
      <w:numFmt w:val="decimal"/>
      <w:lvlText w:val="%7."/>
      <w:lvlJc w:val="left"/>
      <w:pPr>
        <w:ind w:left="2852" w:hanging="360"/>
      </w:pPr>
    </w:lvl>
    <w:lvl w:ilvl="7" w:tplc="0C0A0019" w:tentative="1">
      <w:start w:val="1"/>
      <w:numFmt w:val="lowerLetter"/>
      <w:lvlText w:val="%8."/>
      <w:lvlJc w:val="left"/>
      <w:pPr>
        <w:ind w:left="3572" w:hanging="360"/>
      </w:pPr>
    </w:lvl>
    <w:lvl w:ilvl="8" w:tplc="0C0A001B" w:tentative="1">
      <w:start w:val="1"/>
      <w:numFmt w:val="lowerRoman"/>
      <w:lvlText w:val="%9."/>
      <w:lvlJc w:val="right"/>
      <w:pPr>
        <w:ind w:left="4292" w:hanging="180"/>
      </w:pPr>
    </w:lvl>
  </w:abstractNum>
  <w:abstractNum w:abstractNumId="15">
    <w:nsid w:val="3D8A04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17F71"/>
    <w:multiLevelType w:val="multilevel"/>
    <w:tmpl w:val="CE1EE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BA6FAD"/>
    <w:multiLevelType w:val="hybridMultilevel"/>
    <w:tmpl w:val="FC90D7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34AC9"/>
    <w:multiLevelType w:val="hybridMultilevel"/>
    <w:tmpl w:val="8C143CE6"/>
    <w:lvl w:ilvl="0" w:tplc="580A000F">
      <w:start w:val="1"/>
      <w:numFmt w:val="decimal"/>
      <w:lvlText w:val="%1.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3593EBD"/>
    <w:multiLevelType w:val="hybridMultilevel"/>
    <w:tmpl w:val="239A113C"/>
    <w:lvl w:ilvl="0" w:tplc="58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3F709C"/>
    <w:multiLevelType w:val="hybridMultilevel"/>
    <w:tmpl w:val="DE3C5D38"/>
    <w:lvl w:ilvl="0" w:tplc="580A0011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1">
    <w:nsid w:val="5EBA3F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BF1DCF"/>
    <w:multiLevelType w:val="hybridMultilevel"/>
    <w:tmpl w:val="6B90072A"/>
    <w:lvl w:ilvl="0" w:tplc="5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A3045F"/>
    <w:multiLevelType w:val="hybridMultilevel"/>
    <w:tmpl w:val="A86E016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B6C8D"/>
    <w:multiLevelType w:val="multilevel"/>
    <w:tmpl w:val="2A3CC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6.%2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057A21"/>
    <w:multiLevelType w:val="hybridMultilevel"/>
    <w:tmpl w:val="AF2477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19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23"/>
  </w:num>
  <w:num w:numId="14">
    <w:abstractNumId w:val="20"/>
  </w:num>
  <w:num w:numId="15">
    <w:abstractNumId w:val="6"/>
  </w:num>
  <w:num w:numId="16">
    <w:abstractNumId w:val="7"/>
  </w:num>
  <w:num w:numId="17">
    <w:abstractNumId w:val="18"/>
  </w:num>
  <w:num w:numId="18">
    <w:abstractNumId w:val="22"/>
  </w:num>
  <w:num w:numId="19">
    <w:abstractNumId w:val="4"/>
  </w:num>
  <w:num w:numId="20">
    <w:abstractNumId w:val="1"/>
  </w:num>
  <w:num w:numId="21">
    <w:abstractNumId w:val="11"/>
  </w:num>
  <w:num w:numId="22">
    <w:abstractNumId w:val="15"/>
  </w:num>
  <w:num w:numId="23">
    <w:abstractNumId w:val="21"/>
  </w:num>
  <w:num w:numId="24">
    <w:abstractNumId w:val="16"/>
  </w:num>
  <w:num w:numId="25">
    <w:abstractNumId w:val="24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9"/>
    <w:rsid w:val="0000213E"/>
    <w:rsid w:val="00004C1A"/>
    <w:rsid w:val="00013828"/>
    <w:rsid w:val="00015B51"/>
    <w:rsid w:val="0002149E"/>
    <w:rsid w:val="00030ADA"/>
    <w:rsid w:val="00031DC9"/>
    <w:rsid w:val="00033E69"/>
    <w:rsid w:val="00036327"/>
    <w:rsid w:val="00037A39"/>
    <w:rsid w:val="00040199"/>
    <w:rsid w:val="00041F17"/>
    <w:rsid w:val="00043B5C"/>
    <w:rsid w:val="0004682B"/>
    <w:rsid w:val="000625F3"/>
    <w:rsid w:val="000658C4"/>
    <w:rsid w:val="00074A93"/>
    <w:rsid w:val="000824E4"/>
    <w:rsid w:val="000854BC"/>
    <w:rsid w:val="0009048C"/>
    <w:rsid w:val="000958E9"/>
    <w:rsid w:val="000B0D28"/>
    <w:rsid w:val="000C19B8"/>
    <w:rsid w:val="000D4B54"/>
    <w:rsid w:val="000E2859"/>
    <w:rsid w:val="000F0AC3"/>
    <w:rsid w:val="000F4E34"/>
    <w:rsid w:val="000F6A81"/>
    <w:rsid w:val="000F6D38"/>
    <w:rsid w:val="00102D7A"/>
    <w:rsid w:val="001045C2"/>
    <w:rsid w:val="00105947"/>
    <w:rsid w:val="00106DDA"/>
    <w:rsid w:val="00113397"/>
    <w:rsid w:val="00113990"/>
    <w:rsid w:val="0011796D"/>
    <w:rsid w:val="0012028E"/>
    <w:rsid w:val="0012239B"/>
    <w:rsid w:val="00126B03"/>
    <w:rsid w:val="00130099"/>
    <w:rsid w:val="00134992"/>
    <w:rsid w:val="00135814"/>
    <w:rsid w:val="00142189"/>
    <w:rsid w:val="00146DC9"/>
    <w:rsid w:val="001603D4"/>
    <w:rsid w:val="00160AE9"/>
    <w:rsid w:val="00160E9A"/>
    <w:rsid w:val="00163105"/>
    <w:rsid w:val="001758B8"/>
    <w:rsid w:val="001906B1"/>
    <w:rsid w:val="001A40D8"/>
    <w:rsid w:val="001A6BE7"/>
    <w:rsid w:val="001A79B3"/>
    <w:rsid w:val="001B17C7"/>
    <w:rsid w:val="001B1A34"/>
    <w:rsid w:val="001B35FF"/>
    <w:rsid w:val="001C492C"/>
    <w:rsid w:val="001D4BA3"/>
    <w:rsid w:val="001D4BC9"/>
    <w:rsid w:val="001D6191"/>
    <w:rsid w:val="001E38FE"/>
    <w:rsid w:val="001F01C1"/>
    <w:rsid w:val="001F494A"/>
    <w:rsid w:val="001F7C3D"/>
    <w:rsid w:val="00213C32"/>
    <w:rsid w:val="002318F3"/>
    <w:rsid w:val="00231EA7"/>
    <w:rsid w:val="0023240F"/>
    <w:rsid w:val="002325C4"/>
    <w:rsid w:val="0023502C"/>
    <w:rsid w:val="0023510E"/>
    <w:rsid w:val="00236D05"/>
    <w:rsid w:val="00244E43"/>
    <w:rsid w:val="00245FAB"/>
    <w:rsid w:val="00252AD3"/>
    <w:rsid w:val="00255264"/>
    <w:rsid w:val="00256197"/>
    <w:rsid w:val="00262E5B"/>
    <w:rsid w:val="00263B64"/>
    <w:rsid w:val="00265F11"/>
    <w:rsid w:val="002756CA"/>
    <w:rsid w:val="0027696F"/>
    <w:rsid w:val="0029598A"/>
    <w:rsid w:val="00296AEE"/>
    <w:rsid w:val="002B21E8"/>
    <w:rsid w:val="002B2AD3"/>
    <w:rsid w:val="002B5BC4"/>
    <w:rsid w:val="002D0FF9"/>
    <w:rsid w:val="002F153C"/>
    <w:rsid w:val="002F6439"/>
    <w:rsid w:val="00303BE0"/>
    <w:rsid w:val="00305016"/>
    <w:rsid w:val="00317E7F"/>
    <w:rsid w:val="00337BE8"/>
    <w:rsid w:val="00346534"/>
    <w:rsid w:val="003539CF"/>
    <w:rsid w:val="00361362"/>
    <w:rsid w:val="00373415"/>
    <w:rsid w:val="003A039F"/>
    <w:rsid w:val="003A0B3B"/>
    <w:rsid w:val="003A150C"/>
    <w:rsid w:val="003A1FDD"/>
    <w:rsid w:val="003A6B9A"/>
    <w:rsid w:val="003B1E95"/>
    <w:rsid w:val="003C5BA3"/>
    <w:rsid w:val="003C5DD6"/>
    <w:rsid w:val="003D4729"/>
    <w:rsid w:val="003E4C9F"/>
    <w:rsid w:val="003E5448"/>
    <w:rsid w:val="003E6BF2"/>
    <w:rsid w:val="003E7845"/>
    <w:rsid w:val="003F70DB"/>
    <w:rsid w:val="00402A54"/>
    <w:rsid w:val="00402BAE"/>
    <w:rsid w:val="004044CA"/>
    <w:rsid w:val="00425E65"/>
    <w:rsid w:val="00427CB9"/>
    <w:rsid w:val="00432E64"/>
    <w:rsid w:val="00440E35"/>
    <w:rsid w:val="00447193"/>
    <w:rsid w:val="00447A2F"/>
    <w:rsid w:val="00451598"/>
    <w:rsid w:val="00455874"/>
    <w:rsid w:val="00460F77"/>
    <w:rsid w:val="004617CD"/>
    <w:rsid w:val="00463A23"/>
    <w:rsid w:val="004724BF"/>
    <w:rsid w:val="00475C71"/>
    <w:rsid w:val="00481548"/>
    <w:rsid w:val="00483D61"/>
    <w:rsid w:val="00485A13"/>
    <w:rsid w:val="004878C1"/>
    <w:rsid w:val="00490CEB"/>
    <w:rsid w:val="00495F76"/>
    <w:rsid w:val="004A6BFB"/>
    <w:rsid w:val="004B4A41"/>
    <w:rsid w:val="004B554B"/>
    <w:rsid w:val="004C5B78"/>
    <w:rsid w:val="004C5FAC"/>
    <w:rsid w:val="004D6F90"/>
    <w:rsid w:val="004E4306"/>
    <w:rsid w:val="004F2EE8"/>
    <w:rsid w:val="004F3998"/>
    <w:rsid w:val="00502958"/>
    <w:rsid w:val="00507C80"/>
    <w:rsid w:val="00510F12"/>
    <w:rsid w:val="00513A7B"/>
    <w:rsid w:val="0051763D"/>
    <w:rsid w:val="0052353F"/>
    <w:rsid w:val="00527E22"/>
    <w:rsid w:val="00533B81"/>
    <w:rsid w:val="0054360E"/>
    <w:rsid w:val="00543EE8"/>
    <w:rsid w:val="0055464D"/>
    <w:rsid w:val="005558C4"/>
    <w:rsid w:val="00563EC7"/>
    <w:rsid w:val="005652A4"/>
    <w:rsid w:val="00575920"/>
    <w:rsid w:val="00577C26"/>
    <w:rsid w:val="00596144"/>
    <w:rsid w:val="005A3BD3"/>
    <w:rsid w:val="005B64EB"/>
    <w:rsid w:val="005C5076"/>
    <w:rsid w:val="005C5F97"/>
    <w:rsid w:val="005C6419"/>
    <w:rsid w:val="005D27F4"/>
    <w:rsid w:val="005E327F"/>
    <w:rsid w:val="005E40A3"/>
    <w:rsid w:val="005E45F2"/>
    <w:rsid w:val="005F641E"/>
    <w:rsid w:val="005F6442"/>
    <w:rsid w:val="00607F89"/>
    <w:rsid w:val="00615082"/>
    <w:rsid w:val="00616A3B"/>
    <w:rsid w:val="0062203C"/>
    <w:rsid w:val="0062664B"/>
    <w:rsid w:val="00633E9E"/>
    <w:rsid w:val="00650D55"/>
    <w:rsid w:val="0065233A"/>
    <w:rsid w:val="00656A14"/>
    <w:rsid w:val="00663DB2"/>
    <w:rsid w:val="006745B2"/>
    <w:rsid w:val="006A0779"/>
    <w:rsid w:val="006A2B2B"/>
    <w:rsid w:val="006B1C1E"/>
    <w:rsid w:val="006C4FD5"/>
    <w:rsid w:val="006C5978"/>
    <w:rsid w:val="006D77DF"/>
    <w:rsid w:val="006E7A35"/>
    <w:rsid w:val="006F3F94"/>
    <w:rsid w:val="00700740"/>
    <w:rsid w:val="00703E49"/>
    <w:rsid w:val="00706224"/>
    <w:rsid w:val="00707D1A"/>
    <w:rsid w:val="0071195A"/>
    <w:rsid w:val="00733056"/>
    <w:rsid w:val="00733A53"/>
    <w:rsid w:val="007364B9"/>
    <w:rsid w:val="00741F8E"/>
    <w:rsid w:val="00762E51"/>
    <w:rsid w:val="0076338F"/>
    <w:rsid w:val="007777D2"/>
    <w:rsid w:val="007879F3"/>
    <w:rsid w:val="00790F3F"/>
    <w:rsid w:val="0079474B"/>
    <w:rsid w:val="007A0378"/>
    <w:rsid w:val="007A380F"/>
    <w:rsid w:val="007D19A3"/>
    <w:rsid w:val="007D5B42"/>
    <w:rsid w:val="007D7B5F"/>
    <w:rsid w:val="007E0280"/>
    <w:rsid w:val="007E4ABD"/>
    <w:rsid w:val="007E623F"/>
    <w:rsid w:val="007F25F2"/>
    <w:rsid w:val="007F4B56"/>
    <w:rsid w:val="007F7AA9"/>
    <w:rsid w:val="00805C22"/>
    <w:rsid w:val="00817D16"/>
    <w:rsid w:val="00826269"/>
    <w:rsid w:val="008302C9"/>
    <w:rsid w:val="00835B08"/>
    <w:rsid w:val="00836DEA"/>
    <w:rsid w:val="00842065"/>
    <w:rsid w:val="00842CDD"/>
    <w:rsid w:val="00844489"/>
    <w:rsid w:val="008466CD"/>
    <w:rsid w:val="008662C8"/>
    <w:rsid w:val="0087072F"/>
    <w:rsid w:val="00871C15"/>
    <w:rsid w:val="00876D6A"/>
    <w:rsid w:val="008818B9"/>
    <w:rsid w:val="00884B7E"/>
    <w:rsid w:val="008A3B9C"/>
    <w:rsid w:val="008B0F38"/>
    <w:rsid w:val="008B49D7"/>
    <w:rsid w:val="008C4AE0"/>
    <w:rsid w:val="008C59FF"/>
    <w:rsid w:val="008D02E1"/>
    <w:rsid w:val="008D560F"/>
    <w:rsid w:val="008D5F30"/>
    <w:rsid w:val="008F00E5"/>
    <w:rsid w:val="008F4C4C"/>
    <w:rsid w:val="008F6B8A"/>
    <w:rsid w:val="009016D8"/>
    <w:rsid w:val="00901BF6"/>
    <w:rsid w:val="00901DCE"/>
    <w:rsid w:val="00902EC5"/>
    <w:rsid w:val="00906E26"/>
    <w:rsid w:val="009162ED"/>
    <w:rsid w:val="00921AD6"/>
    <w:rsid w:val="00922991"/>
    <w:rsid w:val="00924278"/>
    <w:rsid w:val="00924E51"/>
    <w:rsid w:val="00930FCE"/>
    <w:rsid w:val="00936F25"/>
    <w:rsid w:val="00947ADC"/>
    <w:rsid w:val="009503A7"/>
    <w:rsid w:val="00955301"/>
    <w:rsid w:val="00957550"/>
    <w:rsid w:val="00957ABE"/>
    <w:rsid w:val="009668FD"/>
    <w:rsid w:val="009739BF"/>
    <w:rsid w:val="009A2516"/>
    <w:rsid w:val="009A4F28"/>
    <w:rsid w:val="009B3846"/>
    <w:rsid w:val="009B5886"/>
    <w:rsid w:val="009B7347"/>
    <w:rsid w:val="009D0ED3"/>
    <w:rsid w:val="009D1829"/>
    <w:rsid w:val="009D4D74"/>
    <w:rsid w:val="009E17EF"/>
    <w:rsid w:val="009F14CE"/>
    <w:rsid w:val="009F1DCF"/>
    <w:rsid w:val="009F314C"/>
    <w:rsid w:val="009F56BD"/>
    <w:rsid w:val="009F77D1"/>
    <w:rsid w:val="00A06C18"/>
    <w:rsid w:val="00A12002"/>
    <w:rsid w:val="00A22132"/>
    <w:rsid w:val="00A3121F"/>
    <w:rsid w:val="00A32B47"/>
    <w:rsid w:val="00A35AD4"/>
    <w:rsid w:val="00A44E49"/>
    <w:rsid w:val="00A54E87"/>
    <w:rsid w:val="00A561B2"/>
    <w:rsid w:val="00A56C4F"/>
    <w:rsid w:val="00A77B90"/>
    <w:rsid w:val="00A97B4E"/>
    <w:rsid w:val="00AA77D7"/>
    <w:rsid w:val="00AB2C1D"/>
    <w:rsid w:val="00AC36F7"/>
    <w:rsid w:val="00AC42E0"/>
    <w:rsid w:val="00AC46A7"/>
    <w:rsid w:val="00AD10BD"/>
    <w:rsid w:val="00AE1050"/>
    <w:rsid w:val="00AF229D"/>
    <w:rsid w:val="00B15247"/>
    <w:rsid w:val="00B22263"/>
    <w:rsid w:val="00B272D2"/>
    <w:rsid w:val="00B3259B"/>
    <w:rsid w:val="00B36D53"/>
    <w:rsid w:val="00B50AE1"/>
    <w:rsid w:val="00B54C8D"/>
    <w:rsid w:val="00B63640"/>
    <w:rsid w:val="00B734EE"/>
    <w:rsid w:val="00B763E9"/>
    <w:rsid w:val="00B77801"/>
    <w:rsid w:val="00B86C8C"/>
    <w:rsid w:val="00B96699"/>
    <w:rsid w:val="00BA253D"/>
    <w:rsid w:val="00BA3F98"/>
    <w:rsid w:val="00BA73CE"/>
    <w:rsid w:val="00BB4686"/>
    <w:rsid w:val="00BB4CA9"/>
    <w:rsid w:val="00BB68DB"/>
    <w:rsid w:val="00BC7A8B"/>
    <w:rsid w:val="00BD1F53"/>
    <w:rsid w:val="00BD2D83"/>
    <w:rsid w:val="00BD2EB5"/>
    <w:rsid w:val="00BD5461"/>
    <w:rsid w:val="00BE003E"/>
    <w:rsid w:val="00BF27BF"/>
    <w:rsid w:val="00BF7E00"/>
    <w:rsid w:val="00C01044"/>
    <w:rsid w:val="00C11CA9"/>
    <w:rsid w:val="00C14D29"/>
    <w:rsid w:val="00C23E4D"/>
    <w:rsid w:val="00C40DC4"/>
    <w:rsid w:val="00C41D2F"/>
    <w:rsid w:val="00C43A97"/>
    <w:rsid w:val="00C51409"/>
    <w:rsid w:val="00C73F4F"/>
    <w:rsid w:val="00C7537B"/>
    <w:rsid w:val="00C758F2"/>
    <w:rsid w:val="00C8538B"/>
    <w:rsid w:val="00C95F33"/>
    <w:rsid w:val="00CA7387"/>
    <w:rsid w:val="00CB39F8"/>
    <w:rsid w:val="00CB6E94"/>
    <w:rsid w:val="00CB72D1"/>
    <w:rsid w:val="00CC5A55"/>
    <w:rsid w:val="00CD1733"/>
    <w:rsid w:val="00CF2496"/>
    <w:rsid w:val="00D062BE"/>
    <w:rsid w:val="00D06C9B"/>
    <w:rsid w:val="00D22FAE"/>
    <w:rsid w:val="00D26B33"/>
    <w:rsid w:val="00D303AD"/>
    <w:rsid w:val="00D316E1"/>
    <w:rsid w:val="00D345C9"/>
    <w:rsid w:val="00D46451"/>
    <w:rsid w:val="00D5321F"/>
    <w:rsid w:val="00D558B0"/>
    <w:rsid w:val="00D602CB"/>
    <w:rsid w:val="00D66706"/>
    <w:rsid w:val="00D70827"/>
    <w:rsid w:val="00DA0D1E"/>
    <w:rsid w:val="00DB1AFD"/>
    <w:rsid w:val="00DB2957"/>
    <w:rsid w:val="00DC2DF3"/>
    <w:rsid w:val="00DC6718"/>
    <w:rsid w:val="00DD1EF4"/>
    <w:rsid w:val="00DE714B"/>
    <w:rsid w:val="00DF1B9E"/>
    <w:rsid w:val="00DF2E01"/>
    <w:rsid w:val="00DF5560"/>
    <w:rsid w:val="00E016A6"/>
    <w:rsid w:val="00E03F3A"/>
    <w:rsid w:val="00E05034"/>
    <w:rsid w:val="00E07302"/>
    <w:rsid w:val="00E148C8"/>
    <w:rsid w:val="00E14BE1"/>
    <w:rsid w:val="00E25991"/>
    <w:rsid w:val="00E35F75"/>
    <w:rsid w:val="00E412BB"/>
    <w:rsid w:val="00E55A5F"/>
    <w:rsid w:val="00E670B3"/>
    <w:rsid w:val="00E76317"/>
    <w:rsid w:val="00E77FC3"/>
    <w:rsid w:val="00E802CF"/>
    <w:rsid w:val="00E9613A"/>
    <w:rsid w:val="00E966E6"/>
    <w:rsid w:val="00EA7A26"/>
    <w:rsid w:val="00EA7EF9"/>
    <w:rsid w:val="00EB028C"/>
    <w:rsid w:val="00EB589C"/>
    <w:rsid w:val="00EB7E19"/>
    <w:rsid w:val="00EC0885"/>
    <w:rsid w:val="00EC2C34"/>
    <w:rsid w:val="00ED0F9C"/>
    <w:rsid w:val="00EE011C"/>
    <w:rsid w:val="00EE2B05"/>
    <w:rsid w:val="00EE3A1C"/>
    <w:rsid w:val="00EE6E62"/>
    <w:rsid w:val="00EF3818"/>
    <w:rsid w:val="00F02C23"/>
    <w:rsid w:val="00F06AC1"/>
    <w:rsid w:val="00F125D3"/>
    <w:rsid w:val="00F13466"/>
    <w:rsid w:val="00F26FFD"/>
    <w:rsid w:val="00F33605"/>
    <w:rsid w:val="00F33658"/>
    <w:rsid w:val="00F37209"/>
    <w:rsid w:val="00F407EE"/>
    <w:rsid w:val="00F45C50"/>
    <w:rsid w:val="00F46205"/>
    <w:rsid w:val="00F614EF"/>
    <w:rsid w:val="00F63474"/>
    <w:rsid w:val="00F81432"/>
    <w:rsid w:val="00F90A4A"/>
    <w:rsid w:val="00F91257"/>
    <w:rsid w:val="00FA21F8"/>
    <w:rsid w:val="00FA69FB"/>
    <w:rsid w:val="00FB68D1"/>
    <w:rsid w:val="00FC15AD"/>
    <w:rsid w:val="00FC4F4B"/>
    <w:rsid w:val="00FD3A90"/>
    <w:rsid w:val="00FD44CB"/>
    <w:rsid w:val="00FD59FA"/>
    <w:rsid w:val="00FD5E4E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E457B"/>
  <w15:docId w15:val="{10F2102D-FE1C-4DBF-9996-94031581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4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7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1409"/>
    <w:pPr>
      <w:widowControl w:val="0"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14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51409"/>
    <w:pPr>
      <w:widowControl w:val="0"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14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ED0F9C"/>
    <w:pPr>
      <w:widowControl w:val="0"/>
      <w:shd w:val="clear" w:color="auto" w:fill="D9D9D9"/>
      <w:tabs>
        <w:tab w:val="right" w:pos="9974"/>
      </w:tabs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22"/>
      <w:szCs w:val="22"/>
    </w:rPr>
  </w:style>
  <w:style w:type="character" w:customStyle="1" w:styleId="PuestoCar">
    <w:name w:val="Puesto Car"/>
    <w:basedOn w:val="Fuentedeprrafopredeter"/>
    <w:link w:val="Puesto"/>
    <w:uiPriority w:val="10"/>
    <w:rsid w:val="00ED0F9C"/>
    <w:rPr>
      <w:rFonts w:ascii="Arial" w:eastAsia="Times New Roman" w:hAnsi="Arial" w:cs="Arial"/>
      <w:b/>
      <w:color w:val="000000"/>
      <w:shd w:val="clear" w:color="auto" w:fill="D9D9D9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46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BB4686"/>
    <w:pPr>
      <w:spacing w:line="276" w:lineRule="auto"/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68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46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rsid w:val="003C5BA3"/>
    <w:pPr>
      <w:jc w:val="both"/>
    </w:pPr>
    <w:rPr>
      <w:rFonts w:ascii="Arial" w:hAnsi="Arial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3C5BA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rsid w:val="003C5BA3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5BA3"/>
    <w:pPr>
      <w:overflowPunct w:val="0"/>
      <w:autoSpaceDE w:val="0"/>
      <w:autoSpaceDN w:val="0"/>
      <w:adjustRightInd w:val="0"/>
      <w:ind w:left="708"/>
      <w:textAlignment w:val="baseline"/>
    </w:pPr>
    <w:rPr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9739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39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63DB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63DB2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663D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4A9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7F25F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8707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styleId="nfasisintenso">
    <w:name w:val="Intense Emphasis"/>
    <w:uiPriority w:val="21"/>
    <w:qFormat/>
    <w:rsid w:val="0087072F"/>
    <w:rPr>
      <w:b/>
      <w:bCs/>
      <w:smallCaps/>
      <w:color w:val="4F81BD"/>
      <w:spacing w:val="40"/>
    </w:rPr>
  </w:style>
  <w:style w:type="character" w:styleId="Referenciaintensa">
    <w:name w:val="Intense Reference"/>
    <w:uiPriority w:val="32"/>
    <w:qFormat/>
    <w:rsid w:val="0087072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paragraph" w:styleId="NormalWeb">
    <w:name w:val="Normal (Web)"/>
    <w:basedOn w:val="Normal"/>
    <w:uiPriority w:val="99"/>
    <w:unhideWhenUsed/>
    <w:rsid w:val="009F56B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E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2B05"/>
  </w:style>
  <w:style w:type="character" w:customStyle="1" w:styleId="TextocomentarioCar">
    <w:name w:val="Texto comentario Car"/>
    <w:basedOn w:val="Fuentedeprrafopredeter"/>
    <w:link w:val="Textocomentario"/>
    <w:uiPriority w:val="99"/>
    <w:rsid w:val="00EE2B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EE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7E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A253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93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40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c.gov.co/transparencia-y-acceso-a-la-informacion-publica/ley_transparencia_idpc/formulario-electronico-solicitudes-peticiones-quejas-reclamos-denunci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5362-AC3D-4D19-95D4-CA85B50F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Calderón</dc:creator>
  <cp:lastModifiedBy>Carlos Hernando Sandoval Mora</cp:lastModifiedBy>
  <cp:revision>11</cp:revision>
  <cp:lastPrinted>2018-10-16T15:47:00Z</cp:lastPrinted>
  <dcterms:created xsi:type="dcterms:W3CDTF">2018-10-16T15:06:00Z</dcterms:created>
  <dcterms:modified xsi:type="dcterms:W3CDTF">2019-08-08T16:49:00Z</dcterms:modified>
</cp:coreProperties>
</file>