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E528FE" w14:textId="31C48465" w:rsidR="00F2410E" w:rsidRDefault="00B20FC7">
      <w:pPr>
        <w:spacing w:after="200" w:line="276" w:lineRule="auto"/>
        <w:rPr>
          <w:rFonts w:ascii="Arial" w:hAnsi="Arial" w:cs="Arial"/>
          <w:color w:val="000000" w:themeColor="text1"/>
          <w:sz w:val="22"/>
          <w:szCs w:val="22"/>
        </w:rPr>
      </w:pPr>
      <w:bookmarkStart w:id="0" w:name="_Toc126147374"/>
      <w:bookmarkStart w:id="1" w:name="_Toc126301040"/>
      <w:bookmarkStart w:id="2" w:name="_GoBack"/>
      <w:bookmarkEnd w:id="2"/>
      <w:r>
        <w:rPr>
          <w:noProof/>
          <w:lang w:val="es-CO" w:eastAsia="es-CO"/>
        </w:rPr>
        <mc:AlternateContent>
          <mc:Choice Requires="wps">
            <w:drawing>
              <wp:anchor distT="0" distB="0" distL="114300" distR="114300" simplePos="0" relativeHeight="251691008" behindDoc="0" locked="0" layoutInCell="1" allowOverlap="1" wp14:anchorId="5B17D960" wp14:editId="04C1FB1C">
                <wp:simplePos x="0" y="0"/>
                <wp:positionH relativeFrom="column">
                  <wp:posOffset>4136222</wp:posOffset>
                </wp:positionH>
                <wp:positionV relativeFrom="paragraph">
                  <wp:posOffset>5814695</wp:posOffset>
                </wp:positionV>
                <wp:extent cx="2550160" cy="392430"/>
                <wp:effectExtent l="0" t="0" r="21590" b="26670"/>
                <wp:wrapNone/>
                <wp:docPr id="10" name="10 Cuadro de texto"/>
                <wp:cNvGraphicFramePr/>
                <a:graphic xmlns:a="http://schemas.openxmlformats.org/drawingml/2006/main">
                  <a:graphicData uri="http://schemas.microsoft.com/office/word/2010/wordprocessingShape">
                    <wps:wsp>
                      <wps:cNvSpPr txBox="1"/>
                      <wps:spPr>
                        <a:xfrm>
                          <a:off x="0" y="0"/>
                          <a:ext cx="2550160" cy="392430"/>
                        </a:xfrm>
                        <a:prstGeom prst="rect">
                          <a:avLst/>
                        </a:prstGeom>
                        <a:noFill/>
                        <a:ln w="6350">
                          <a:solidFill>
                            <a:schemeClr val="bg1"/>
                          </a:solidFill>
                        </a:ln>
                        <a:effectLst/>
                      </wps:spPr>
                      <wps:txbx>
                        <w:txbxContent>
                          <w:p w14:paraId="073980BD" w14:textId="2E950CE9" w:rsidR="00B20FC7" w:rsidRPr="00EC55C7" w:rsidRDefault="00B20FC7" w:rsidP="00B20FC7">
                            <w:pPr>
                              <w:jc w:val="right"/>
                              <w:rPr>
                                <w:rFonts w:ascii="Arial" w:hAnsi="Arial" w:cs="Arial"/>
                              </w:rPr>
                            </w:pPr>
                            <w:r w:rsidRPr="00EC55C7">
                              <w:rPr>
                                <w:rFonts w:ascii="Arial" w:hAnsi="Arial" w:cs="Arial"/>
                              </w:rPr>
                              <w:t xml:space="preserve">Vigencia: </w:t>
                            </w:r>
                            <w:r w:rsidR="00494678">
                              <w:rPr>
                                <w:rFonts w:ascii="Arial" w:hAnsi="Arial" w:cs="Arial"/>
                              </w:rPr>
                              <w:t>29</w:t>
                            </w:r>
                            <w:r w:rsidRPr="00EC55C7">
                              <w:rPr>
                                <w:rFonts w:ascii="Arial" w:hAnsi="Arial" w:cs="Arial"/>
                              </w:rPr>
                              <w:t xml:space="preserve"> </w:t>
                            </w:r>
                            <w:r w:rsidR="007A2FA0">
                              <w:rPr>
                                <w:rFonts w:ascii="Arial" w:hAnsi="Arial" w:cs="Arial"/>
                              </w:rPr>
                              <w:t>marzo</w:t>
                            </w:r>
                            <w:r>
                              <w:rPr>
                                <w:rFonts w:ascii="Arial" w:hAnsi="Arial" w:cs="Arial"/>
                              </w:rPr>
                              <w:t xml:space="preserve"> </w:t>
                            </w:r>
                            <w:r w:rsidRPr="00EC55C7">
                              <w:rPr>
                                <w:rFonts w:ascii="Arial" w:hAnsi="Arial" w:cs="Arial"/>
                              </w:rPr>
                              <w:t>2019</w:t>
                            </w:r>
                          </w:p>
                          <w:p w14:paraId="35C62113" w14:textId="50ACDEE0" w:rsidR="00D20DD8" w:rsidRDefault="00494678" w:rsidP="00B20FC7">
                            <w:pPr>
                              <w:jc w:val="right"/>
                            </w:pPr>
                            <w:r>
                              <w:rPr>
                                <w:rFonts w:ascii="Arial" w:hAnsi="Arial" w:cs="Arial"/>
                              </w:rPr>
                              <w:t>Versión: 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B17D960" id="_x0000_t202" coordsize="21600,21600" o:spt="202" path="m,l,21600r21600,l21600,xe">
                <v:stroke joinstyle="miter"/>
                <v:path gradientshapeok="t" o:connecttype="rect"/>
              </v:shapetype>
              <v:shape id="10 Cuadro de texto" o:spid="_x0000_s1026" type="#_x0000_t202" style="position:absolute;margin-left:325.7pt;margin-top:457.85pt;width:200.8pt;height:30.9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" filled="f" strokecolor="white [3212]" strokeweight=".5pt">
                <v:textbox>
                  <w:txbxContent>
                    <w:p w14:paraId="073980BD" w14:textId="2E950CE9" w:rsidR="00B20FC7" w:rsidRPr="00EC55C7" w:rsidRDefault="00B20FC7" w:rsidP="00B20FC7">
                      <w:pPr>
                        <w:jc w:val="right"/>
                        <w:rPr>
                          <w:rFonts w:ascii="Arial" w:hAnsi="Arial" w:cs="Arial"/>
                        </w:rPr>
                      </w:pPr>
                      <w:r w:rsidRPr="00EC55C7">
                        <w:rPr>
                          <w:rFonts w:ascii="Arial" w:hAnsi="Arial" w:cs="Arial"/>
                        </w:rPr>
                        <w:t xml:space="preserve">Vigencia: </w:t>
                      </w:r>
                      <w:r w:rsidR="00494678">
                        <w:rPr>
                          <w:rFonts w:ascii="Arial" w:hAnsi="Arial" w:cs="Arial"/>
                        </w:rPr>
                        <w:t>29</w:t>
                      </w:r>
                      <w:r w:rsidRPr="00EC55C7">
                        <w:rPr>
                          <w:rFonts w:ascii="Arial" w:hAnsi="Arial" w:cs="Arial"/>
                        </w:rPr>
                        <w:t xml:space="preserve"> </w:t>
                      </w:r>
                      <w:r w:rsidR="007A2FA0">
                        <w:rPr>
                          <w:rFonts w:ascii="Arial" w:hAnsi="Arial" w:cs="Arial"/>
                        </w:rPr>
                        <w:t>marzo</w:t>
                      </w:r>
                      <w:r>
                        <w:rPr>
                          <w:rFonts w:ascii="Arial" w:hAnsi="Arial" w:cs="Arial"/>
                        </w:rPr>
                        <w:t xml:space="preserve"> </w:t>
                      </w:r>
                      <w:r w:rsidRPr="00EC55C7">
                        <w:rPr>
                          <w:rFonts w:ascii="Arial" w:hAnsi="Arial" w:cs="Arial"/>
                        </w:rPr>
                        <w:t>2019</w:t>
                      </w:r>
                    </w:p>
                    <w:p w14:paraId="35C62113" w14:textId="50ACDEE0" w:rsidR="00D20DD8" w:rsidRDefault="00494678" w:rsidP="00B20FC7">
                      <w:pPr>
                        <w:jc w:val="right"/>
                      </w:pPr>
                      <w:r>
                        <w:rPr>
                          <w:rFonts w:ascii="Arial" w:hAnsi="Arial" w:cs="Arial"/>
                        </w:rPr>
                        <w:t>Versión: 01</w:t>
                      </w:r>
                    </w:p>
                  </w:txbxContent>
                </v:textbox>
              </v:shape>
            </w:pict>
          </mc:Fallback>
        </mc:AlternateContent>
      </w:r>
      <w:r w:rsidR="00DB1F6F" w:rsidRPr="00EC55C7">
        <w:rPr>
          <w:rFonts w:ascii="Arial" w:hAnsi="Arial" w:cs="Arial"/>
          <w:noProof/>
          <w:color w:val="000000" w:themeColor="text1"/>
          <w:sz w:val="22"/>
          <w:szCs w:val="22"/>
          <w:lang w:val="es-CO" w:eastAsia="es-CO"/>
        </w:rPr>
        <mc:AlternateContent>
          <mc:Choice Requires="wps">
            <w:drawing>
              <wp:anchor distT="0" distB="0" distL="114300" distR="114300" simplePos="0" relativeHeight="251685888" behindDoc="0" locked="0" layoutInCell="1" allowOverlap="1" wp14:anchorId="542E5CA9" wp14:editId="6A29D2C3">
                <wp:simplePos x="0" y="0"/>
                <wp:positionH relativeFrom="column">
                  <wp:posOffset>2114550</wp:posOffset>
                </wp:positionH>
                <wp:positionV relativeFrom="paragraph">
                  <wp:posOffset>4676775</wp:posOffset>
                </wp:positionV>
                <wp:extent cx="4569460" cy="1403985"/>
                <wp:effectExtent l="0" t="0" r="21590" b="19050"/>
                <wp:wrapNone/>
                <wp:docPr id="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9460" cy="1403985"/>
                        </a:xfrm>
                        <a:prstGeom prst="rect">
                          <a:avLst/>
                        </a:prstGeom>
                        <a:noFill/>
                        <a:ln w="9525">
                          <a:solidFill>
                            <a:schemeClr val="bg1"/>
                          </a:solidFill>
                          <a:miter lim="800000"/>
                          <a:headEnd/>
                          <a:tailEnd/>
                        </a:ln>
                      </wps:spPr>
                      <wps:txbx>
                        <w:txbxContent>
                          <w:p w14:paraId="59862066" w14:textId="775EF7F5" w:rsidR="00DB1F6F" w:rsidRPr="00494678" w:rsidRDefault="00494678" w:rsidP="00DB1F6F">
                            <w:pPr>
                              <w:rPr>
                                <w:rFonts w:ascii="Arial" w:hAnsi="Arial" w:cs="Arial"/>
                                <w:sz w:val="16"/>
                              </w:rPr>
                            </w:pPr>
                            <w:r w:rsidRPr="00494678">
                              <w:rPr>
                                <w:rFonts w:ascii="Arial" w:hAnsi="Arial" w:cs="Arial"/>
                                <w:sz w:val="28"/>
                                <w:szCs w:val="48"/>
                                <w:lang w:val="es-ES_tradnl"/>
                              </w:rPr>
                              <w:t>Estrategia de Rendición permanente de cuentas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42E5CA9" id="Cuadro de texto 2" o:spid="_x0000_s1027" type="#_x0000_t202" style="position:absolute;margin-left:166.5pt;margin-top:368.25pt;width:359.8pt;height:110.55pt;z-index:2516858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" filled="f" strokecolor="white [3212]">
                <v:textbox style="mso-fit-shape-to-text:t">
                  <w:txbxContent>
                    <w:p w14:paraId="59862066" w14:textId="775EF7F5" w:rsidR="00DB1F6F" w:rsidRPr="00494678" w:rsidRDefault="00494678" w:rsidP="00DB1F6F">
                      <w:pPr>
                        <w:rPr>
                          <w:rFonts w:ascii="Arial" w:hAnsi="Arial" w:cs="Arial"/>
                          <w:sz w:val="16"/>
                        </w:rPr>
                      </w:pPr>
                      <w:r w:rsidRPr="00494678">
                        <w:rPr>
                          <w:rFonts w:ascii="Arial" w:hAnsi="Arial" w:cs="Arial"/>
                          <w:sz w:val="28"/>
                          <w:szCs w:val="48"/>
                          <w:lang w:val="es-ES_tradnl"/>
                        </w:rPr>
                        <w:t>Estrategia de Rendición permanente de cuentas</w:t>
                      </w:r>
                    </w:p>
                  </w:txbxContent>
                </v:textbox>
              </v:shape>
            </w:pict>
          </mc:Fallback>
        </mc:AlternateContent>
      </w:r>
      <w:r w:rsidR="00DB1F6F" w:rsidRPr="00EC55C7">
        <w:rPr>
          <w:rFonts w:ascii="Arial" w:hAnsi="Arial" w:cs="Arial"/>
          <w:noProof/>
          <w:color w:val="000000" w:themeColor="text1"/>
          <w:sz w:val="22"/>
          <w:szCs w:val="22"/>
          <w:lang w:val="es-CO" w:eastAsia="es-CO"/>
        </w:rPr>
        <mc:AlternateContent>
          <mc:Choice Requires="wps">
            <w:drawing>
              <wp:anchor distT="0" distB="0" distL="114300" distR="114300" simplePos="0" relativeHeight="251683840" behindDoc="0" locked="0" layoutInCell="1" allowOverlap="1" wp14:anchorId="6BFFA309" wp14:editId="1F6E6BC9">
                <wp:simplePos x="0" y="0"/>
                <wp:positionH relativeFrom="column">
                  <wp:posOffset>2101850</wp:posOffset>
                </wp:positionH>
                <wp:positionV relativeFrom="paragraph">
                  <wp:posOffset>4371975</wp:posOffset>
                </wp:positionV>
                <wp:extent cx="2374265" cy="1403985"/>
                <wp:effectExtent l="0" t="0" r="10795" b="1905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solidFill>
                            <a:schemeClr val="bg1"/>
                          </a:solidFill>
                          <a:miter lim="800000"/>
                          <a:headEnd/>
                          <a:tailEnd/>
                        </a:ln>
                      </wps:spPr>
                      <wps:txbx>
                        <w:txbxContent>
                          <w:p w14:paraId="2DF12595" w14:textId="7599BCC9" w:rsidR="00EC55C7" w:rsidRPr="00494678" w:rsidRDefault="00494678">
                            <w:pPr>
                              <w:rPr>
                                <w:rFonts w:ascii="Arial" w:hAnsi="Arial" w:cs="Arial"/>
                                <w:sz w:val="28"/>
                                <w:lang w:val="es-CO"/>
                              </w:rPr>
                            </w:pPr>
                            <w:r>
                              <w:rPr>
                                <w:rFonts w:ascii="Arial" w:hAnsi="Arial" w:cs="Arial"/>
                                <w:sz w:val="28"/>
                                <w:lang w:val="es-CO"/>
                              </w:rPr>
                              <w:t>Lineamiento</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BFFA309" id="_x0000_s1028" type="#_x0000_t202" style="position:absolute;margin-left:165.5pt;margin-top:344.25pt;width:186.95pt;height:110.55pt;z-index:25168384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" filled="f" strokecolor="white [3212]">
                <v:textbox style="mso-fit-shape-to-text:t">
                  <w:txbxContent>
                    <w:p w14:paraId="2DF12595" w14:textId="7599BCC9" w:rsidR="00EC55C7" w:rsidRPr="00494678" w:rsidRDefault="00494678">
                      <w:pPr>
                        <w:rPr>
                          <w:rFonts w:ascii="Arial" w:hAnsi="Arial" w:cs="Arial"/>
                          <w:sz w:val="28"/>
                          <w:lang w:val="es-CO"/>
                        </w:rPr>
                      </w:pPr>
                      <w:r>
                        <w:rPr>
                          <w:rFonts w:ascii="Arial" w:hAnsi="Arial" w:cs="Arial"/>
                          <w:sz w:val="28"/>
                          <w:lang w:val="es-CO"/>
                        </w:rPr>
                        <w:t>Lineamiento</w:t>
                      </w:r>
                    </w:p>
                  </w:txbxContent>
                </v:textbox>
              </v:shape>
            </w:pict>
          </mc:Fallback>
        </mc:AlternateContent>
      </w:r>
      <w:r w:rsidR="00DB1F6F" w:rsidRPr="00EC55C7">
        <w:rPr>
          <w:rFonts w:ascii="Arial" w:hAnsi="Arial" w:cs="Arial"/>
          <w:noProof/>
          <w:color w:val="000000" w:themeColor="text1"/>
          <w:sz w:val="22"/>
          <w:szCs w:val="22"/>
          <w:lang w:val="es-CO" w:eastAsia="es-CO"/>
        </w:rPr>
        <mc:AlternateContent>
          <mc:Choice Requires="wps">
            <w:drawing>
              <wp:anchor distT="0" distB="0" distL="114300" distR="114300" simplePos="0" relativeHeight="251687936" behindDoc="0" locked="0" layoutInCell="1" allowOverlap="1" wp14:anchorId="1750762A" wp14:editId="49C82CE0">
                <wp:simplePos x="0" y="0"/>
                <wp:positionH relativeFrom="column">
                  <wp:posOffset>2114550</wp:posOffset>
                </wp:positionH>
                <wp:positionV relativeFrom="paragraph">
                  <wp:posOffset>4972050</wp:posOffset>
                </wp:positionV>
                <wp:extent cx="2838450" cy="1403985"/>
                <wp:effectExtent l="0" t="0" r="19050" b="19050"/>
                <wp:wrapNone/>
                <wp:docPr id="2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1403985"/>
                        </a:xfrm>
                        <a:prstGeom prst="rect">
                          <a:avLst/>
                        </a:prstGeom>
                        <a:noFill/>
                        <a:ln w="9525">
                          <a:solidFill>
                            <a:schemeClr val="bg1"/>
                          </a:solidFill>
                          <a:miter lim="800000"/>
                          <a:headEnd/>
                          <a:tailEnd/>
                        </a:ln>
                      </wps:spPr>
                      <wps:txbx>
                        <w:txbxContent>
                          <w:p w14:paraId="29DBF749" w14:textId="77777777" w:rsidR="00B00F42" w:rsidRDefault="00B00F42" w:rsidP="00DB1F6F">
                            <w:pPr>
                              <w:rPr>
                                <w:rFonts w:ascii="Arial" w:hAnsi="Arial" w:cs="Arial"/>
                                <w:sz w:val="28"/>
                              </w:rPr>
                            </w:pPr>
                            <w:r>
                              <w:rPr>
                                <w:rFonts w:ascii="Arial" w:hAnsi="Arial" w:cs="Arial"/>
                                <w:sz w:val="28"/>
                              </w:rPr>
                              <w:t>Proceso</w:t>
                            </w:r>
                          </w:p>
                          <w:p w14:paraId="1DA6B56A" w14:textId="65E689DB" w:rsidR="00DB1F6F" w:rsidRPr="00EC55C7" w:rsidRDefault="00494678" w:rsidP="00DB1F6F">
                            <w:pPr>
                              <w:rPr>
                                <w:rFonts w:ascii="Arial" w:hAnsi="Arial" w:cs="Arial"/>
                                <w:sz w:val="28"/>
                              </w:rPr>
                            </w:pPr>
                            <w:r>
                              <w:rPr>
                                <w:rFonts w:ascii="Arial" w:hAnsi="Arial" w:cs="Arial"/>
                                <w:sz w:val="28"/>
                              </w:rPr>
                              <w:t>Direccionamiento Estratégico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750762A" id="_x0000_s1029" type="#_x0000_t202" style="position:absolute;margin-left:166.5pt;margin-top:391.5pt;width:223.5pt;height:110.55pt;z-index:2516879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" filled="f" strokecolor="white [3212]">
                <v:textbox style="mso-fit-shape-to-text:t">
                  <w:txbxContent>
                    <w:p w14:paraId="29DBF749" w14:textId="77777777" w:rsidR="00B00F42" w:rsidRDefault="00B00F42" w:rsidP="00DB1F6F">
                      <w:pPr>
                        <w:rPr>
                          <w:rFonts w:ascii="Arial" w:hAnsi="Arial" w:cs="Arial"/>
                          <w:sz w:val="28"/>
                        </w:rPr>
                      </w:pPr>
                      <w:r>
                        <w:rPr>
                          <w:rFonts w:ascii="Arial" w:hAnsi="Arial" w:cs="Arial"/>
                          <w:sz w:val="28"/>
                        </w:rPr>
                        <w:t>Proceso</w:t>
                      </w:r>
                    </w:p>
                    <w:p w14:paraId="1DA6B56A" w14:textId="65E689DB" w:rsidR="00DB1F6F" w:rsidRPr="00EC55C7" w:rsidRDefault="00494678" w:rsidP="00DB1F6F">
                      <w:pPr>
                        <w:rPr>
                          <w:rFonts w:ascii="Arial" w:hAnsi="Arial" w:cs="Arial"/>
                          <w:sz w:val="28"/>
                        </w:rPr>
                      </w:pPr>
                      <w:r>
                        <w:rPr>
                          <w:rFonts w:ascii="Arial" w:hAnsi="Arial" w:cs="Arial"/>
                          <w:sz w:val="28"/>
                        </w:rPr>
                        <w:t>Direccionamiento Estratégico</w:t>
                      </w:r>
                    </w:p>
                  </w:txbxContent>
                </v:textbox>
              </v:shape>
            </w:pict>
          </mc:Fallback>
        </mc:AlternateContent>
      </w:r>
      <w:r w:rsidR="00DB1F6F">
        <w:rPr>
          <w:rFonts w:ascii="Arial" w:hAnsi="Arial" w:cs="Arial"/>
          <w:noProof/>
          <w:color w:val="000000" w:themeColor="text1"/>
          <w:sz w:val="22"/>
          <w:szCs w:val="22"/>
          <w:lang w:val="es-CO" w:eastAsia="es-CO"/>
        </w:rPr>
        <mc:AlternateContent>
          <mc:Choice Requires="wps">
            <w:drawing>
              <wp:anchor distT="0" distB="0" distL="114300" distR="114300" simplePos="0" relativeHeight="251688960" behindDoc="0" locked="0" layoutInCell="1" allowOverlap="1" wp14:anchorId="2B3C7C3F" wp14:editId="12EA1CD5">
                <wp:simplePos x="0" y="0"/>
                <wp:positionH relativeFrom="column">
                  <wp:posOffset>1990724</wp:posOffset>
                </wp:positionH>
                <wp:positionV relativeFrom="paragraph">
                  <wp:posOffset>4067175</wp:posOffset>
                </wp:positionV>
                <wp:extent cx="4752975" cy="0"/>
                <wp:effectExtent l="0" t="19050" r="9525" b="19050"/>
                <wp:wrapNone/>
                <wp:docPr id="25" name="25 Conector recto"/>
                <wp:cNvGraphicFramePr/>
                <a:graphic xmlns:a="http://schemas.openxmlformats.org/drawingml/2006/main">
                  <a:graphicData uri="http://schemas.microsoft.com/office/word/2010/wordprocessingShape">
                    <wps:wsp>
                      <wps:cNvCnPr/>
                      <wps:spPr>
                        <a:xfrm>
                          <a:off x="0" y="0"/>
                          <a:ext cx="4752975"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A2FB5A7" id="25 Conector recto" o:spid="_x0000_s1026" style="position:absolute;z-index:251688960;visibility:visible;mso-wrap-style:square;mso-wrap-distance-left:9pt;mso-wrap-distance-top:0;mso-wrap-distance-right:9pt;mso-wrap-distance-bottom:0;mso-position-horizontal:absolute;mso-position-horizontal-relative:text;mso-position-vertical:absolute;mso-position-vertical-relative:text" from="156.75pt,320.25pt" to="531pt,320.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" strokecolor="#4579b8 [3044]" strokeweight="2.25pt"/>
            </w:pict>
          </mc:Fallback>
        </mc:AlternateContent>
      </w:r>
      <w:r w:rsidR="00DB1F6F" w:rsidRPr="00EC55C7">
        <w:rPr>
          <w:rFonts w:ascii="Arial" w:hAnsi="Arial" w:cs="Arial"/>
          <w:noProof/>
          <w:color w:val="000000" w:themeColor="text1"/>
          <w:sz w:val="22"/>
          <w:szCs w:val="22"/>
          <w:lang w:val="es-CO" w:eastAsia="es-CO"/>
        </w:rPr>
        <mc:AlternateContent>
          <mc:Choice Requires="wps">
            <w:drawing>
              <wp:anchor distT="0" distB="0" distL="114300" distR="114300" simplePos="0" relativeHeight="251682816" behindDoc="0" locked="0" layoutInCell="1" allowOverlap="1" wp14:anchorId="4741F981" wp14:editId="3E4B901B">
                <wp:simplePos x="0" y="0"/>
                <wp:positionH relativeFrom="column">
                  <wp:posOffset>1990725</wp:posOffset>
                </wp:positionH>
                <wp:positionV relativeFrom="paragraph">
                  <wp:posOffset>1733550</wp:posOffset>
                </wp:positionV>
                <wp:extent cx="4752975" cy="2381250"/>
                <wp:effectExtent l="0" t="0" r="28575" b="19050"/>
                <wp:wrapNone/>
                <wp:docPr id="2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2975" cy="2381250"/>
                        </a:xfrm>
                        <a:prstGeom prst="rect">
                          <a:avLst/>
                        </a:prstGeom>
                        <a:solidFill>
                          <a:srgbClr val="F7F7F3"/>
                        </a:solidFill>
                        <a:ln w="9525">
                          <a:solidFill>
                            <a:schemeClr val="bg1"/>
                          </a:solidFill>
                          <a:miter lim="800000"/>
                          <a:headEnd/>
                          <a:tailEnd/>
                        </a:ln>
                      </wps:spPr>
                      <wps:txbx>
                        <w:txbxContent>
                          <w:p w14:paraId="7BCE478E" w14:textId="77777777" w:rsidR="00DB1F6F" w:rsidRDefault="00DB1F6F" w:rsidP="00DB1F6F">
                            <w:pPr>
                              <w:jc w:val="center"/>
                              <w:rPr>
                                <w:rFonts w:ascii="Arial" w:hAnsi="Arial" w:cs="Arial"/>
                                <w:sz w:val="28"/>
                              </w:rPr>
                            </w:pPr>
                          </w:p>
                          <w:p w14:paraId="0865D83B" w14:textId="77777777" w:rsidR="00DB1F6F" w:rsidRDefault="00DB1F6F" w:rsidP="00DB1F6F">
                            <w:pPr>
                              <w:jc w:val="center"/>
                              <w:rPr>
                                <w:rFonts w:ascii="Arial" w:hAnsi="Arial" w:cs="Arial"/>
                                <w:sz w:val="28"/>
                              </w:rPr>
                            </w:pPr>
                          </w:p>
                          <w:p w14:paraId="1AB678D3" w14:textId="14426E90" w:rsidR="00FF509B" w:rsidRDefault="00DB1F6F" w:rsidP="00DB1F6F">
                            <w:pPr>
                              <w:jc w:val="center"/>
                              <w:rPr>
                                <w:rFonts w:ascii="Arial" w:hAnsi="Arial" w:cs="Arial"/>
                                <w:sz w:val="28"/>
                              </w:rPr>
                            </w:pPr>
                            <w:r>
                              <w:rPr>
                                <w:rFonts w:ascii="Arial" w:hAnsi="Arial" w:cs="Arial"/>
                                <w:sz w:val="28"/>
                              </w:rPr>
                              <w:t>INSTITUTO DISTRITAL DE PATRIMONIO CULTURAL</w:t>
                            </w:r>
                          </w:p>
                          <w:p w14:paraId="539855D7" w14:textId="77777777" w:rsidR="00DB1F6F" w:rsidRDefault="00DB1F6F" w:rsidP="00FF509B">
                            <w:pPr>
                              <w:rPr>
                                <w:rFonts w:ascii="Arial" w:hAnsi="Arial" w:cs="Arial"/>
                                <w:sz w:val="28"/>
                              </w:rPr>
                            </w:pPr>
                          </w:p>
                          <w:p w14:paraId="1621F68B" w14:textId="77777777" w:rsidR="00DB1F6F" w:rsidRDefault="00DB1F6F" w:rsidP="00FF509B">
                            <w:pPr>
                              <w:rPr>
                                <w:rFonts w:ascii="Arial" w:hAnsi="Arial" w:cs="Arial"/>
                                <w:sz w:val="28"/>
                              </w:rPr>
                            </w:pPr>
                          </w:p>
                          <w:p w14:paraId="5BF46A9D" w14:textId="6653EA42" w:rsidR="00DB1F6F" w:rsidRDefault="00DB1F6F" w:rsidP="00DB1F6F">
                            <w:pPr>
                              <w:jc w:val="center"/>
                              <w:rPr>
                                <w:rFonts w:ascii="Arial" w:hAnsi="Arial" w:cs="Arial"/>
                                <w:sz w:val="28"/>
                              </w:rPr>
                            </w:pPr>
                            <w:r>
                              <w:rPr>
                                <w:noProof/>
                                <w:lang w:val="es-CO" w:eastAsia="es-CO"/>
                              </w:rPr>
                              <w:drawing>
                                <wp:inline distT="0" distB="0" distL="0" distR="0" wp14:anchorId="3C4EDB77" wp14:editId="384636E1">
                                  <wp:extent cx="1226295" cy="100965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DPC.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42176" cy="1022726"/>
                                          </a:xfrm>
                                          <a:prstGeom prst="rect">
                                            <a:avLst/>
                                          </a:prstGeom>
                                        </pic:spPr>
                                      </pic:pic>
                                    </a:graphicData>
                                  </a:graphic>
                                </wp:inline>
                              </w:drawing>
                            </w:r>
                          </w:p>
                          <w:p w14:paraId="4AAAF24A" w14:textId="64CF0B1F" w:rsidR="00DB1F6F" w:rsidRPr="00EC55C7" w:rsidRDefault="00DB1F6F" w:rsidP="00FF509B">
                            <w:pPr>
                              <w:rPr>
                                <w:rFonts w:ascii="Arial" w:hAnsi="Arial" w:cs="Arial"/>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41F981" id="_x0000_s1030" type="#_x0000_t202" style="position:absolute;margin-left:156.75pt;margin-top:136.5pt;width:374.25pt;height:18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" fillcolor="#f7f7f3" strokecolor="white [3212]">
                <v:textbox>
                  <w:txbxContent>
                    <w:p w14:paraId="7BCE478E" w14:textId="77777777" w:rsidR="00DB1F6F" w:rsidRDefault="00DB1F6F" w:rsidP="00DB1F6F">
                      <w:pPr>
                        <w:jc w:val="center"/>
                        <w:rPr>
                          <w:rFonts w:ascii="Arial" w:hAnsi="Arial" w:cs="Arial"/>
                          <w:sz w:val="28"/>
                        </w:rPr>
                      </w:pPr>
                    </w:p>
                    <w:p w14:paraId="0865D83B" w14:textId="77777777" w:rsidR="00DB1F6F" w:rsidRDefault="00DB1F6F" w:rsidP="00DB1F6F">
                      <w:pPr>
                        <w:jc w:val="center"/>
                        <w:rPr>
                          <w:rFonts w:ascii="Arial" w:hAnsi="Arial" w:cs="Arial"/>
                          <w:sz w:val="28"/>
                        </w:rPr>
                      </w:pPr>
                    </w:p>
                    <w:p w14:paraId="1AB678D3" w14:textId="14426E90" w:rsidR="00FF509B" w:rsidRDefault="00DB1F6F" w:rsidP="00DB1F6F">
                      <w:pPr>
                        <w:jc w:val="center"/>
                        <w:rPr>
                          <w:rFonts w:ascii="Arial" w:hAnsi="Arial" w:cs="Arial"/>
                          <w:sz w:val="28"/>
                        </w:rPr>
                      </w:pPr>
                      <w:r>
                        <w:rPr>
                          <w:rFonts w:ascii="Arial" w:hAnsi="Arial" w:cs="Arial"/>
                          <w:sz w:val="28"/>
                        </w:rPr>
                        <w:t>INSTITUTO DISTRITAL DE PATRIMONIO CULTURAL</w:t>
                      </w:r>
                    </w:p>
                    <w:p w14:paraId="539855D7" w14:textId="77777777" w:rsidR="00DB1F6F" w:rsidRDefault="00DB1F6F" w:rsidP="00FF509B">
                      <w:pPr>
                        <w:rPr>
                          <w:rFonts w:ascii="Arial" w:hAnsi="Arial" w:cs="Arial"/>
                          <w:sz w:val="28"/>
                        </w:rPr>
                      </w:pPr>
                    </w:p>
                    <w:p w14:paraId="1621F68B" w14:textId="77777777" w:rsidR="00DB1F6F" w:rsidRDefault="00DB1F6F" w:rsidP="00FF509B">
                      <w:pPr>
                        <w:rPr>
                          <w:rFonts w:ascii="Arial" w:hAnsi="Arial" w:cs="Arial"/>
                          <w:sz w:val="28"/>
                        </w:rPr>
                      </w:pPr>
                    </w:p>
                    <w:p w14:paraId="5BF46A9D" w14:textId="6653EA42" w:rsidR="00DB1F6F" w:rsidRDefault="00DB1F6F" w:rsidP="00DB1F6F">
                      <w:pPr>
                        <w:jc w:val="center"/>
                        <w:rPr>
                          <w:rFonts w:ascii="Arial" w:hAnsi="Arial" w:cs="Arial"/>
                          <w:sz w:val="28"/>
                        </w:rPr>
                      </w:pPr>
                      <w:r>
                        <w:rPr>
                          <w:noProof/>
                          <w:lang w:val="es-CO" w:eastAsia="es-CO"/>
                        </w:rPr>
                        <w:drawing>
                          <wp:inline distT="0" distB="0" distL="0" distR="0" wp14:anchorId="3C4EDB77" wp14:editId="384636E1">
                            <wp:extent cx="1226295" cy="100965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DPC.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42176" cy="1022726"/>
                                    </a:xfrm>
                                    <a:prstGeom prst="rect">
                                      <a:avLst/>
                                    </a:prstGeom>
                                  </pic:spPr>
                                </pic:pic>
                              </a:graphicData>
                            </a:graphic>
                          </wp:inline>
                        </w:drawing>
                      </w:r>
                    </w:p>
                    <w:p w14:paraId="4AAAF24A" w14:textId="64CF0B1F" w:rsidR="00DB1F6F" w:rsidRPr="00EC55C7" w:rsidRDefault="00DB1F6F" w:rsidP="00FF509B">
                      <w:pPr>
                        <w:rPr>
                          <w:rFonts w:ascii="Arial" w:hAnsi="Arial" w:cs="Arial"/>
                          <w:sz w:val="28"/>
                        </w:rPr>
                      </w:pPr>
                    </w:p>
                  </w:txbxContent>
                </v:textbox>
              </v:shape>
            </w:pict>
          </mc:Fallback>
        </mc:AlternateContent>
      </w:r>
      <w:r w:rsidR="00FF509B" w:rsidRPr="003624AF">
        <w:rPr>
          <w:rFonts w:ascii="Arial" w:hAnsi="Arial" w:cs="Arial"/>
          <w:noProof/>
          <w:color w:val="000000" w:themeColor="text1"/>
          <w:sz w:val="22"/>
          <w:szCs w:val="22"/>
          <w:lang w:val="es-CO" w:eastAsia="es-CO"/>
        </w:rPr>
        <w:drawing>
          <wp:anchor distT="0" distB="0" distL="114300" distR="114300" simplePos="0" relativeHeight="251660288" behindDoc="1" locked="0" layoutInCell="1" allowOverlap="1" wp14:anchorId="6D4B12D4" wp14:editId="2DC4FE11">
            <wp:simplePos x="0" y="0"/>
            <wp:positionH relativeFrom="page">
              <wp:posOffset>139700</wp:posOffset>
            </wp:positionH>
            <wp:positionV relativeFrom="page">
              <wp:posOffset>165100</wp:posOffset>
            </wp:positionV>
            <wp:extent cx="7412355" cy="9593580"/>
            <wp:effectExtent l="0" t="0" r="0" b="762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ortada word.jpg"/>
                    <pic:cNvPicPr/>
                  </pic:nvPicPr>
                  <pic:blipFill>
                    <a:blip r:embed="rId10">
                      <a:extLst>
                        <a:ext uri="{28A0092B-C50C-407E-A947-70E740481C1C}">
                          <a14:useLocalDpi xmlns:a14="http://schemas.microsoft.com/office/drawing/2010/main" val="0"/>
                        </a:ext>
                      </a:extLst>
                    </a:blip>
                    <a:stretch>
                      <a:fillRect/>
                    </a:stretch>
                  </pic:blipFill>
                  <pic:spPr>
                    <a:xfrm>
                      <a:off x="0" y="0"/>
                      <a:ext cx="7412355" cy="9593580"/>
                    </a:xfrm>
                    <a:prstGeom prst="rect">
                      <a:avLst/>
                    </a:prstGeom>
                  </pic:spPr>
                </pic:pic>
              </a:graphicData>
            </a:graphic>
            <wp14:sizeRelH relativeFrom="margin">
              <wp14:pctWidth>0</wp14:pctWidth>
            </wp14:sizeRelH>
            <wp14:sizeRelV relativeFrom="margin">
              <wp14:pctHeight>0</wp14:pctHeight>
            </wp14:sizeRelV>
          </wp:anchor>
        </w:drawing>
      </w:r>
      <w:sdt>
        <w:sdtPr>
          <w:rPr>
            <w:rFonts w:ascii="Arial" w:hAnsi="Arial" w:cs="Arial"/>
            <w:color w:val="000000" w:themeColor="text1"/>
            <w:sz w:val="22"/>
            <w:szCs w:val="22"/>
          </w:rPr>
          <w:id w:val="-1340157577"/>
          <w:docPartObj>
            <w:docPartGallery w:val="Cover Pages"/>
            <w:docPartUnique/>
          </w:docPartObj>
        </w:sdtPr>
        <w:sdtEndPr/>
        <w:sdtContent>
          <w:r w:rsidR="00F2410E">
            <w:rPr>
              <w:rFonts w:ascii="Arial" w:hAnsi="Arial" w:cs="Arial"/>
              <w:color w:val="000000" w:themeColor="text1"/>
              <w:sz w:val="22"/>
              <w:szCs w:val="22"/>
            </w:rPr>
            <w:br w:type="page"/>
          </w:r>
        </w:sdtContent>
      </w:sdt>
    </w:p>
    <w:p w14:paraId="20F6713F" w14:textId="77777777" w:rsidR="00D9407E" w:rsidRDefault="00D9407E" w:rsidP="00D9407E">
      <w:pPr>
        <w:rPr>
          <w:lang w:val="es-ES_tradnl"/>
        </w:rPr>
      </w:pPr>
      <w:bookmarkStart w:id="3" w:name="_Toc181004292"/>
    </w:p>
    <w:p w14:paraId="29634811" w14:textId="3B18B028" w:rsidR="00D9407E" w:rsidRPr="00D9407E" w:rsidRDefault="00D9407E" w:rsidP="00D9407E">
      <w:pPr>
        <w:jc w:val="center"/>
        <w:rPr>
          <w:rFonts w:ascii="Arial" w:hAnsi="Arial" w:cs="Arial"/>
          <w:b/>
          <w:color w:val="17365D" w:themeColor="text2" w:themeShade="BF"/>
          <w:sz w:val="36"/>
          <w:szCs w:val="28"/>
          <w:lang w:val="es-ES_tradnl"/>
        </w:rPr>
      </w:pPr>
      <w:r w:rsidRPr="00D9407E">
        <w:rPr>
          <w:rFonts w:ascii="Arial" w:hAnsi="Arial" w:cs="Arial"/>
          <w:b/>
          <w:color w:val="17365D" w:themeColor="text2" w:themeShade="BF"/>
          <w:sz w:val="36"/>
          <w:szCs w:val="28"/>
          <w:lang w:val="es-ES_tradnl"/>
        </w:rPr>
        <w:t>TABLA DE CONTENIDO</w:t>
      </w:r>
    </w:p>
    <w:p w14:paraId="60D08745" w14:textId="77777777" w:rsidR="00D9407E" w:rsidRDefault="00D9407E" w:rsidP="00D9407E">
      <w:pPr>
        <w:rPr>
          <w:sz w:val="28"/>
          <w:szCs w:val="28"/>
          <w:lang w:val="es-ES_tradnl"/>
        </w:rPr>
      </w:pPr>
    </w:p>
    <w:p w14:paraId="057456F6" w14:textId="77777777" w:rsidR="00D9407E" w:rsidRDefault="00D9407E" w:rsidP="00D9407E">
      <w:pPr>
        <w:rPr>
          <w:sz w:val="28"/>
          <w:szCs w:val="28"/>
          <w:lang w:val="es-ES_tradnl"/>
        </w:rPr>
      </w:pPr>
    </w:p>
    <w:p w14:paraId="5B38DB48" w14:textId="77777777" w:rsidR="00D9407E" w:rsidRDefault="00D9407E" w:rsidP="00D9407E">
      <w:pPr>
        <w:rPr>
          <w:sz w:val="28"/>
          <w:szCs w:val="28"/>
          <w:lang w:val="es-ES_tradnl"/>
        </w:rPr>
      </w:pPr>
    </w:p>
    <w:p w14:paraId="16A7C7DC" w14:textId="77777777" w:rsidR="00D9407E" w:rsidRPr="00D9407E" w:rsidRDefault="00D9407E" w:rsidP="00C91088">
      <w:pPr>
        <w:pStyle w:val="Prrafodelista"/>
        <w:numPr>
          <w:ilvl w:val="0"/>
          <w:numId w:val="10"/>
        </w:numPr>
        <w:rPr>
          <w:rFonts w:ascii="Arial" w:hAnsi="Arial" w:cs="Arial"/>
          <w:sz w:val="24"/>
          <w:szCs w:val="28"/>
          <w:lang w:val="es-ES_tradnl"/>
        </w:rPr>
      </w:pPr>
      <w:r w:rsidRPr="00D9407E">
        <w:rPr>
          <w:rFonts w:ascii="Arial" w:hAnsi="Arial" w:cs="Arial"/>
          <w:sz w:val="24"/>
          <w:szCs w:val="28"/>
          <w:lang w:val="es-ES_tradnl"/>
        </w:rPr>
        <w:t>Objeto</w:t>
      </w:r>
    </w:p>
    <w:p w14:paraId="3DAAEF6E" w14:textId="77777777" w:rsidR="00D9407E" w:rsidRPr="00D9407E" w:rsidRDefault="00D9407E" w:rsidP="00C91088">
      <w:pPr>
        <w:pStyle w:val="Prrafodelista"/>
        <w:numPr>
          <w:ilvl w:val="0"/>
          <w:numId w:val="10"/>
        </w:numPr>
        <w:rPr>
          <w:rFonts w:ascii="Arial" w:hAnsi="Arial" w:cs="Arial"/>
          <w:sz w:val="24"/>
          <w:szCs w:val="28"/>
          <w:lang w:val="es-ES_tradnl"/>
        </w:rPr>
      </w:pPr>
      <w:r w:rsidRPr="00D9407E">
        <w:rPr>
          <w:rFonts w:ascii="Arial" w:hAnsi="Arial" w:cs="Arial"/>
          <w:sz w:val="24"/>
          <w:szCs w:val="28"/>
          <w:lang w:val="es-ES_tradnl"/>
        </w:rPr>
        <w:t>Campo de aplicación</w:t>
      </w:r>
    </w:p>
    <w:p w14:paraId="61B024C1" w14:textId="77777777" w:rsidR="00D9407E" w:rsidRPr="00D9407E" w:rsidRDefault="00D9407E" w:rsidP="00C91088">
      <w:pPr>
        <w:pStyle w:val="Prrafodelista"/>
        <w:numPr>
          <w:ilvl w:val="0"/>
          <w:numId w:val="10"/>
        </w:numPr>
        <w:rPr>
          <w:rFonts w:ascii="Arial" w:hAnsi="Arial" w:cs="Arial"/>
          <w:sz w:val="24"/>
          <w:szCs w:val="28"/>
          <w:lang w:val="es-ES_tradnl"/>
        </w:rPr>
      </w:pPr>
      <w:r w:rsidRPr="00D9407E">
        <w:rPr>
          <w:rFonts w:ascii="Arial" w:hAnsi="Arial" w:cs="Arial"/>
          <w:sz w:val="24"/>
          <w:szCs w:val="28"/>
          <w:lang w:val="es-ES_tradnl"/>
        </w:rPr>
        <w:t>Implementación de la metodología</w:t>
      </w:r>
    </w:p>
    <w:p w14:paraId="3D7ED921" w14:textId="77777777" w:rsidR="00D9407E" w:rsidRPr="00D9407E" w:rsidRDefault="00D9407E" w:rsidP="00C91088">
      <w:pPr>
        <w:pStyle w:val="Prrafodelista"/>
        <w:numPr>
          <w:ilvl w:val="0"/>
          <w:numId w:val="10"/>
        </w:numPr>
        <w:rPr>
          <w:rFonts w:ascii="Arial" w:hAnsi="Arial" w:cs="Arial"/>
          <w:sz w:val="24"/>
          <w:szCs w:val="28"/>
          <w:lang w:val="es-ES_tradnl"/>
        </w:rPr>
      </w:pPr>
      <w:r w:rsidRPr="00D9407E">
        <w:rPr>
          <w:rFonts w:ascii="Arial" w:hAnsi="Arial" w:cs="Arial"/>
          <w:sz w:val="24"/>
          <w:szCs w:val="28"/>
          <w:lang w:val="es-ES_tradnl"/>
        </w:rPr>
        <w:t>Diseño de la estrategia de rendición de cuentas</w:t>
      </w:r>
    </w:p>
    <w:p w14:paraId="465C98BC" w14:textId="77777777" w:rsidR="00D9407E" w:rsidRPr="00D9407E" w:rsidRDefault="00D9407E" w:rsidP="00C91088">
      <w:pPr>
        <w:pStyle w:val="Prrafodelista"/>
        <w:numPr>
          <w:ilvl w:val="0"/>
          <w:numId w:val="10"/>
        </w:numPr>
        <w:rPr>
          <w:rFonts w:ascii="Arial" w:hAnsi="Arial" w:cs="Arial"/>
          <w:sz w:val="24"/>
          <w:szCs w:val="28"/>
          <w:lang w:val="es-ES_tradnl"/>
        </w:rPr>
      </w:pPr>
      <w:r w:rsidRPr="00D9407E">
        <w:rPr>
          <w:rFonts w:ascii="Arial" w:hAnsi="Arial" w:cs="Arial"/>
          <w:sz w:val="24"/>
          <w:szCs w:val="28"/>
          <w:lang w:val="es-ES_tradnl"/>
        </w:rPr>
        <w:t xml:space="preserve">Líneas de acción – mecanismos utilizados </w:t>
      </w:r>
    </w:p>
    <w:p w14:paraId="695C44A7" w14:textId="77777777" w:rsidR="00D9407E" w:rsidRPr="00D9407E" w:rsidRDefault="00D9407E" w:rsidP="00C91088">
      <w:pPr>
        <w:pStyle w:val="Prrafodelista"/>
        <w:numPr>
          <w:ilvl w:val="0"/>
          <w:numId w:val="10"/>
        </w:numPr>
        <w:rPr>
          <w:rFonts w:ascii="Arial" w:hAnsi="Arial" w:cs="Arial"/>
          <w:sz w:val="24"/>
          <w:szCs w:val="28"/>
          <w:lang w:val="es-ES_tradnl"/>
        </w:rPr>
      </w:pPr>
      <w:r w:rsidRPr="00D9407E">
        <w:rPr>
          <w:rFonts w:ascii="Arial" w:hAnsi="Arial" w:cs="Arial"/>
          <w:sz w:val="24"/>
          <w:szCs w:val="28"/>
          <w:lang w:val="es-ES_tradnl"/>
        </w:rPr>
        <w:t>Enfoque derechos humanos</w:t>
      </w:r>
    </w:p>
    <w:p w14:paraId="13C2AB23" w14:textId="77777777" w:rsidR="00D9407E" w:rsidRPr="00D9407E" w:rsidRDefault="00D9407E" w:rsidP="00C91088">
      <w:pPr>
        <w:pStyle w:val="Prrafodelista"/>
        <w:numPr>
          <w:ilvl w:val="0"/>
          <w:numId w:val="10"/>
        </w:numPr>
        <w:rPr>
          <w:rFonts w:ascii="Arial" w:hAnsi="Arial" w:cs="Arial"/>
          <w:sz w:val="24"/>
          <w:szCs w:val="28"/>
          <w:lang w:val="es-ES_tradnl"/>
        </w:rPr>
      </w:pPr>
      <w:r w:rsidRPr="00D9407E">
        <w:rPr>
          <w:rFonts w:ascii="Arial" w:hAnsi="Arial" w:cs="Arial"/>
          <w:sz w:val="24"/>
          <w:szCs w:val="28"/>
          <w:lang w:val="es-ES_tradnl"/>
        </w:rPr>
        <w:t>Verificación</w:t>
      </w:r>
    </w:p>
    <w:p w14:paraId="2E2C29D8" w14:textId="77777777" w:rsidR="00D9407E" w:rsidRPr="00D9407E" w:rsidRDefault="00D9407E" w:rsidP="00C91088">
      <w:pPr>
        <w:pStyle w:val="Prrafodelista"/>
        <w:numPr>
          <w:ilvl w:val="0"/>
          <w:numId w:val="10"/>
        </w:numPr>
        <w:rPr>
          <w:rFonts w:ascii="Arial" w:hAnsi="Arial" w:cs="Arial"/>
          <w:sz w:val="24"/>
          <w:szCs w:val="28"/>
          <w:lang w:val="es-ES_tradnl"/>
        </w:rPr>
      </w:pPr>
      <w:r w:rsidRPr="00D9407E">
        <w:rPr>
          <w:rFonts w:ascii="Arial" w:hAnsi="Arial" w:cs="Arial"/>
          <w:sz w:val="24"/>
          <w:szCs w:val="28"/>
          <w:lang w:val="es-ES_tradnl"/>
        </w:rPr>
        <w:t>Monitoreo</w:t>
      </w:r>
    </w:p>
    <w:p w14:paraId="6F4E0BEC" w14:textId="77777777" w:rsidR="00D9407E" w:rsidRDefault="00D9407E" w:rsidP="00D9407E">
      <w:pPr>
        <w:rPr>
          <w:lang w:val="es-ES_tradnl"/>
        </w:rPr>
      </w:pPr>
    </w:p>
    <w:p w14:paraId="202C4F60" w14:textId="77777777" w:rsidR="00D9407E" w:rsidRDefault="00D9407E" w:rsidP="00D9407E">
      <w:pPr>
        <w:rPr>
          <w:lang w:val="es-ES_tradnl"/>
        </w:rPr>
      </w:pPr>
    </w:p>
    <w:p w14:paraId="5EEDEC44" w14:textId="77777777" w:rsidR="00D9407E" w:rsidRDefault="00D9407E" w:rsidP="00D9407E">
      <w:pPr>
        <w:rPr>
          <w:lang w:val="es-ES_tradnl"/>
        </w:rPr>
      </w:pPr>
    </w:p>
    <w:p w14:paraId="688DD719" w14:textId="77777777" w:rsidR="00D9407E" w:rsidRDefault="00D9407E" w:rsidP="00D9407E">
      <w:pPr>
        <w:rPr>
          <w:lang w:val="es-ES_tradnl"/>
        </w:rPr>
      </w:pPr>
    </w:p>
    <w:p w14:paraId="2481D797" w14:textId="77777777" w:rsidR="00D9407E" w:rsidRDefault="00D9407E" w:rsidP="00D9407E">
      <w:pPr>
        <w:rPr>
          <w:lang w:val="es-ES_tradnl"/>
        </w:rPr>
      </w:pPr>
    </w:p>
    <w:p w14:paraId="243878D9" w14:textId="77777777" w:rsidR="00D9407E" w:rsidRDefault="00D9407E" w:rsidP="00D9407E">
      <w:pPr>
        <w:rPr>
          <w:lang w:val="es-ES_tradnl"/>
        </w:rPr>
      </w:pPr>
    </w:p>
    <w:p w14:paraId="2580F121" w14:textId="77777777" w:rsidR="00D9407E" w:rsidRDefault="00D9407E" w:rsidP="00D9407E">
      <w:pPr>
        <w:rPr>
          <w:lang w:val="es-ES_tradnl"/>
        </w:rPr>
      </w:pPr>
    </w:p>
    <w:p w14:paraId="5EAF3FBA" w14:textId="77777777" w:rsidR="00D9407E" w:rsidRDefault="00D9407E" w:rsidP="00D9407E">
      <w:pPr>
        <w:rPr>
          <w:lang w:val="es-ES_tradnl"/>
        </w:rPr>
      </w:pPr>
    </w:p>
    <w:p w14:paraId="042C9A04" w14:textId="77777777" w:rsidR="00D9407E" w:rsidRDefault="00D9407E" w:rsidP="00D9407E">
      <w:pPr>
        <w:rPr>
          <w:lang w:val="es-ES_tradnl"/>
        </w:rPr>
      </w:pPr>
    </w:p>
    <w:p w14:paraId="3E1D3DF5" w14:textId="77777777" w:rsidR="00D9407E" w:rsidRDefault="00D9407E" w:rsidP="00D9407E">
      <w:pPr>
        <w:rPr>
          <w:lang w:val="es-ES_tradnl"/>
        </w:rPr>
      </w:pPr>
    </w:p>
    <w:p w14:paraId="02DEA3D1" w14:textId="77777777" w:rsidR="00D9407E" w:rsidRDefault="00D9407E" w:rsidP="00D9407E">
      <w:pPr>
        <w:rPr>
          <w:lang w:val="es-ES_tradnl"/>
        </w:rPr>
      </w:pPr>
    </w:p>
    <w:p w14:paraId="323F4B2A" w14:textId="77777777" w:rsidR="00D9407E" w:rsidRDefault="00D9407E" w:rsidP="00D9407E">
      <w:pPr>
        <w:rPr>
          <w:lang w:val="es-ES_tradnl"/>
        </w:rPr>
      </w:pPr>
    </w:p>
    <w:p w14:paraId="4133539D" w14:textId="77777777" w:rsidR="00D9407E" w:rsidRDefault="00D9407E" w:rsidP="00D9407E">
      <w:pPr>
        <w:rPr>
          <w:lang w:val="es-ES_tradnl"/>
        </w:rPr>
      </w:pPr>
    </w:p>
    <w:p w14:paraId="691B9835" w14:textId="77777777" w:rsidR="00D9407E" w:rsidRDefault="00D9407E" w:rsidP="00D9407E">
      <w:pPr>
        <w:rPr>
          <w:lang w:val="es-ES_tradnl"/>
        </w:rPr>
      </w:pPr>
    </w:p>
    <w:p w14:paraId="62AB11DA" w14:textId="77777777" w:rsidR="00D9407E" w:rsidRDefault="00D9407E" w:rsidP="00D9407E">
      <w:pPr>
        <w:rPr>
          <w:lang w:val="es-ES_tradnl"/>
        </w:rPr>
      </w:pPr>
    </w:p>
    <w:p w14:paraId="57D8C7EA" w14:textId="77777777" w:rsidR="00D9407E" w:rsidRDefault="00D9407E" w:rsidP="00D9407E">
      <w:pPr>
        <w:rPr>
          <w:lang w:val="es-ES_tradnl"/>
        </w:rPr>
      </w:pPr>
    </w:p>
    <w:p w14:paraId="327A2F2E" w14:textId="77777777" w:rsidR="00D9407E" w:rsidRDefault="00D9407E" w:rsidP="00D9407E">
      <w:pPr>
        <w:rPr>
          <w:lang w:val="es-ES_tradnl"/>
        </w:rPr>
      </w:pPr>
    </w:p>
    <w:p w14:paraId="1470C304" w14:textId="77777777" w:rsidR="00D9407E" w:rsidRDefault="00D9407E" w:rsidP="00D9407E">
      <w:pPr>
        <w:rPr>
          <w:lang w:val="es-ES_tradnl"/>
        </w:rPr>
      </w:pPr>
    </w:p>
    <w:p w14:paraId="44F638FC" w14:textId="77777777" w:rsidR="00D9407E" w:rsidRDefault="00D9407E" w:rsidP="00D9407E">
      <w:pPr>
        <w:rPr>
          <w:lang w:val="es-ES_tradnl"/>
        </w:rPr>
      </w:pPr>
    </w:p>
    <w:p w14:paraId="34F4EECB" w14:textId="77777777" w:rsidR="00D9407E" w:rsidRDefault="00D9407E" w:rsidP="00D9407E">
      <w:pPr>
        <w:rPr>
          <w:lang w:val="es-ES_tradnl"/>
        </w:rPr>
      </w:pPr>
    </w:p>
    <w:p w14:paraId="3379B405" w14:textId="77777777" w:rsidR="00D9407E" w:rsidRDefault="00D9407E" w:rsidP="00D9407E">
      <w:pPr>
        <w:rPr>
          <w:lang w:val="es-ES_tradnl"/>
        </w:rPr>
      </w:pPr>
    </w:p>
    <w:p w14:paraId="5EFBE839" w14:textId="77777777" w:rsidR="00D9407E" w:rsidRDefault="00D9407E" w:rsidP="00D9407E">
      <w:pPr>
        <w:rPr>
          <w:lang w:val="es-ES_tradnl"/>
        </w:rPr>
      </w:pPr>
    </w:p>
    <w:p w14:paraId="0108CCB2" w14:textId="77777777" w:rsidR="00D9407E" w:rsidRDefault="00D9407E" w:rsidP="00D9407E">
      <w:pPr>
        <w:rPr>
          <w:lang w:val="es-ES_tradnl"/>
        </w:rPr>
      </w:pPr>
    </w:p>
    <w:p w14:paraId="49A1710D" w14:textId="77777777" w:rsidR="00D9407E" w:rsidRDefault="00D9407E" w:rsidP="00D9407E">
      <w:pPr>
        <w:rPr>
          <w:lang w:val="es-ES_tradnl"/>
        </w:rPr>
      </w:pPr>
    </w:p>
    <w:p w14:paraId="517AD5E4" w14:textId="77777777" w:rsidR="00D9407E" w:rsidRDefault="00D9407E" w:rsidP="00D9407E">
      <w:pPr>
        <w:rPr>
          <w:lang w:val="es-ES_tradnl"/>
        </w:rPr>
      </w:pPr>
    </w:p>
    <w:p w14:paraId="706C6CC8" w14:textId="77777777" w:rsidR="00D9407E" w:rsidRDefault="00D9407E" w:rsidP="00D9407E">
      <w:pPr>
        <w:rPr>
          <w:lang w:val="es-ES_tradnl"/>
        </w:rPr>
      </w:pPr>
    </w:p>
    <w:p w14:paraId="0A963683" w14:textId="77777777" w:rsidR="00D9407E" w:rsidRDefault="00D9407E" w:rsidP="00D9407E">
      <w:pPr>
        <w:rPr>
          <w:lang w:val="es-ES_tradnl"/>
        </w:rPr>
      </w:pPr>
    </w:p>
    <w:p w14:paraId="38484B54" w14:textId="77777777" w:rsidR="00D9407E" w:rsidRDefault="00D9407E" w:rsidP="00D9407E">
      <w:pPr>
        <w:rPr>
          <w:lang w:val="es-ES_tradnl"/>
        </w:rPr>
      </w:pPr>
    </w:p>
    <w:p w14:paraId="3FB5EAD3" w14:textId="77777777" w:rsidR="00D9407E" w:rsidRDefault="00D9407E" w:rsidP="00D9407E">
      <w:pPr>
        <w:rPr>
          <w:lang w:val="es-ES_tradnl"/>
        </w:rPr>
      </w:pPr>
    </w:p>
    <w:p w14:paraId="40FE7313" w14:textId="77777777" w:rsidR="00D9407E" w:rsidRDefault="00D9407E" w:rsidP="00D9407E">
      <w:pPr>
        <w:rPr>
          <w:lang w:val="es-ES_tradnl"/>
        </w:rPr>
      </w:pPr>
    </w:p>
    <w:p w14:paraId="7C91723F" w14:textId="77777777" w:rsidR="00D9407E" w:rsidRDefault="00D9407E" w:rsidP="00D9407E">
      <w:pPr>
        <w:rPr>
          <w:lang w:val="es-ES_tradnl"/>
        </w:rPr>
      </w:pPr>
    </w:p>
    <w:p w14:paraId="72D8CCA0" w14:textId="77777777" w:rsidR="00D9407E" w:rsidRDefault="00D9407E" w:rsidP="00D9407E">
      <w:pPr>
        <w:rPr>
          <w:lang w:val="es-ES_tradnl"/>
        </w:rPr>
      </w:pPr>
    </w:p>
    <w:p w14:paraId="3F66077A" w14:textId="77777777" w:rsidR="00D9407E" w:rsidRDefault="00D9407E" w:rsidP="00D9407E">
      <w:pPr>
        <w:rPr>
          <w:lang w:val="es-ES_tradnl"/>
        </w:rPr>
      </w:pPr>
    </w:p>
    <w:p w14:paraId="4839BC4B" w14:textId="77777777" w:rsidR="00D9407E" w:rsidRDefault="00D9407E" w:rsidP="00D9407E">
      <w:pPr>
        <w:rPr>
          <w:lang w:val="es-ES_tradnl"/>
        </w:rPr>
      </w:pPr>
    </w:p>
    <w:p w14:paraId="69F97571" w14:textId="77777777" w:rsidR="00D9407E" w:rsidRDefault="00D9407E" w:rsidP="00D9407E">
      <w:pPr>
        <w:rPr>
          <w:lang w:val="es-ES_tradnl"/>
        </w:rPr>
      </w:pPr>
    </w:p>
    <w:p w14:paraId="022F0BFE" w14:textId="77777777" w:rsidR="00D9407E" w:rsidRDefault="00D9407E" w:rsidP="00D9407E">
      <w:pPr>
        <w:rPr>
          <w:lang w:val="es-ES_tradnl"/>
        </w:rPr>
      </w:pPr>
    </w:p>
    <w:p w14:paraId="69ACA4E9" w14:textId="385B6582" w:rsidR="00D9407E" w:rsidRPr="00D9407E" w:rsidRDefault="005608F6" w:rsidP="00C91088">
      <w:pPr>
        <w:pStyle w:val="Ttulo1"/>
        <w:numPr>
          <w:ilvl w:val="0"/>
          <w:numId w:val="11"/>
        </w:numPr>
        <w:jc w:val="center"/>
        <w:rPr>
          <w:rFonts w:ascii="Arial" w:eastAsiaTheme="minorHAnsi" w:hAnsi="Arial" w:cs="Arial"/>
          <w:sz w:val="44"/>
        </w:rPr>
      </w:pPr>
      <w:r w:rsidRPr="00D9407E">
        <w:rPr>
          <w:rFonts w:ascii="Arial" w:eastAsiaTheme="minorHAnsi" w:hAnsi="Arial" w:cs="Arial"/>
          <w:sz w:val="44"/>
        </w:rPr>
        <w:lastRenderedPageBreak/>
        <w:t>OBJETIVO</w:t>
      </w:r>
    </w:p>
    <w:p w14:paraId="1F3F5EC8" w14:textId="77777777" w:rsidR="00D9407E" w:rsidRPr="00D9407E" w:rsidRDefault="00D9407E" w:rsidP="00D9407E">
      <w:pPr>
        <w:jc w:val="both"/>
        <w:rPr>
          <w:rFonts w:ascii="Arial" w:hAnsi="Arial" w:cs="Arial"/>
          <w:sz w:val="22"/>
          <w:szCs w:val="22"/>
        </w:rPr>
      </w:pPr>
    </w:p>
    <w:p w14:paraId="5D23D3DB" w14:textId="77777777" w:rsidR="00D9407E" w:rsidRPr="00D9407E" w:rsidRDefault="00D9407E" w:rsidP="00D9407E">
      <w:pPr>
        <w:jc w:val="both"/>
        <w:rPr>
          <w:rFonts w:ascii="Arial" w:hAnsi="Arial" w:cs="Arial"/>
          <w:sz w:val="22"/>
          <w:szCs w:val="22"/>
        </w:rPr>
      </w:pPr>
      <w:r w:rsidRPr="00D9407E">
        <w:rPr>
          <w:rFonts w:ascii="Arial" w:hAnsi="Arial" w:cs="Arial"/>
          <w:sz w:val="22"/>
          <w:szCs w:val="22"/>
        </w:rPr>
        <w:t>Para el Instituto Distrital de Patrimonio Cultural (IDPC), la rendición permanente de cuentas es un ejercicio de construcción de comunidad, orientado fundamentalmente al ciudadano, para informarlo y hacerlo partícipe de las decisiones que se han tomado en la ciudad; dando cuenta de aspectos que los afectan en su calidad y condiciones de vida y de las acciones que desarrolla para garantizar su derecho a la vida cultural, incluida la capacidad de acceder al patrimonio cultural.</w:t>
      </w:r>
    </w:p>
    <w:p w14:paraId="4283510D" w14:textId="77777777" w:rsidR="00D9407E" w:rsidRPr="00D9407E" w:rsidRDefault="00D9407E" w:rsidP="00D9407E">
      <w:pPr>
        <w:jc w:val="both"/>
        <w:rPr>
          <w:rFonts w:ascii="Arial" w:hAnsi="Arial" w:cs="Arial"/>
          <w:sz w:val="22"/>
          <w:szCs w:val="22"/>
        </w:rPr>
      </w:pPr>
    </w:p>
    <w:p w14:paraId="43BDC32C" w14:textId="77777777" w:rsidR="00D9407E" w:rsidRPr="001B3FD8" w:rsidRDefault="00D9407E" w:rsidP="00C91088">
      <w:pPr>
        <w:pStyle w:val="Ttulo1"/>
        <w:numPr>
          <w:ilvl w:val="0"/>
          <w:numId w:val="11"/>
        </w:numPr>
        <w:jc w:val="center"/>
        <w:rPr>
          <w:rFonts w:ascii="Arial" w:eastAsiaTheme="minorHAnsi" w:hAnsi="Arial" w:cs="Arial"/>
          <w:sz w:val="44"/>
        </w:rPr>
      </w:pPr>
      <w:bookmarkStart w:id="4" w:name="_Toc4766398"/>
      <w:r w:rsidRPr="001B3FD8">
        <w:rPr>
          <w:rFonts w:ascii="Arial" w:eastAsiaTheme="minorHAnsi" w:hAnsi="Arial" w:cs="Arial"/>
          <w:sz w:val="44"/>
        </w:rPr>
        <w:t>ALCANCE</w:t>
      </w:r>
      <w:bookmarkEnd w:id="4"/>
    </w:p>
    <w:p w14:paraId="39EC1AEE" w14:textId="77777777" w:rsidR="00D9407E" w:rsidRPr="00D9407E" w:rsidRDefault="00D9407E" w:rsidP="00D9407E">
      <w:pPr>
        <w:jc w:val="both"/>
        <w:rPr>
          <w:rFonts w:ascii="Arial" w:hAnsi="Arial" w:cs="Arial"/>
          <w:sz w:val="22"/>
          <w:szCs w:val="22"/>
        </w:rPr>
      </w:pPr>
    </w:p>
    <w:p w14:paraId="31D1E3F2" w14:textId="77777777" w:rsidR="00D9407E" w:rsidRPr="00D9407E" w:rsidRDefault="00D9407E" w:rsidP="00D9407E">
      <w:pPr>
        <w:jc w:val="both"/>
        <w:rPr>
          <w:rFonts w:ascii="Arial" w:hAnsi="Arial" w:cs="Arial"/>
          <w:sz w:val="22"/>
          <w:szCs w:val="22"/>
        </w:rPr>
      </w:pPr>
      <w:r w:rsidRPr="00D9407E">
        <w:rPr>
          <w:rFonts w:ascii="Arial" w:hAnsi="Arial" w:cs="Arial"/>
          <w:sz w:val="22"/>
          <w:szCs w:val="22"/>
        </w:rPr>
        <w:t>En articulación con la Estrategia de Transparencia, Atención al Ciudadano y Participación, el IDPC adelanta acciones en tres líneas de trabajo:</w:t>
      </w:r>
    </w:p>
    <w:p w14:paraId="5C227954" w14:textId="77777777" w:rsidR="00D9407E" w:rsidRPr="00D9407E" w:rsidRDefault="00D9407E" w:rsidP="00D9407E">
      <w:pPr>
        <w:jc w:val="both"/>
        <w:rPr>
          <w:rFonts w:ascii="Arial" w:hAnsi="Arial" w:cs="Arial"/>
          <w:b/>
          <w:sz w:val="22"/>
          <w:szCs w:val="22"/>
        </w:rPr>
      </w:pPr>
    </w:p>
    <w:p w14:paraId="3195711F" w14:textId="77777777" w:rsidR="00D9407E" w:rsidRPr="00D9407E" w:rsidRDefault="00D9407E" w:rsidP="00D9407E">
      <w:pPr>
        <w:jc w:val="both"/>
        <w:rPr>
          <w:rFonts w:ascii="Arial" w:hAnsi="Arial" w:cs="Arial"/>
          <w:b/>
          <w:sz w:val="22"/>
          <w:szCs w:val="22"/>
        </w:rPr>
      </w:pPr>
      <w:r w:rsidRPr="00D9407E">
        <w:rPr>
          <w:rFonts w:ascii="Arial" w:hAnsi="Arial" w:cs="Arial"/>
          <w:b/>
          <w:sz w:val="22"/>
          <w:szCs w:val="22"/>
        </w:rPr>
        <w:t>Rendición Permanente de Cuentas a la Ciudadanía:</w:t>
      </w:r>
    </w:p>
    <w:p w14:paraId="4D21716D" w14:textId="77777777" w:rsidR="00D9407E" w:rsidRPr="00D9407E" w:rsidRDefault="00D9407E" w:rsidP="00D9407E">
      <w:pPr>
        <w:jc w:val="both"/>
        <w:rPr>
          <w:rFonts w:ascii="Arial" w:hAnsi="Arial" w:cs="Arial"/>
          <w:sz w:val="22"/>
          <w:szCs w:val="22"/>
        </w:rPr>
      </w:pPr>
      <w:r w:rsidRPr="00D9407E">
        <w:rPr>
          <w:rFonts w:ascii="Arial" w:hAnsi="Arial" w:cs="Arial"/>
          <w:sz w:val="22"/>
          <w:szCs w:val="22"/>
        </w:rPr>
        <w:t>Diseño, preparación, ejecución y evaluación de todas las acciones lideradas por IDPC para la rendición de cuentas permanente según el objeto definido en esta estrategia.</w:t>
      </w:r>
    </w:p>
    <w:p w14:paraId="17094129" w14:textId="77777777" w:rsidR="00D9407E" w:rsidRPr="00D9407E" w:rsidRDefault="00D9407E" w:rsidP="00D9407E">
      <w:pPr>
        <w:jc w:val="both"/>
        <w:rPr>
          <w:rFonts w:ascii="Arial" w:hAnsi="Arial" w:cs="Arial"/>
          <w:sz w:val="22"/>
          <w:szCs w:val="22"/>
        </w:rPr>
      </w:pPr>
    </w:p>
    <w:p w14:paraId="59157E36" w14:textId="77777777" w:rsidR="00D9407E" w:rsidRPr="00D9407E" w:rsidRDefault="00D9407E" w:rsidP="00D9407E">
      <w:pPr>
        <w:jc w:val="both"/>
        <w:rPr>
          <w:rFonts w:ascii="Arial" w:hAnsi="Arial" w:cs="Arial"/>
          <w:b/>
          <w:sz w:val="22"/>
          <w:szCs w:val="22"/>
        </w:rPr>
      </w:pPr>
      <w:r w:rsidRPr="00D9407E">
        <w:rPr>
          <w:rFonts w:ascii="Arial" w:hAnsi="Arial" w:cs="Arial"/>
          <w:b/>
          <w:sz w:val="22"/>
          <w:szCs w:val="22"/>
        </w:rPr>
        <w:t xml:space="preserve">Proceso de Rendición de Cuentas Sectorial: </w:t>
      </w:r>
    </w:p>
    <w:p w14:paraId="2897BFED" w14:textId="77777777" w:rsidR="00D9407E" w:rsidRPr="00D9407E" w:rsidRDefault="00D9407E" w:rsidP="00D9407E">
      <w:pPr>
        <w:jc w:val="both"/>
        <w:rPr>
          <w:rFonts w:ascii="Arial" w:hAnsi="Arial" w:cs="Arial"/>
          <w:sz w:val="22"/>
          <w:szCs w:val="22"/>
        </w:rPr>
      </w:pPr>
      <w:r w:rsidRPr="00D9407E">
        <w:rPr>
          <w:rFonts w:ascii="Arial" w:hAnsi="Arial" w:cs="Arial"/>
          <w:sz w:val="22"/>
          <w:szCs w:val="22"/>
        </w:rPr>
        <w:t>Participación de la Entidad en la audiencia pública de rendición de cuentas sectorial y los otros ejercicios que respondan al objeto de la rendición de cuentas definido por el IDPC y que sea adelantado de manera articulada con el Sector de Cultura, Recreación y Deporte.</w:t>
      </w:r>
    </w:p>
    <w:p w14:paraId="60AAA68F" w14:textId="77777777" w:rsidR="00D9407E" w:rsidRPr="00D9407E" w:rsidRDefault="00D9407E" w:rsidP="00D9407E">
      <w:pPr>
        <w:jc w:val="both"/>
        <w:rPr>
          <w:rFonts w:ascii="Arial" w:hAnsi="Arial" w:cs="Arial"/>
          <w:sz w:val="22"/>
          <w:szCs w:val="22"/>
        </w:rPr>
      </w:pPr>
    </w:p>
    <w:p w14:paraId="0DC4B663" w14:textId="77777777" w:rsidR="00D9407E" w:rsidRPr="00D9407E" w:rsidRDefault="00D9407E" w:rsidP="00D9407E">
      <w:pPr>
        <w:jc w:val="both"/>
        <w:rPr>
          <w:rFonts w:ascii="Arial" w:hAnsi="Arial" w:cs="Arial"/>
          <w:b/>
          <w:sz w:val="22"/>
          <w:szCs w:val="22"/>
        </w:rPr>
      </w:pPr>
      <w:r w:rsidRPr="00D9407E">
        <w:rPr>
          <w:rFonts w:ascii="Arial" w:hAnsi="Arial" w:cs="Arial"/>
          <w:b/>
          <w:sz w:val="22"/>
          <w:szCs w:val="22"/>
        </w:rPr>
        <w:t>Mesa de Pactos con el Observatorio Ciudadano Distrital:</w:t>
      </w:r>
    </w:p>
    <w:p w14:paraId="4E959FCC" w14:textId="77777777" w:rsidR="00D9407E" w:rsidRPr="00D9407E" w:rsidRDefault="00D9407E" w:rsidP="00D9407E">
      <w:pPr>
        <w:jc w:val="both"/>
        <w:rPr>
          <w:rFonts w:ascii="Arial" w:hAnsi="Arial" w:cs="Arial"/>
          <w:sz w:val="22"/>
          <w:szCs w:val="22"/>
        </w:rPr>
      </w:pPr>
      <w:r w:rsidRPr="00D9407E">
        <w:rPr>
          <w:rFonts w:ascii="Arial" w:hAnsi="Arial" w:cs="Arial"/>
          <w:sz w:val="22"/>
          <w:szCs w:val="22"/>
        </w:rPr>
        <w:t>Participación periódica del IDPC en las mesas de trabajo convocadas por el Observatorio Ciudadano Distrital acompañado por Veeduría Distrital. Incluye las mesas de firma de pactos y el seguimiento a resultados en Diálogo con la ciudadanía.</w:t>
      </w:r>
    </w:p>
    <w:p w14:paraId="5D2038EA" w14:textId="77777777" w:rsidR="00D9407E" w:rsidRDefault="00D9407E" w:rsidP="00D9407E">
      <w:pPr>
        <w:jc w:val="both"/>
        <w:rPr>
          <w:rFonts w:ascii="Arial" w:hAnsi="Arial" w:cs="Arial"/>
          <w:sz w:val="22"/>
          <w:szCs w:val="22"/>
        </w:rPr>
      </w:pPr>
    </w:p>
    <w:p w14:paraId="2551F296" w14:textId="0DE151A7" w:rsidR="005608F6" w:rsidRPr="005608F6" w:rsidRDefault="005608F6" w:rsidP="00C91088">
      <w:pPr>
        <w:pStyle w:val="Ttulo1"/>
        <w:numPr>
          <w:ilvl w:val="0"/>
          <w:numId w:val="11"/>
        </w:numPr>
        <w:jc w:val="center"/>
        <w:rPr>
          <w:rFonts w:ascii="Arial" w:eastAsiaTheme="minorHAnsi" w:hAnsi="Arial" w:cs="Arial"/>
          <w:sz w:val="44"/>
        </w:rPr>
      </w:pPr>
      <w:r w:rsidRPr="005608F6">
        <w:rPr>
          <w:rFonts w:ascii="Arial" w:eastAsiaTheme="minorHAnsi" w:hAnsi="Arial" w:cs="Arial"/>
          <w:sz w:val="44"/>
        </w:rPr>
        <w:t>CONTENIDO</w:t>
      </w:r>
    </w:p>
    <w:p w14:paraId="53D42D79" w14:textId="77777777" w:rsidR="005608F6" w:rsidRPr="00D9407E" w:rsidRDefault="005608F6" w:rsidP="00D9407E">
      <w:pPr>
        <w:jc w:val="both"/>
        <w:rPr>
          <w:rFonts w:ascii="Arial" w:hAnsi="Arial" w:cs="Arial"/>
          <w:sz w:val="22"/>
          <w:szCs w:val="22"/>
        </w:rPr>
      </w:pPr>
    </w:p>
    <w:p w14:paraId="29709638" w14:textId="174611B6" w:rsidR="00D9407E" w:rsidRPr="005608F6" w:rsidRDefault="005608F6" w:rsidP="00C91088">
      <w:pPr>
        <w:pStyle w:val="Prrafodelista"/>
        <w:numPr>
          <w:ilvl w:val="1"/>
          <w:numId w:val="11"/>
        </w:numPr>
        <w:rPr>
          <w:rFonts w:ascii="Arial" w:hAnsi="Arial" w:cs="Arial"/>
          <w:color w:val="17365D" w:themeColor="text2" w:themeShade="BF"/>
          <w:sz w:val="22"/>
          <w:szCs w:val="22"/>
          <w:lang w:val="es-ES_tradnl"/>
        </w:rPr>
      </w:pPr>
      <w:r w:rsidRPr="005608F6">
        <w:rPr>
          <w:rFonts w:ascii="Arial" w:hAnsi="Arial" w:cs="Arial"/>
          <w:color w:val="17365D" w:themeColor="text2" w:themeShade="BF"/>
          <w:sz w:val="22"/>
          <w:szCs w:val="22"/>
          <w:lang w:val="es-ES_tradnl"/>
        </w:rPr>
        <w:t>Generalidades</w:t>
      </w:r>
    </w:p>
    <w:p w14:paraId="5F3FB690" w14:textId="77777777" w:rsidR="00D9407E" w:rsidRPr="00D9407E" w:rsidRDefault="00D9407E" w:rsidP="00D9407E">
      <w:pPr>
        <w:rPr>
          <w:rFonts w:ascii="Arial" w:hAnsi="Arial" w:cs="Arial"/>
          <w:sz w:val="22"/>
          <w:szCs w:val="22"/>
          <w:lang w:val="es-ES_tradnl"/>
        </w:rPr>
      </w:pPr>
    </w:p>
    <w:p w14:paraId="2A4B9272" w14:textId="77777777" w:rsidR="00D9407E" w:rsidRPr="005608F6" w:rsidRDefault="00D9407E" w:rsidP="00D9407E">
      <w:pPr>
        <w:jc w:val="both"/>
        <w:rPr>
          <w:rFonts w:ascii="Arial" w:hAnsi="Arial" w:cs="Arial"/>
          <w:sz w:val="22"/>
          <w:szCs w:val="22"/>
        </w:rPr>
      </w:pPr>
      <w:r w:rsidRPr="005608F6">
        <w:rPr>
          <w:rFonts w:ascii="Arial" w:hAnsi="Arial" w:cs="Arial"/>
          <w:sz w:val="22"/>
          <w:szCs w:val="22"/>
        </w:rPr>
        <w:t>El Instituto Distrital de Patrimonio Cultural (IDPC) es una entidad pública que promueve y gestiona la preservación y sostenibilidad del patrimonio cultural de Bogotá, mediante la implementación de estrategias y acciones de identificación, valoración, protección, recuperación y divulgación, con el fin de garantizar el ejercicio efectivo de los derechos patrimoniales y culturales de la ciudadanía y afianzar el sentido de apropiación social del patrimonio cultural.</w:t>
      </w:r>
    </w:p>
    <w:p w14:paraId="303DFAFA" w14:textId="77777777" w:rsidR="00D9407E" w:rsidRPr="005608F6" w:rsidRDefault="00D9407E" w:rsidP="00D9407E">
      <w:pPr>
        <w:jc w:val="both"/>
        <w:rPr>
          <w:rFonts w:ascii="Arial" w:hAnsi="Arial" w:cs="Arial"/>
          <w:sz w:val="22"/>
          <w:szCs w:val="22"/>
        </w:rPr>
      </w:pPr>
    </w:p>
    <w:p w14:paraId="54D2214F" w14:textId="77777777" w:rsidR="00D9407E" w:rsidRPr="005608F6" w:rsidRDefault="00D9407E" w:rsidP="00D9407E">
      <w:pPr>
        <w:jc w:val="both"/>
        <w:rPr>
          <w:rFonts w:ascii="Arial" w:hAnsi="Arial" w:cs="Arial"/>
          <w:sz w:val="22"/>
          <w:szCs w:val="22"/>
        </w:rPr>
      </w:pPr>
      <w:r w:rsidRPr="005608F6">
        <w:rPr>
          <w:rFonts w:ascii="Arial" w:hAnsi="Arial" w:cs="Arial"/>
          <w:sz w:val="22"/>
          <w:szCs w:val="22"/>
        </w:rPr>
        <w:t xml:space="preserve">Fue creado desde el año 2007 mediante el Acuerdo 257 del 30 de noviembre de 2006 que transformó la Corporación La Candelaria (entidad creada en 1980 para la conservación y protección del barrio La Candelaria) en el actual IDPC. La entidad cuenta con personería jurídica, patrimonio independiente y </w:t>
      </w:r>
      <w:r w:rsidRPr="005608F6">
        <w:rPr>
          <w:rFonts w:ascii="Arial" w:hAnsi="Arial" w:cs="Arial"/>
          <w:sz w:val="22"/>
          <w:szCs w:val="22"/>
        </w:rPr>
        <w:lastRenderedPageBreak/>
        <w:t>autonomía administrativa y financiera y se encuentra adscrita a la Secretaría de Cultura, Recreación y Deporte.</w:t>
      </w:r>
    </w:p>
    <w:p w14:paraId="1C54C166" w14:textId="77777777" w:rsidR="00D9407E" w:rsidRPr="005608F6" w:rsidRDefault="00D9407E" w:rsidP="00D9407E">
      <w:pPr>
        <w:jc w:val="both"/>
        <w:rPr>
          <w:rFonts w:ascii="Arial" w:hAnsi="Arial" w:cs="Arial"/>
          <w:sz w:val="22"/>
          <w:szCs w:val="22"/>
        </w:rPr>
      </w:pPr>
    </w:p>
    <w:p w14:paraId="7A8C1688" w14:textId="77777777" w:rsidR="00D9407E" w:rsidRPr="005608F6" w:rsidRDefault="00D9407E" w:rsidP="00D9407E">
      <w:pPr>
        <w:jc w:val="both"/>
        <w:rPr>
          <w:rFonts w:ascii="Arial" w:hAnsi="Arial" w:cs="Arial"/>
          <w:sz w:val="22"/>
          <w:szCs w:val="22"/>
        </w:rPr>
      </w:pPr>
      <w:r w:rsidRPr="005608F6">
        <w:rPr>
          <w:rFonts w:ascii="Arial" w:hAnsi="Arial" w:cs="Arial"/>
          <w:sz w:val="22"/>
          <w:szCs w:val="22"/>
        </w:rPr>
        <w:t>El patrimonio cultural se encuentra representado en objetos, edificaciones, sectores urbanos y manifestaciones de carácter cultural que aluden a las múltiples identificaciones, sentidos y apropiaciones que como habitantes de este territorio que es Bogotá, se tiene respecto a la historia y los vínculos con la memoria.</w:t>
      </w:r>
    </w:p>
    <w:p w14:paraId="6B494D40" w14:textId="77777777" w:rsidR="00D9407E" w:rsidRPr="005608F6" w:rsidRDefault="00D9407E" w:rsidP="00D9407E">
      <w:pPr>
        <w:jc w:val="both"/>
        <w:rPr>
          <w:rFonts w:ascii="Arial" w:hAnsi="Arial" w:cs="Arial"/>
          <w:sz w:val="22"/>
          <w:szCs w:val="22"/>
        </w:rPr>
      </w:pPr>
    </w:p>
    <w:p w14:paraId="76257507" w14:textId="77777777" w:rsidR="00D9407E" w:rsidRPr="005608F6" w:rsidRDefault="00D9407E" w:rsidP="00D9407E">
      <w:pPr>
        <w:jc w:val="both"/>
        <w:rPr>
          <w:rFonts w:ascii="Arial" w:hAnsi="Arial" w:cs="Arial"/>
          <w:sz w:val="22"/>
          <w:szCs w:val="22"/>
        </w:rPr>
      </w:pPr>
      <w:r w:rsidRPr="005608F6">
        <w:rPr>
          <w:rFonts w:ascii="Arial" w:hAnsi="Arial" w:cs="Arial"/>
          <w:sz w:val="22"/>
          <w:szCs w:val="22"/>
        </w:rPr>
        <w:t>El patrimonio cultural hace referencia al pasado, pero también se vincula con el presente pues es desde esta temporalidad que la ciudadanía lo vive, lo recuerda, lo reconstruye y lo reinterpreta.  A su vez, el patrimonio cultural no puede pensarse sin una perspectiva a futuro, pues en la medida que lo aprecia y valora, se busca que pueda ser disfrutado por próximas generaciones de la ciudad.</w:t>
      </w:r>
    </w:p>
    <w:p w14:paraId="16077339" w14:textId="77777777" w:rsidR="00D9407E" w:rsidRPr="005608F6" w:rsidRDefault="00D9407E" w:rsidP="005608F6">
      <w:pPr>
        <w:jc w:val="both"/>
        <w:rPr>
          <w:rFonts w:ascii="Arial" w:hAnsi="Arial" w:cs="Arial"/>
          <w:sz w:val="22"/>
          <w:szCs w:val="22"/>
        </w:rPr>
      </w:pPr>
    </w:p>
    <w:p w14:paraId="36DC17EA" w14:textId="77777777" w:rsidR="00D9407E" w:rsidRPr="005608F6" w:rsidRDefault="00D9407E" w:rsidP="00D9407E">
      <w:pPr>
        <w:jc w:val="both"/>
        <w:rPr>
          <w:rFonts w:ascii="Arial" w:hAnsi="Arial" w:cs="Arial"/>
          <w:sz w:val="22"/>
          <w:szCs w:val="22"/>
        </w:rPr>
      </w:pPr>
      <w:r w:rsidRPr="005608F6">
        <w:rPr>
          <w:rFonts w:ascii="Arial" w:hAnsi="Arial" w:cs="Arial"/>
          <w:sz w:val="22"/>
          <w:szCs w:val="22"/>
        </w:rPr>
        <w:t xml:space="preserve">El 6 de octubre 2016, el Consejo de Derechos Humanos aprobó por unanimidad una resolución que exhorta a todos los Estados a que respeten, promuevan y protejan el derecho de toda persona a participar en la vida cultural, incluida la capacidad de acceder al patrimonio cultural y disfrutar de él, y de tomar medidas para conseguir a este objetivo. </w:t>
      </w:r>
    </w:p>
    <w:p w14:paraId="348E4D6A" w14:textId="77777777" w:rsidR="00D9407E" w:rsidRPr="005608F6" w:rsidRDefault="00D9407E" w:rsidP="00D9407E">
      <w:pPr>
        <w:jc w:val="both"/>
        <w:rPr>
          <w:rFonts w:ascii="Arial" w:hAnsi="Arial" w:cs="Arial"/>
          <w:sz w:val="22"/>
          <w:szCs w:val="22"/>
        </w:rPr>
      </w:pPr>
    </w:p>
    <w:p w14:paraId="523CBA71" w14:textId="77777777" w:rsidR="00D9407E" w:rsidRPr="005608F6" w:rsidRDefault="00D9407E" w:rsidP="00D9407E">
      <w:pPr>
        <w:jc w:val="both"/>
        <w:rPr>
          <w:rFonts w:ascii="Arial" w:hAnsi="Arial" w:cs="Arial"/>
          <w:sz w:val="22"/>
          <w:szCs w:val="22"/>
        </w:rPr>
      </w:pPr>
      <w:r w:rsidRPr="005608F6">
        <w:rPr>
          <w:rFonts w:ascii="Arial" w:hAnsi="Arial" w:cs="Arial"/>
          <w:sz w:val="22"/>
          <w:szCs w:val="22"/>
        </w:rPr>
        <w:t>En este sentido el IDPC ejecuta acciones en el marco de cuatro (4) estrategias misionales:</w:t>
      </w:r>
    </w:p>
    <w:p w14:paraId="7EC96035" w14:textId="77777777" w:rsidR="00D9407E" w:rsidRPr="005608F6" w:rsidRDefault="00D9407E" w:rsidP="00D9407E">
      <w:pPr>
        <w:jc w:val="both"/>
        <w:rPr>
          <w:rFonts w:ascii="Arial" w:hAnsi="Arial" w:cs="Arial"/>
          <w:sz w:val="22"/>
          <w:szCs w:val="22"/>
        </w:rPr>
      </w:pPr>
    </w:p>
    <w:p w14:paraId="0E7CC552" w14:textId="77777777" w:rsidR="00D9407E" w:rsidRPr="005608F6" w:rsidRDefault="00D9407E" w:rsidP="005608F6">
      <w:pPr>
        <w:jc w:val="both"/>
        <w:rPr>
          <w:rFonts w:ascii="Arial" w:hAnsi="Arial" w:cs="Arial"/>
          <w:sz w:val="22"/>
          <w:szCs w:val="22"/>
        </w:rPr>
      </w:pPr>
      <w:r w:rsidRPr="005608F6">
        <w:rPr>
          <w:rFonts w:ascii="Arial" w:hAnsi="Arial" w:cs="Arial"/>
          <w:sz w:val="22"/>
          <w:szCs w:val="22"/>
        </w:rPr>
        <w:t>Estrategia 1: identificación y valoración del patrimonio cultural</w:t>
      </w:r>
    </w:p>
    <w:p w14:paraId="63AA9C33" w14:textId="77777777" w:rsidR="00D9407E" w:rsidRPr="005608F6" w:rsidRDefault="00D9407E" w:rsidP="005608F6">
      <w:pPr>
        <w:jc w:val="both"/>
        <w:rPr>
          <w:rFonts w:ascii="Arial" w:hAnsi="Arial" w:cs="Arial"/>
          <w:sz w:val="22"/>
          <w:szCs w:val="22"/>
        </w:rPr>
      </w:pPr>
      <w:r w:rsidRPr="005608F6">
        <w:rPr>
          <w:rFonts w:ascii="Arial" w:hAnsi="Arial" w:cs="Arial"/>
          <w:sz w:val="22"/>
          <w:szCs w:val="22"/>
        </w:rPr>
        <w:t>Estrategia 2: protección del patrimonio cultural</w:t>
      </w:r>
    </w:p>
    <w:p w14:paraId="23374053" w14:textId="77777777" w:rsidR="00D9407E" w:rsidRPr="005608F6" w:rsidRDefault="00D9407E" w:rsidP="005608F6">
      <w:pPr>
        <w:jc w:val="both"/>
        <w:rPr>
          <w:rFonts w:ascii="Arial" w:hAnsi="Arial" w:cs="Arial"/>
          <w:sz w:val="22"/>
          <w:szCs w:val="22"/>
        </w:rPr>
      </w:pPr>
      <w:r w:rsidRPr="005608F6">
        <w:rPr>
          <w:rFonts w:ascii="Arial" w:hAnsi="Arial" w:cs="Arial"/>
          <w:sz w:val="22"/>
          <w:szCs w:val="22"/>
        </w:rPr>
        <w:t>Estrategia 3: recuperación y conservación del patrimonio cultural</w:t>
      </w:r>
    </w:p>
    <w:p w14:paraId="19AB63EE" w14:textId="77777777" w:rsidR="00D9407E" w:rsidRPr="005608F6" w:rsidRDefault="00D9407E" w:rsidP="005608F6">
      <w:pPr>
        <w:jc w:val="both"/>
        <w:rPr>
          <w:rFonts w:ascii="Arial" w:hAnsi="Arial" w:cs="Arial"/>
          <w:sz w:val="22"/>
          <w:szCs w:val="22"/>
        </w:rPr>
      </w:pPr>
      <w:r w:rsidRPr="005608F6">
        <w:rPr>
          <w:rFonts w:ascii="Arial" w:hAnsi="Arial" w:cs="Arial"/>
          <w:sz w:val="22"/>
          <w:szCs w:val="22"/>
        </w:rPr>
        <w:t>Estrategia 4: divulgación del patrimonio cultural</w:t>
      </w:r>
    </w:p>
    <w:p w14:paraId="5F2568A4" w14:textId="77777777" w:rsidR="00D9407E" w:rsidRPr="005608F6" w:rsidRDefault="00D9407E" w:rsidP="005608F6">
      <w:pPr>
        <w:jc w:val="both"/>
        <w:rPr>
          <w:rFonts w:ascii="Arial" w:hAnsi="Arial" w:cs="Arial"/>
          <w:sz w:val="22"/>
          <w:szCs w:val="22"/>
        </w:rPr>
      </w:pPr>
      <w:r w:rsidRPr="005608F6">
        <w:rPr>
          <w:rFonts w:ascii="Arial" w:hAnsi="Arial" w:cs="Arial"/>
          <w:sz w:val="22"/>
          <w:szCs w:val="22"/>
        </w:rPr>
        <w:t>Estrategias que se ven reflejadas en los procesos de articulación y planificación concertada, vinculando actores sociales y los diferentes grupos de valor e interés, con el fin de generar respuestas efectivas a las necesidades de la ciudadanía en las diferentes fases y etapas de intervención.</w:t>
      </w:r>
    </w:p>
    <w:p w14:paraId="383440C0" w14:textId="77777777" w:rsidR="00D9407E" w:rsidRPr="00D9407E" w:rsidRDefault="00D9407E" w:rsidP="00D9407E">
      <w:pPr>
        <w:jc w:val="both"/>
        <w:rPr>
          <w:rFonts w:ascii="Arial" w:hAnsi="Arial" w:cs="Arial"/>
          <w:sz w:val="22"/>
          <w:szCs w:val="22"/>
        </w:rPr>
      </w:pPr>
    </w:p>
    <w:p w14:paraId="47A4D420" w14:textId="40170954" w:rsidR="00D9407E" w:rsidRPr="005608F6" w:rsidRDefault="00D9407E" w:rsidP="00C91088">
      <w:pPr>
        <w:pStyle w:val="Prrafodelista"/>
        <w:numPr>
          <w:ilvl w:val="1"/>
          <w:numId w:val="11"/>
        </w:numPr>
        <w:jc w:val="both"/>
        <w:rPr>
          <w:rFonts w:ascii="Arial" w:hAnsi="Arial" w:cs="Arial"/>
          <w:sz w:val="22"/>
          <w:szCs w:val="22"/>
        </w:rPr>
      </w:pPr>
      <w:r w:rsidRPr="005608F6">
        <w:rPr>
          <w:rFonts w:ascii="Arial" w:hAnsi="Arial" w:cs="Arial"/>
          <w:sz w:val="22"/>
          <w:szCs w:val="22"/>
        </w:rPr>
        <w:t>Implementación de la metodología.</w:t>
      </w:r>
    </w:p>
    <w:p w14:paraId="196AA951" w14:textId="77777777" w:rsidR="00D9407E" w:rsidRPr="00D9407E" w:rsidRDefault="00D9407E" w:rsidP="00D9407E">
      <w:pPr>
        <w:jc w:val="both"/>
        <w:rPr>
          <w:rFonts w:ascii="Arial" w:hAnsi="Arial" w:cs="Arial"/>
          <w:sz w:val="22"/>
          <w:szCs w:val="22"/>
        </w:rPr>
      </w:pPr>
    </w:p>
    <w:p w14:paraId="2BEE4C2A" w14:textId="77777777" w:rsidR="00D9407E" w:rsidRPr="00D9407E" w:rsidRDefault="00D9407E" w:rsidP="00D9407E">
      <w:pPr>
        <w:jc w:val="both"/>
        <w:rPr>
          <w:rFonts w:ascii="Arial" w:hAnsi="Arial" w:cs="Arial"/>
          <w:sz w:val="22"/>
          <w:szCs w:val="22"/>
        </w:rPr>
      </w:pPr>
      <w:r w:rsidRPr="00D9407E">
        <w:rPr>
          <w:rFonts w:ascii="Arial" w:hAnsi="Arial" w:cs="Arial"/>
          <w:sz w:val="22"/>
          <w:szCs w:val="22"/>
        </w:rPr>
        <w:t>En el marco de la Estrategia de Transparencia, Atención a la Ciudadanía y Participación (TACP), avalado en 2018, el IDPC adopta la Estrategia de rendición permanente de cuentas, en concordancia con la evaluación de resultados del modelo integrado de planeación y gestión MIPG.</w:t>
      </w:r>
    </w:p>
    <w:p w14:paraId="6FECA286" w14:textId="77777777" w:rsidR="00D9407E" w:rsidRPr="00D9407E" w:rsidRDefault="00D9407E" w:rsidP="00D9407E">
      <w:pPr>
        <w:jc w:val="both"/>
        <w:rPr>
          <w:rFonts w:ascii="Arial" w:hAnsi="Arial" w:cs="Arial"/>
          <w:sz w:val="22"/>
          <w:szCs w:val="22"/>
        </w:rPr>
      </w:pPr>
    </w:p>
    <w:p w14:paraId="6423E284" w14:textId="77777777" w:rsidR="00D9407E" w:rsidRPr="00D9407E" w:rsidRDefault="00D9407E" w:rsidP="00D9407E">
      <w:pPr>
        <w:jc w:val="both"/>
        <w:rPr>
          <w:rFonts w:ascii="Arial" w:hAnsi="Arial" w:cs="Arial"/>
          <w:sz w:val="22"/>
          <w:szCs w:val="22"/>
        </w:rPr>
      </w:pPr>
      <w:r w:rsidRPr="00D9407E">
        <w:rPr>
          <w:rFonts w:ascii="Arial" w:hAnsi="Arial" w:cs="Arial"/>
          <w:sz w:val="22"/>
          <w:szCs w:val="22"/>
        </w:rPr>
        <w:t xml:space="preserve">Así mismo la Estrategia de Rendición de Cuentas, articula lineamientos de Transparencia, Atención al Ciudadano, Participación y el enfoque poblacional-diferencial, mediante acciones transversales y de incidencia significativa en el desarrollo institucional, tanto en el mediano como en el largo plazo, que se constituyen en piezas de engranaje para la implementación de la metodología. </w:t>
      </w:r>
    </w:p>
    <w:p w14:paraId="4FB5DB1D" w14:textId="77777777" w:rsidR="00D9407E" w:rsidRPr="00D9407E" w:rsidRDefault="00D9407E" w:rsidP="00D9407E">
      <w:pPr>
        <w:jc w:val="both"/>
        <w:rPr>
          <w:rFonts w:ascii="Arial" w:hAnsi="Arial" w:cs="Arial"/>
          <w:sz w:val="22"/>
          <w:szCs w:val="22"/>
        </w:rPr>
      </w:pPr>
    </w:p>
    <w:p w14:paraId="0EA3B65D" w14:textId="77777777" w:rsidR="00D9407E" w:rsidRPr="00D9407E" w:rsidRDefault="00D9407E" w:rsidP="00D9407E">
      <w:pPr>
        <w:jc w:val="both"/>
        <w:rPr>
          <w:rFonts w:ascii="Arial" w:hAnsi="Arial" w:cs="Arial"/>
          <w:sz w:val="22"/>
          <w:szCs w:val="22"/>
        </w:rPr>
      </w:pPr>
      <w:r w:rsidRPr="00D9407E">
        <w:rPr>
          <w:rFonts w:ascii="Arial" w:hAnsi="Arial" w:cs="Arial"/>
          <w:sz w:val="22"/>
          <w:szCs w:val="22"/>
        </w:rPr>
        <w:t xml:space="preserve">    </w:t>
      </w:r>
    </w:p>
    <w:p w14:paraId="3997C48F" w14:textId="1A53A811" w:rsidR="00D9407E" w:rsidRDefault="00D9407E" w:rsidP="00C91088">
      <w:pPr>
        <w:pStyle w:val="Prrafodelista"/>
        <w:numPr>
          <w:ilvl w:val="1"/>
          <w:numId w:val="11"/>
        </w:numPr>
        <w:jc w:val="both"/>
        <w:rPr>
          <w:rFonts w:ascii="Arial" w:hAnsi="Arial" w:cs="Arial"/>
          <w:sz w:val="22"/>
          <w:szCs w:val="22"/>
        </w:rPr>
      </w:pPr>
      <w:r w:rsidRPr="005608F6">
        <w:rPr>
          <w:rFonts w:ascii="Arial" w:hAnsi="Arial" w:cs="Arial"/>
          <w:sz w:val="22"/>
          <w:szCs w:val="22"/>
        </w:rPr>
        <w:t>Diseño de la estrategia de rendición de cuentas:</w:t>
      </w:r>
    </w:p>
    <w:p w14:paraId="0E5C7353" w14:textId="77777777" w:rsidR="00D9407E" w:rsidRPr="00D9407E" w:rsidRDefault="00D9407E" w:rsidP="00D9407E">
      <w:pPr>
        <w:jc w:val="both"/>
        <w:rPr>
          <w:rFonts w:ascii="Arial" w:hAnsi="Arial" w:cs="Arial"/>
          <w:b/>
          <w:sz w:val="22"/>
          <w:szCs w:val="22"/>
        </w:rPr>
      </w:pPr>
    </w:p>
    <w:p w14:paraId="0BC0F4AC" w14:textId="77777777" w:rsidR="00D9407E" w:rsidRPr="00D9407E" w:rsidRDefault="00D9407E" w:rsidP="00D9407E">
      <w:pPr>
        <w:jc w:val="both"/>
        <w:rPr>
          <w:rFonts w:ascii="Arial" w:hAnsi="Arial" w:cs="Arial"/>
          <w:sz w:val="22"/>
          <w:szCs w:val="22"/>
        </w:rPr>
      </w:pPr>
      <w:r w:rsidRPr="00D9407E">
        <w:rPr>
          <w:rFonts w:ascii="Arial" w:hAnsi="Arial" w:cs="Arial"/>
          <w:sz w:val="22"/>
          <w:szCs w:val="22"/>
        </w:rPr>
        <w:t>La Estrategia de rendición permanente de cuentas del IDPC esta mediado conceptualmente por la realización de un ciclo que consta de cuatro (4) fases, tres (3) ejes transversales y un (1) propósito fundamental que es la garantía de los derechos culturales y patrimoniales de la ciudadanía.</w:t>
      </w:r>
    </w:p>
    <w:p w14:paraId="047722D6" w14:textId="77777777" w:rsidR="00D9407E" w:rsidRPr="00D9407E" w:rsidRDefault="00D9407E" w:rsidP="00D9407E">
      <w:pPr>
        <w:jc w:val="both"/>
        <w:rPr>
          <w:rFonts w:ascii="Arial" w:hAnsi="Arial" w:cs="Arial"/>
          <w:sz w:val="22"/>
          <w:szCs w:val="22"/>
        </w:rPr>
      </w:pPr>
      <w:r w:rsidRPr="00D9407E">
        <w:rPr>
          <w:rFonts w:ascii="Arial" w:hAnsi="Arial" w:cs="Arial"/>
          <w:noProof/>
          <w:sz w:val="22"/>
          <w:szCs w:val="22"/>
          <w:lang w:val="es-CO" w:eastAsia="es-CO"/>
        </w:rPr>
        <w:lastRenderedPageBreak/>
        <w:drawing>
          <wp:anchor distT="0" distB="0" distL="114300" distR="114300" simplePos="0" relativeHeight="251724800" behindDoc="1" locked="0" layoutInCell="1" allowOverlap="1" wp14:anchorId="167FC344" wp14:editId="3E72D840">
            <wp:simplePos x="0" y="0"/>
            <wp:positionH relativeFrom="margin">
              <wp:posOffset>135227</wp:posOffset>
            </wp:positionH>
            <wp:positionV relativeFrom="paragraph">
              <wp:posOffset>151765</wp:posOffset>
            </wp:positionV>
            <wp:extent cx="4591050" cy="2130385"/>
            <wp:effectExtent l="0" t="0" r="0" b="3810"/>
            <wp:wrapTight wrapText="bothSides">
              <wp:wrapPolygon edited="0">
                <wp:start x="8335" y="0"/>
                <wp:lineTo x="2151" y="2125"/>
                <wp:lineTo x="0" y="2898"/>
                <wp:lineTo x="0" y="18741"/>
                <wp:lineTo x="5915" y="19127"/>
                <wp:lineTo x="7977" y="21252"/>
                <wp:lineTo x="8335" y="21445"/>
                <wp:lineTo x="10666" y="21445"/>
                <wp:lineTo x="11114" y="21252"/>
                <wp:lineTo x="13175" y="19127"/>
                <wp:lineTo x="14878" y="18741"/>
                <wp:lineTo x="19987" y="16422"/>
                <wp:lineTo x="19987" y="15649"/>
                <wp:lineTo x="20883" y="15649"/>
                <wp:lineTo x="21331" y="14490"/>
                <wp:lineTo x="21331" y="11013"/>
                <wp:lineTo x="19180" y="9467"/>
                <wp:lineTo x="17925" y="9467"/>
                <wp:lineTo x="21331" y="7148"/>
                <wp:lineTo x="21421" y="5796"/>
                <wp:lineTo x="15774" y="3091"/>
                <wp:lineTo x="10666" y="0"/>
                <wp:lineTo x="8335" y="0"/>
              </wp:wrapPolygon>
            </wp:wrapTight>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91050" cy="2130385"/>
                    </a:xfrm>
                    <a:prstGeom prst="rect">
                      <a:avLst/>
                    </a:prstGeom>
                    <a:noFill/>
                  </pic:spPr>
                </pic:pic>
              </a:graphicData>
            </a:graphic>
            <wp14:sizeRelH relativeFrom="page">
              <wp14:pctWidth>0</wp14:pctWidth>
            </wp14:sizeRelH>
            <wp14:sizeRelV relativeFrom="page">
              <wp14:pctHeight>0</wp14:pctHeight>
            </wp14:sizeRelV>
          </wp:anchor>
        </w:drawing>
      </w:r>
    </w:p>
    <w:p w14:paraId="69800FA1" w14:textId="77777777" w:rsidR="00D9407E" w:rsidRPr="00D9407E" w:rsidRDefault="00D9407E" w:rsidP="00D9407E">
      <w:pPr>
        <w:jc w:val="both"/>
        <w:rPr>
          <w:rFonts w:ascii="Arial" w:hAnsi="Arial" w:cs="Arial"/>
          <w:sz w:val="22"/>
          <w:szCs w:val="22"/>
        </w:rPr>
      </w:pPr>
    </w:p>
    <w:p w14:paraId="70E493EA" w14:textId="77777777" w:rsidR="00D9407E" w:rsidRPr="00D9407E" w:rsidRDefault="00D9407E" w:rsidP="00D9407E">
      <w:pPr>
        <w:jc w:val="both"/>
        <w:rPr>
          <w:rFonts w:ascii="Arial" w:hAnsi="Arial" w:cs="Arial"/>
          <w:sz w:val="22"/>
          <w:szCs w:val="22"/>
        </w:rPr>
      </w:pPr>
    </w:p>
    <w:p w14:paraId="0C0B5E97" w14:textId="77777777" w:rsidR="00D9407E" w:rsidRPr="00D9407E" w:rsidRDefault="00D9407E" w:rsidP="00D9407E">
      <w:pPr>
        <w:jc w:val="both"/>
        <w:rPr>
          <w:rFonts w:ascii="Arial" w:hAnsi="Arial" w:cs="Arial"/>
          <w:sz w:val="22"/>
          <w:szCs w:val="22"/>
        </w:rPr>
      </w:pPr>
    </w:p>
    <w:p w14:paraId="2B386D98" w14:textId="77777777" w:rsidR="00D9407E" w:rsidRPr="00D9407E" w:rsidRDefault="00D9407E" w:rsidP="00D9407E">
      <w:pPr>
        <w:jc w:val="both"/>
        <w:rPr>
          <w:rFonts w:ascii="Arial" w:hAnsi="Arial" w:cs="Arial"/>
          <w:sz w:val="22"/>
          <w:szCs w:val="22"/>
        </w:rPr>
      </w:pPr>
    </w:p>
    <w:p w14:paraId="2ED1368A" w14:textId="77777777" w:rsidR="00D9407E" w:rsidRPr="00D9407E" w:rsidRDefault="00D9407E" w:rsidP="00D9407E">
      <w:pPr>
        <w:jc w:val="both"/>
        <w:rPr>
          <w:rFonts w:ascii="Arial" w:hAnsi="Arial" w:cs="Arial"/>
          <w:sz w:val="22"/>
          <w:szCs w:val="22"/>
        </w:rPr>
      </w:pPr>
    </w:p>
    <w:p w14:paraId="2B260933" w14:textId="77777777" w:rsidR="00D9407E" w:rsidRPr="00D9407E" w:rsidRDefault="00D9407E" w:rsidP="00D9407E">
      <w:pPr>
        <w:jc w:val="both"/>
        <w:rPr>
          <w:rFonts w:ascii="Arial" w:hAnsi="Arial" w:cs="Arial"/>
          <w:b/>
          <w:sz w:val="22"/>
          <w:szCs w:val="22"/>
        </w:rPr>
      </w:pPr>
    </w:p>
    <w:p w14:paraId="6D3BC4CA" w14:textId="77777777" w:rsidR="00D9407E" w:rsidRPr="00D9407E" w:rsidRDefault="00D9407E" w:rsidP="00D9407E">
      <w:pPr>
        <w:pStyle w:val="Ttulo3"/>
        <w:rPr>
          <w:rFonts w:cs="Arial"/>
          <w:b w:val="0"/>
          <w:color w:val="365F91" w:themeColor="accent1" w:themeShade="BF"/>
          <w:sz w:val="22"/>
          <w:szCs w:val="22"/>
          <w:highlight w:val="yellow"/>
        </w:rPr>
      </w:pPr>
    </w:p>
    <w:p w14:paraId="28F95C5D" w14:textId="77777777" w:rsidR="00D9407E" w:rsidRPr="00D9407E" w:rsidRDefault="00D9407E" w:rsidP="00D9407E">
      <w:pPr>
        <w:pStyle w:val="Ttulo3"/>
        <w:rPr>
          <w:rFonts w:cs="Arial"/>
          <w:b w:val="0"/>
          <w:color w:val="365F91" w:themeColor="accent1" w:themeShade="BF"/>
          <w:sz w:val="22"/>
          <w:szCs w:val="22"/>
          <w:highlight w:val="yellow"/>
        </w:rPr>
      </w:pPr>
    </w:p>
    <w:p w14:paraId="015933AE" w14:textId="77777777" w:rsidR="00D9407E" w:rsidRPr="00D9407E" w:rsidRDefault="00D9407E" w:rsidP="00D9407E">
      <w:pPr>
        <w:pStyle w:val="Ttulo3"/>
        <w:rPr>
          <w:rFonts w:cs="Arial"/>
          <w:b w:val="0"/>
          <w:color w:val="365F91" w:themeColor="accent1" w:themeShade="BF"/>
          <w:sz w:val="22"/>
          <w:szCs w:val="22"/>
          <w:highlight w:val="yellow"/>
        </w:rPr>
      </w:pPr>
    </w:p>
    <w:p w14:paraId="56205029" w14:textId="77777777" w:rsidR="00D9407E" w:rsidRPr="00D9407E" w:rsidRDefault="00D9407E" w:rsidP="00D9407E">
      <w:pPr>
        <w:pStyle w:val="Ttulo3"/>
        <w:rPr>
          <w:rFonts w:cs="Arial"/>
          <w:b w:val="0"/>
          <w:color w:val="365F91" w:themeColor="accent1" w:themeShade="BF"/>
          <w:sz w:val="22"/>
          <w:szCs w:val="22"/>
          <w:highlight w:val="yellow"/>
        </w:rPr>
      </w:pPr>
    </w:p>
    <w:p w14:paraId="30B00658" w14:textId="77777777" w:rsidR="00D9407E" w:rsidRPr="00D9407E" w:rsidRDefault="00D9407E" w:rsidP="00D9407E">
      <w:pPr>
        <w:jc w:val="both"/>
        <w:rPr>
          <w:rFonts w:ascii="Arial" w:hAnsi="Arial" w:cs="Arial"/>
          <w:sz w:val="22"/>
          <w:szCs w:val="22"/>
        </w:rPr>
      </w:pPr>
      <w:r w:rsidRPr="00D9407E">
        <w:rPr>
          <w:rFonts w:ascii="Arial" w:hAnsi="Arial" w:cs="Arial"/>
          <w:sz w:val="22"/>
          <w:szCs w:val="22"/>
        </w:rPr>
        <w:t xml:space="preserve">Siguiendo los planteamientos del </w:t>
      </w:r>
      <w:r w:rsidRPr="00D9407E">
        <w:rPr>
          <w:rFonts w:ascii="Arial" w:hAnsi="Arial" w:cs="Arial"/>
          <w:i/>
          <w:sz w:val="22"/>
          <w:szCs w:val="22"/>
        </w:rPr>
        <w:t>Manual Único de Rendición de Cuentas con énfasis en derechos humanos y paz</w:t>
      </w:r>
      <w:r w:rsidRPr="00D9407E">
        <w:rPr>
          <w:rStyle w:val="Refdenotaalpie"/>
          <w:rFonts w:ascii="Arial" w:hAnsi="Arial" w:cs="Arial"/>
          <w:i/>
          <w:sz w:val="22"/>
          <w:szCs w:val="22"/>
        </w:rPr>
        <w:footnoteReference w:id="1"/>
      </w:r>
      <w:r w:rsidRPr="00D9407E">
        <w:rPr>
          <w:rFonts w:ascii="Arial" w:hAnsi="Arial" w:cs="Arial"/>
          <w:sz w:val="22"/>
          <w:szCs w:val="22"/>
        </w:rPr>
        <w:t xml:space="preserve">, y las definiciones del </w:t>
      </w:r>
      <w:r w:rsidRPr="00D9407E">
        <w:rPr>
          <w:rFonts w:ascii="Arial" w:hAnsi="Arial" w:cs="Arial"/>
          <w:i/>
          <w:sz w:val="22"/>
          <w:szCs w:val="22"/>
        </w:rPr>
        <w:t>Manual Operativo del Modelo Integrado de Planeación y Gestión (MIPG)</w:t>
      </w:r>
      <w:r w:rsidRPr="00D9407E">
        <w:rPr>
          <w:rStyle w:val="Refdenotaalpie"/>
          <w:rFonts w:ascii="Arial" w:hAnsi="Arial" w:cs="Arial"/>
          <w:sz w:val="22"/>
          <w:szCs w:val="22"/>
        </w:rPr>
        <w:footnoteReference w:id="2"/>
      </w:r>
      <w:r w:rsidRPr="00D9407E">
        <w:rPr>
          <w:rFonts w:ascii="Arial" w:hAnsi="Arial" w:cs="Arial"/>
          <w:sz w:val="22"/>
          <w:szCs w:val="22"/>
        </w:rPr>
        <w:t>, se describen a continuación los conceptos relevantes en el marco de la rendición de cuentas permanente del IDPC, con el objetivo de facilitar la comprensión de los términos ante la ciudadanía.</w:t>
      </w:r>
    </w:p>
    <w:p w14:paraId="6BF02DEA" w14:textId="77777777" w:rsidR="00D9407E" w:rsidRPr="00D9407E" w:rsidRDefault="00D9407E" w:rsidP="00D9407E">
      <w:pPr>
        <w:jc w:val="both"/>
        <w:rPr>
          <w:rFonts w:ascii="Arial" w:hAnsi="Arial" w:cs="Arial"/>
          <w:sz w:val="22"/>
          <w:szCs w:val="22"/>
          <w:highlight w:val="yellow"/>
        </w:rPr>
      </w:pPr>
    </w:p>
    <w:p w14:paraId="781E62F0" w14:textId="77777777" w:rsidR="00D9407E" w:rsidRPr="00D9407E" w:rsidRDefault="00D9407E" w:rsidP="00D9407E">
      <w:pPr>
        <w:jc w:val="both"/>
        <w:rPr>
          <w:rFonts w:ascii="Arial" w:hAnsi="Arial" w:cs="Arial"/>
          <w:sz w:val="22"/>
          <w:szCs w:val="22"/>
        </w:rPr>
      </w:pPr>
      <w:r w:rsidRPr="00D9407E">
        <w:rPr>
          <w:rFonts w:ascii="Arial" w:hAnsi="Arial" w:cs="Arial"/>
          <w:b/>
          <w:sz w:val="22"/>
          <w:szCs w:val="22"/>
        </w:rPr>
        <w:t>Eje transversal de información</w:t>
      </w:r>
      <w:r w:rsidRPr="00D9407E">
        <w:rPr>
          <w:rFonts w:ascii="Arial" w:hAnsi="Arial" w:cs="Arial"/>
          <w:sz w:val="22"/>
          <w:szCs w:val="22"/>
        </w:rPr>
        <w:t xml:space="preserve">: Análisis y depuración de la información que produce la entidad para poner en conocimiento y discusión por parte de la ciudadanía. La depuración de la información desde el punto de vista de la pertinencia, funcionalidad, disponibilidad, confiabilidad, utilidad, relevancia, credibilidad, accesibilidad, oportunidad, coherencia, aplicabilidad; entre otras. Identificar la información no disponible, con el fin de cumplir con las expectativas de los grupos de interés; para ello se requiere fortalecer el proceso de gestión documental.  </w:t>
      </w:r>
    </w:p>
    <w:p w14:paraId="40C697D5" w14:textId="77777777" w:rsidR="00D9407E" w:rsidRPr="00D9407E" w:rsidRDefault="00D9407E" w:rsidP="00D9407E">
      <w:pPr>
        <w:jc w:val="both"/>
        <w:rPr>
          <w:rFonts w:ascii="Arial" w:hAnsi="Arial" w:cs="Arial"/>
          <w:sz w:val="22"/>
          <w:szCs w:val="22"/>
        </w:rPr>
      </w:pPr>
      <w:r w:rsidRPr="00D9407E">
        <w:rPr>
          <w:rFonts w:ascii="Arial" w:hAnsi="Arial" w:cs="Arial"/>
          <w:b/>
          <w:sz w:val="22"/>
          <w:szCs w:val="22"/>
        </w:rPr>
        <w:t>Eje transversal de diálogo</w:t>
      </w:r>
      <w:r w:rsidRPr="00D9407E">
        <w:rPr>
          <w:rFonts w:ascii="Arial" w:hAnsi="Arial" w:cs="Arial"/>
          <w:sz w:val="22"/>
          <w:szCs w:val="22"/>
        </w:rPr>
        <w:t xml:space="preserve">: comprende los canales y metodologías para establecer mecanismos de comunicación en doble vía con la ciudadanía. </w:t>
      </w:r>
    </w:p>
    <w:p w14:paraId="1DBBAFF5" w14:textId="77777777" w:rsidR="00D9407E" w:rsidRPr="00D9407E" w:rsidRDefault="00D9407E" w:rsidP="00D9407E">
      <w:pPr>
        <w:jc w:val="both"/>
        <w:rPr>
          <w:rFonts w:ascii="Arial" w:hAnsi="Arial" w:cs="Arial"/>
          <w:sz w:val="22"/>
          <w:szCs w:val="22"/>
        </w:rPr>
      </w:pPr>
    </w:p>
    <w:p w14:paraId="4459FADB" w14:textId="77777777" w:rsidR="00D9407E" w:rsidRPr="00D9407E" w:rsidRDefault="00D9407E" w:rsidP="00D9407E">
      <w:pPr>
        <w:jc w:val="both"/>
        <w:rPr>
          <w:rFonts w:ascii="Arial" w:hAnsi="Arial" w:cs="Arial"/>
          <w:sz w:val="22"/>
          <w:szCs w:val="22"/>
        </w:rPr>
      </w:pPr>
      <w:r w:rsidRPr="00D9407E">
        <w:rPr>
          <w:rFonts w:ascii="Arial" w:hAnsi="Arial" w:cs="Arial"/>
          <w:sz w:val="22"/>
          <w:szCs w:val="22"/>
        </w:rPr>
        <w:t xml:space="preserve">Aumentar gradualmente el número de ciudadanos y organizaciones que participa en los procesos de rendición de cuentas. </w:t>
      </w:r>
    </w:p>
    <w:p w14:paraId="4AF98DE2" w14:textId="77777777" w:rsidR="00D9407E" w:rsidRPr="00D9407E" w:rsidRDefault="00D9407E" w:rsidP="00D9407E">
      <w:pPr>
        <w:jc w:val="both"/>
        <w:rPr>
          <w:rFonts w:ascii="Arial" w:hAnsi="Arial" w:cs="Arial"/>
          <w:sz w:val="22"/>
          <w:szCs w:val="22"/>
        </w:rPr>
      </w:pPr>
      <w:r w:rsidRPr="00D9407E">
        <w:rPr>
          <w:rFonts w:ascii="Arial" w:hAnsi="Arial" w:cs="Arial"/>
          <w:sz w:val="22"/>
          <w:szCs w:val="22"/>
        </w:rPr>
        <w:t xml:space="preserve">Apropiación de la información por parte de los servidores públicos, para generar cambios de actitud y fortalecer la vocación del servicio y los principios y valores éticos de la entidad.  </w:t>
      </w:r>
    </w:p>
    <w:p w14:paraId="62C4E746" w14:textId="77777777" w:rsidR="00D9407E" w:rsidRPr="00D9407E" w:rsidRDefault="00D9407E" w:rsidP="00D9407E">
      <w:pPr>
        <w:jc w:val="both"/>
        <w:rPr>
          <w:rFonts w:ascii="Arial" w:hAnsi="Arial" w:cs="Arial"/>
          <w:sz w:val="22"/>
          <w:szCs w:val="22"/>
        </w:rPr>
      </w:pPr>
    </w:p>
    <w:p w14:paraId="36E94FE8" w14:textId="77777777" w:rsidR="00D9407E" w:rsidRPr="00D9407E" w:rsidRDefault="00D9407E" w:rsidP="00D9407E">
      <w:pPr>
        <w:jc w:val="both"/>
        <w:rPr>
          <w:rFonts w:ascii="Arial" w:hAnsi="Arial" w:cs="Arial"/>
          <w:sz w:val="22"/>
          <w:szCs w:val="22"/>
        </w:rPr>
      </w:pPr>
      <w:r w:rsidRPr="00D9407E">
        <w:rPr>
          <w:rFonts w:ascii="Arial" w:hAnsi="Arial" w:cs="Arial"/>
          <w:sz w:val="22"/>
          <w:szCs w:val="22"/>
        </w:rPr>
        <w:t xml:space="preserve">Mantener actualizado el inventario de actores involucrados e interesados, con el fin de atender los requerimientos, ello implica fortalecer las redes sociales, buzones, análisis de encuestas, correos electrónicos, mesas de participación, centro de documentación.  </w:t>
      </w:r>
    </w:p>
    <w:p w14:paraId="2FAB4B34" w14:textId="77777777" w:rsidR="00D9407E" w:rsidRPr="00D9407E" w:rsidRDefault="00D9407E" w:rsidP="00D9407E">
      <w:pPr>
        <w:jc w:val="both"/>
        <w:rPr>
          <w:rFonts w:ascii="Arial" w:hAnsi="Arial" w:cs="Arial"/>
          <w:sz w:val="22"/>
          <w:szCs w:val="22"/>
        </w:rPr>
      </w:pPr>
      <w:r w:rsidRPr="00D9407E">
        <w:rPr>
          <w:rFonts w:ascii="Arial" w:hAnsi="Arial" w:cs="Arial"/>
          <w:sz w:val="22"/>
          <w:szCs w:val="22"/>
        </w:rPr>
        <w:t xml:space="preserve">El diálogo con los actores: grupos de valor y de interés involucrados, permite fortalecer la gestión de la entidad y fortalecer los procesos de rendición de cuentas.  </w:t>
      </w:r>
    </w:p>
    <w:p w14:paraId="5970CE26" w14:textId="77777777" w:rsidR="00D9407E" w:rsidRPr="00D9407E" w:rsidRDefault="00D9407E" w:rsidP="00D9407E">
      <w:pPr>
        <w:jc w:val="both"/>
        <w:rPr>
          <w:rFonts w:ascii="Arial" w:hAnsi="Arial" w:cs="Arial"/>
          <w:sz w:val="22"/>
          <w:szCs w:val="22"/>
        </w:rPr>
      </w:pPr>
    </w:p>
    <w:p w14:paraId="57A173DA" w14:textId="77777777" w:rsidR="00D9407E" w:rsidRPr="00D9407E" w:rsidRDefault="00D9407E" w:rsidP="00D9407E">
      <w:pPr>
        <w:jc w:val="both"/>
        <w:rPr>
          <w:rFonts w:ascii="Arial" w:hAnsi="Arial" w:cs="Arial"/>
          <w:sz w:val="22"/>
          <w:szCs w:val="22"/>
        </w:rPr>
      </w:pPr>
      <w:r w:rsidRPr="00D9407E">
        <w:rPr>
          <w:rFonts w:ascii="Arial" w:hAnsi="Arial" w:cs="Arial"/>
          <w:b/>
          <w:sz w:val="22"/>
          <w:szCs w:val="22"/>
        </w:rPr>
        <w:t>Eje transversal de incentivos</w:t>
      </w:r>
      <w:r w:rsidRPr="00D9407E">
        <w:rPr>
          <w:rFonts w:ascii="Arial" w:hAnsi="Arial" w:cs="Arial"/>
          <w:sz w:val="22"/>
          <w:szCs w:val="22"/>
        </w:rPr>
        <w:t xml:space="preserve">: A nivel interno busca reforzar el comportamiento de los servidores públicos de la entidad y de los grupos de valor e interés hacia el proceso de rendición de cuentas.  Se requiere motivar el proceso de rendición de cuentas: capacitación en temas de patrimonio cultural, </w:t>
      </w:r>
      <w:r w:rsidRPr="00D9407E">
        <w:rPr>
          <w:rFonts w:ascii="Arial" w:hAnsi="Arial" w:cs="Arial"/>
          <w:sz w:val="22"/>
          <w:szCs w:val="22"/>
        </w:rPr>
        <w:lastRenderedPageBreak/>
        <w:t xml:space="preserve">exposición de mejores prácticas, fortalecer el proceso de gestión del talento humano – programa de bienestar e incentivos.   </w:t>
      </w:r>
    </w:p>
    <w:p w14:paraId="67E6492F" w14:textId="77777777" w:rsidR="00D9407E" w:rsidRPr="00D9407E" w:rsidRDefault="00D9407E" w:rsidP="00D9407E">
      <w:pPr>
        <w:jc w:val="both"/>
        <w:rPr>
          <w:rFonts w:ascii="Arial" w:hAnsi="Arial" w:cs="Arial"/>
          <w:sz w:val="22"/>
          <w:szCs w:val="22"/>
        </w:rPr>
      </w:pPr>
      <w:r w:rsidRPr="00D9407E">
        <w:rPr>
          <w:rFonts w:ascii="Arial" w:hAnsi="Arial" w:cs="Arial"/>
          <w:sz w:val="22"/>
          <w:szCs w:val="22"/>
        </w:rPr>
        <w:t xml:space="preserve">A nivel externo incluye los esfuerzos del IDPC para ser corresponsal con la ciudadanía en el ejercicio del poder, en este sentido requiere de Diálogo incidente de parte de la ciudadanía y de la disposición de acciones que permitan el interés de la ciudadanía a participar en la rendición permanente de cuentas </w:t>
      </w:r>
    </w:p>
    <w:p w14:paraId="08928BDC" w14:textId="77777777" w:rsidR="00D9407E" w:rsidRPr="00D9407E" w:rsidRDefault="00D9407E" w:rsidP="00D9407E">
      <w:pPr>
        <w:jc w:val="both"/>
        <w:rPr>
          <w:rFonts w:ascii="Arial" w:hAnsi="Arial" w:cs="Arial"/>
          <w:sz w:val="22"/>
          <w:szCs w:val="22"/>
        </w:rPr>
      </w:pPr>
    </w:p>
    <w:p w14:paraId="790C2D18" w14:textId="77777777" w:rsidR="00D9407E" w:rsidRPr="00D9407E" w:rsidRDefault="00D9407E" w:rsidP="00D9407E">
      <w:pPr>
        <w:jc w:val="both"/>
        <w:rPr>
          <w:rFonts w:ascii="Arial" w:hAnsi="Arial" w:cs="Arial"/>
          <w:sz w:val="22"/>
          <w:szCs w:val="22"/>
        </w:rPr>
      </w:pPr>
      <w:r w:rsidRPr="00D9407E">
        <w:rPr>
          <w:rFonts w:ascii="Arial" w:hAnsi="Arial" w:cs="Arial"/>
          <w:sz w:val="22"/>
          <w:szCs w:val="22"/>
        </w:rPr>
        <w:t xml:space="preserve">Cada eje se encuentra articulado a cuatro fases:  </w:t>
      </w:r>
    </w:p>
    <w:p w14:paraId="632AD812" w14:textId="77777777" w:rsidR="00D9407E" w:rsidRPr="00D9407E" w:rsidRDefault="00D9407E" w:rsidP="00D9407E">
      <w:pPr>
        <w:jc w:val="both"/>
        <w:rPr>
          <w:rFonts w:ascii="Arial" w:hAnsi="Arial" w:cs="Arial"/>
          <w:sz w:val="22"/>
          <w:szCs w:val="22"/>
        </w:rPr>
      </w:pPr>
      <w:r w:rsidRPr="00D9407E">
        <w:rPr>
          <w:rFonts w:ascii="Arial" w:hAnsi="Arial" w:cs="Arial"/>
          <w:b/>
          <w:sz w:val="22"/>
          <w:szCs w:val="22"/>
        </w:rPr>
        <w:t>Fase de diseño</w:t>
      </w:r>
      <w:r w:rsidRPr="00D9407E">
        <w:rPr>
          <w:rFonts w:ascii="Arial" w:hAnsi="Arial" w:cs="Arial"/>
          <w:sz w:val="22"/>
          <w:szCs w:val="22"/>
        </w:rPr>
        <w:t>: actividad creativa para el desarrollo de una representación mental para concretar cómo será el proceso de rendición de cuentas en la etapa de ejecución.</w:t>
      </w:r>
    </w:p>
    <w:p w14:paraId="7DB00905" w14:textId="77777777" w:rsidR="00D9407E" w:rsidRPr="00D9407E" w:rsidRDefault="00D9407E" w:rsidP="00D9407E">
      <w:pPr>
        <w:jc w:val="both"/>
        <w:rPr>
          <w:rFonts w:ascii="Arial" w:hAnsi="Arial" w:cs="Arial"/>
          <w:sz w:val="22"/>
          <w:szCs w:val="22"/>
        </w:rPr>
      </w:pPr>
      <w:r w:rsidRPr="00D9407E">
        <w:rPr>
          <w:rFonts w:ascii="Arial" w:hAnsi="Arial" w:cs="Arial"/>
          <w:b/>
          <w:sz w:val="22"/>
          <w:szCs w:val="22"/>
        </w:rPr>
        <w:t xml:space="preserve">Fase de preparación: </w:t>
      </w:r>
      <w:r w:rsidRPr="00D9407E">
        <w:rPr>
          <w:rFonts w:ascii="Arial" w:hAnsi="Arial" w:cs="Arial"/>
          <w:sz w:val="22"/>
          <w:szCs w:val="22"/>
        </w:rPr>
        <w:t>se refiere a las condiciones necesarias para la rendición de cuentas y a que los involucrados cuenten con las competencias necesarias para su participación.</w:t>
      </w:r>
    </w:p>
    <w:p w14:paraId="655706E4" w14:textId="77777777" w:rsidR="00D9407E" w:rsidRPr="00D9407E" w:rsidRDefault="00D9407E" w:rsidP="00D9407E">
      <w:pPr>
        <w:jc w:val="both"/>
        <w:rPr>
          <w:rFonts w:ascii="Arial" w:hAnsi="Arial" w:cs="Arial"/>
          <w:sz w:val="22"/>
          <w:szCs w:val="22"/>
        </w:rPr>
      </w:pPr>
      <w:r w:rsidRPr="00D9407E">
        <w:rPr>
          <w:rFonts w:ascii="Arial" w:hAnsi="Arial" w:cs="Arial"/>
          <w:b/>
          <w:sz w:val="22"/>
          <w:szCs w:val="22"/>
        </w:rPr>
        <w:t xml:space="preserve">Fase de ejecución: </w:t>
      </w:r>
      <w:r w:rsidRPr="00D9407E">
        <w:rPr>
          <w:rFonts w:ascii="Arial" w:hAnsi="Arial" w:cs="Arial"/>
          <w:sz w:val="22"/>
          <w:szCs w:val="22"/>
        </w:rPr>
        <w:t>comprende la puesta en marcha de las acciones diseñadas para la rendición permanente de cuentas. Es el momento en el cual se ejecutan las acciones de entrega de información y desarrollo de mecanismos de diálogo con la participación de los grupos de interés.</w:t>
      </w:r>
    </w:p>
    <w:p w14:paraId="56B03F41" w14:textId="77777777" w:rsidR="00D9407E" w:rsidRPr="00D9407E" w:rsidRDefault="00D9407E" w:rsidP="00D9407E">
      <w:pPr>
        <w:jc w:val="both"/>
        <w:rPr>
          <w:rFonts w:ascii="Arial" w:hAnsi="Arial" w:cs="Arial"/>
          <w:sz w:val="22"/>
          <w:szCs w:val="22"/>
        </w:rPr>
      </w:pPr>
      <w:r w:rsidRPr="00D9407E">
        <w:rPr>
          <w:rFonts w:ascii="Arial" w:hAnsi="Arial" w:cs="Arial"/>
          <w:b/>
          <w:sz w:val="22"/>
          <w:szCs w:val="22"/>
        </w:rPr>
        <w:t xml:space="preserve">Fase de evaluación: </w:t>
      </w:r>
      <w:r w:rsidRPr="00D9407E">
        <w:rPr>
          <w:rFonts w:ascii="Arial" w:hAnsi="Arial" w:cs="Arial"/>
          <w:sz w:val="22"/>
          <w:szCs w:val="22"/>
        </w:rPr>
        <w:t>Es la valoración el proceso de rendición pública de cuentas para cada una de sus fases, teniendo en cuenta sus logros y dificultades.</w:t>
      </w:r>
    </w:p>
    <w:p w14:paraId="42778611" w14:textId="77777777" w:rsidR="00D9407E" w:rsidRPr="00D9407E" w:rsidRDefault="00D9407E" w:rsidP="00D9407E">
      <w:pPr>
        <w:jc w:val="both"/>
        <w:rPr>
          <w:rFonts w:ascii="Arial" w:hAnsi="Arial" w:cs="Arial"/>
          <w:sz w:val="22"/>
          <w:szCs w:val="22"/>
        </w:rPr>
      </w:pPr>
      <w:r w:rsidRPr="00D9407E">
        <w:rPr>
          <w:rFonts w:ascii="Arial" w:hAnsi="Arial" w:cs="Arial"/>
          <w:b/>
          <w:sz w:val="22"/>
          <w:szCs w:val="22"/>
        </w:rPr>
        <w:t>Grupos de Interés:</w:t>
      </w:r>
      <w:r w:rsidRPr="00D9407E">
        <w:rPr>
          <w:rFonts w:ascii="Arial" w:hAnsi="Arial" w:cs="Arial"/>
          <w:sz w:val="22"/>
          <w:szCs w:val="22"/>
        </w:rPr>
        <w:t xml:space="preserve"> individuos u organismos específicos que tienen un interés especial en la gestión y los resultados de las organizaciones públicas. Comprende, entre otros, instancias o espacios de participación ciudadana formales o informales. (Adaptado del documento “Guía metodológica para la caracterización de ciudadanos, usuarios o grupos de interés, del DNP, 2014).</w:t>
      </w:r>
    </w:p>
    <w:p w14:paraId="7E5F11C3" w14:textId="77777777" w:rsidR="00D9407E" w:rsidRPr="00D9407E" w:rsidRDefault="00D9407E" w:rsidP="00D9407E">
      <w:pPr>
        <w:jc w:val="both"/>
        <w:rPr>
          <w:rFonts w:ascii="Arial" w:hAnsi="Arial" w:cs="Arial"/>
          <w:sz w:val="22"/>
          <w:szCs w:val="22"/>
        </w:rPr>
      </w:pPr>
      <w:r w:rsidRPr="00D9407E">
        <w:rPr>
          <w:rFonts w:ascii="Arial" w:hAnsi="Arial" w:cs="Arial"/>
          <w:b/>
          <w:sz w:val="22"/>
          <w:szCs w:val="22"/>
        </w:rPr>
        <w:t xml:space="preserve">Grupos de valor: </w:t>
      </w:r>
      <w:r w:rsidRPr="00D9407E">
        <w:rPr>
          <w:rFonts w:ascii="Arial" w:hAnsi="Arial" w:cs="Arial"/>
          <w:sz w:val="22"/>
          <w:szCs w:val="22"/>
        </w:rPr>
        <w:t>personas naturales (ciudadanos) o jurídicas (organizaciones públicas o privadas) a quienes van dirigidos los bienes y servicios de una entidad.</w:t>
      </w:r>
    </w:p>
    <w:p w14:paraId="20397302" w14:textId="77777777" w:rsidR="00D9407E" w:rsidRPr="00D9407E" w:rsidRDefault="00D9407E" w:rsidP="00D9407E">
      <w:pPr>
        <w:jc w:val="both"/>
        <w:rPr>
          <w:rFonts w:ascii="Arial" w:hAnsi="Arial" w:cs="Arial"/>
          <w:sz w:val="22"/>
          <w:szCs w:val="22"/>
        </w:rPr>
      </w:pPr>
      <w:r w:rsidRPr="00D9407E">
        <w:rPr>
          <w:rFonts w:ascii="Arial" w:hAnsi="Arial" w:cs="Arial"/>
          <w:b/>
          <w:sz w:val="22"/>
          <w:szCs w:val="22"/>
        </w:rPr>
        <w:t>Información pública:</w:t>
      </w:r>
      <w:r w:rsidRPr="00D9407E">
        <w:rPr>
          <w:rFonts w:ascii="Arial" w:hAnsi="Arial" w:cs="Arial"/>
          <w:sz w:val="22"/>
          <w:szCs w:val="22"/>
        </w:rPr>
        <w:t xml:space="preserve"> es toda información que una entidad que maneja recursos públicos obtenga, adquiera o controle.</w:t>
      </w:r>
    </w:p>
    <w:p w14:paraId="56FDCF4B" w14:textId="77777777" w:rsidR="00D9407E" w:rsidRPr="00D9407E" w:rsidRDefault="00D9407E" w:rsidP="00D9407E">
      <w:pPr>
        <w:jc w:val="both"/>
        <w:rPr>
          <w:rFonts w:ascii="Arial" w:hAnsi="Arial" w:cs="Arial"/>
          <w:sz w:val="22"/>
          <w:szCs w:val="22"/>
        </w:rPr>
      </w:pPr>
      <w:r w:rsidRPr="00D9407E">
        <w:rPr>
          <w:rFonts w:ascii="Arial" w:hAnsi="Arial" w:cs="Arial"/>
          <w:b/>
          <w:sz w:val="22"/>
          <w:szCs w:val="22"/>
        </w:rPr>
        <w:t>Veedurías ciudadanas:</w:t>
      </w:r>
      <w:r w:rsidRPr="00D9407E">
        <w:rPr>
          <w:rFonts w:ascii="Arial" w:hAnsi="Arial" w:cs="Arial"/>
          <w:sz w:val="22"/>
          <w:szCs w:val="22"/>
        </w:rPr>
        <w:t xml:space="preserve"> mecanismo democrático de representación que le permite a los ciudadanos o a las diferentes organizaciones comunitarias, ejercer vigilancia sobre la gestión pública, respecto a las autoridades, administrativas, políticas, judiciales, electorales, legislativas y órganos de control, así como de las entidades públicas o privadas, organizaciones no gubernamentales de carácter nacional o internacional que operen en el país, encargadas de la ejecución de un programa, proyecto, contrato o de la prestación de un servicio público.</w:t>
      </w:r>
    </w:p>
    <w:p w14:paraId="62065998" w14:textId="77777777" w:rsidR="00D9407E" w:rsidRPr="00D9407E" w:rsidRDefault="00D9407E" w:rsidP="00D9407E">
      <w:pPr>
        <w:ind w:left="426"/>
        <w:jc w:val="both"/>
        <w:rPr>
          <w:rFonts w:ascii="Arial" w:hAnsi="Arial" w:cs="Arial"/>
          <w:sz w:val="22"/>
          <w:szCs w:val="22"/>
        </w:rPr>
      </w:pPr>
    </w:p>
    <w:p w14:paraId="28A804E5" w14:textId="1E7CD9B7" w:rsidR="00D9407E" w:rsidRPr="00B479FE" w:rsidRDefault="00D9407E" w:rsidP="00C91088">
      <w:pPr>
        <w:pStyle w:val="Prrafodelista"/>
        <w:numPr>
          <w:ilvl w:val="1"/>
          <w:numId w:val="11"/>
        </w:numPr>
        <w:jc w:val="both"/>
        <w:rPr>
          <w:rFonts w:ascii="Arial" w:hAnsi="Arial" w:cs="Arial"/>
          <w:sz w:val="22"/>
          <w:szCs w:val="22"/>
        </w:rPr>
      </w:pPr>
      <w:r w:rsidRPr="00B479FE">
        <w:rPr>
          <w:rFonts w:ascii="Arial" w:hAnsi="Arial" w:cs="Arial"/>
          <w:sz w:val="22"/>
          <w:szCs w:val="22"/>
        </w:rPr>
        <w:t xml:space="preserve">Líneas de acción – mecanismos utilizados </w:t>
      </w:r>
    </w:p>
    <w:p w14:paraId="36B91540" w14:textId="77777777" w:rsidR="00B479FE" w:rsidRPr="00B479FE" w:rsidRDefault="00B479FE" w:rsidP="00B479FE">
      <w:pPr>
        <w:rPr>
          <w:lang w:val="es-CO" w:eastAsia="en-US"/>
        </w:rPr>
      </w:pPr>
    </w:p>
    <w:p w14:paraId="6D04B800" w14:textId="77777777" w:rsidR="00D9407E" w:rsidRPr="00B479FE" w:rsidRDefault="00D9407E" w:rsidP="00B479FE">
      <w:pPr>
        <w:jc w:val="both"/>
        <w:rPr>
          <w:rFonts w:ascii="Arial" w:eastAsiaTheme="majorEastAsia" w:hAnsi="Arial" w:cs="Arial"/>
          <w:color w:val="000000" w:themeColor="text1"/>
          <w:sz w:val="22"/>
          <w:szCs w:val="22"/>
        </w:rPr>
      </w:pPr>
      <w:r w:rsidRPr="00B479FE">
        <w:rPr>
          <w:rFonts w:ascii="Arial" w:eastAsiaTheme="majorEastAsia" w:hAnsi="Arial" w:cs="Arial"/>
          <w:color w:val="000000" w:themeColor="text1"/>
          <w:sz w:val="22"/>
          <w:szCs w:val="22"/>
        </w:rPr>
        <w:t>Las líneas de acción definidas para la rendición permanente de cuentas en la entidad son definidas en la Estrategia de Transparencia, Atención al Ciudadano y Participación y se exponen en el campo de acción de este documento. Cada una de estas tres líneas de trabajo se desarrolla en el Proceso de rendición de cuentas del IDPC señalado en el apartado de referencias conceptuales.</w:t>
      </w:r>
    </w:p>
    <w:p w14:paraId="6913CA0A" w14:textId="77777777" w:rsidR="00D9407E" w:rsidRPr="00D9407E" w:rsidRDefault="00D9407E" w:rsidP="00D9407E">
      <w:pPr>
        <w:jc w:val="both"/>
        <w:rPr>
          <w:rFonts w:ascii="Arial" w:hAnsi="Arial" w:cs="Arial"/>
          <w:color w:val="000000" w:themeColor="text1"/>
          <w:sz w:val="22"/>
          <w:szCs w:val="22"/>
        </w:rPr>
      </w:pPr>
    </w:p>
    <w:p w14:paraId="373ACD02" w14:textId="77777777" w:rsidR="00D9407E" w:rsidRPr="00D9407E" w:rsidRDefault="00D9407E" w:rsidP="00D9407E">
      <w:pPr>
        <w:jc w:val="both"/>
        <w:rPr>
          <w:rFonts w:ascii="Arial" w:eastAsiaTheme="majorEastAsia" w:hAnsi="Arial" w:cs="Arial"/>
          <w:color w:val="000000" w:themeColor="text1"/>
          <w:sz w:val="22"/>
          <w:szCs w:val="22"/>
        </w:rPr>
      </w:pPr>
      <w:r w:rsidRPr="00D9407E">
        <w:rPr>
          <w:rFonts w:ascii="Arial" w:eastAsiaTheme="majorEastAsia" w:hAnsi="Arial" w:cs="Arial"/>
          <w:color w:val="000000" w:themeColor="text1"/>
          <w:sz w:val="22"/>
          <w:szCs w:val="22"/>
        </w:rPr>
        <w:t>Las siguientes líneas describen los lineamientos, sin ser objeto de obligatoriedad sino más bien a manera del deber ser, a considerar en cada una de las fases de rendición de cuentas, mediadas por los ejes transversales implicados en cada una de ellas:</w:t>
      </w:r>
    </w:p>
    <w:p w14:paraId="65D7845D" w14:textId="77777777" w:rsidR="00D9407E" w:rsidRPr="00D9407E" w:rsidRDefault="00D9407E" w:rsidP="00D9407E">
      <w:pPr>
        <w:jc w:val="both"/>
        <w:rPr>
          <w:rFonts w:ascii="Arial" w:hAnsi="Arial" w:cs="Arial"/>
          <w:sz w:val="22"/>
          <w:szCs w:val="22"/>
        </w:rPr>
      </w:pPr>
    </w:p>
    <w:p w14:paraId="17FDDE4C" w14:textId="77777777" w:rsidR="00D9407E" w:rsidRDefault="00D9407E" w:rsidP="00D9407E">
      <w:pPr>
        <w:jc w:val="both"/>
        <w:rPr>
          <w:rFonts w:ascii="Arial" w:hAnsi="Arial" w:cs="Arial"/>
          <w:b/>
          <w:sz w:val="22"/>
          <w:szCs w:val="22"/>
        </w:rPr>
      </w:pPr>
      <w:r w:rsidRPr="00D9407E">
        <w:rPr>
          <w:rFonts w:ascii="Arial" w:hAnsi="Arial" w:cs="Arial"/>
          <w:b/>
          <w:sz w:val="22"/>
          <w:szCs w:val="22"/>
        </w:rPr>
        <w:t>Fase de diseño</w:t>
      </w:r>
    </w:p>
    <w:p w14:paraId="722B4C7F" w14:textId="77777777" w:rsidR="00B479FE" w:rsidRPr="00D9407E" w:rsidRDefault="00B479FE" w:rsidP="00D9407E">
      <w:pPr>
        <w:jc w:val="both"/>
        <w:rPr>
          <w:rFonts w:ascii="Arial" w:hAnsi="Arial" w:cs="Arial"/>
          <w:b/>
          <w:sz w:val="22"/>
          <w:szCs w:val="22"/>
        </w:rPr>
      </w:pPr>
    </w:p>
    <w:tbl>
      <w:tblPr>
        <w:tblStyle w:val="Listamedia2-nfasis1"/>
        <w:tblW w:w="5058" w:type="pct"/>
        <w:tblInd w:w="-10" w:type="dxa"/>
        <w:tblLook w:val="04A0" w:firstRow="1" w:lastRow="0" w:firstColumn="1" w:lastColumn="0" w:noHBand="0" w:noVBand="1"/>
      </w:tblPr>
      <w:tblGrid>
        <w:gridCol w:w="1391"/>
        <w:gridCol w:w="3223"/>
        <w:gridCol w:w="5585"/>
      </w:tblGrid>
      <w:tr w:rsidR="00D9407E" w:rsidRPr="00D9407E" w14:paraId="1BB656BF" w14:textId="77777777" w:rsidTr="00E31A4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74" w:type="pct"/>
          </w:tcPr>
          <w:p w14:paraId="0145BC6A" w14:textId="77777777" w:rsidR="00D9407E" w:rsidRPr="00D9407E" w:rsidRDefault="00D9407E" w:rsidP="00E31A49">
            <w:pPr>
              <w:jc w:val="both"/>
              <w:rPr>
                <w:rFonts w:ascii="Arial" w:hAnsi="Arial" w:cs="Arial"/>
                <w:b/>
                <w:sz w:val="22"/>
                <w:szCs w:val="22"/>
              </w:rPr>
            </w:pPr>
            <w:r w:rsidRPr="00D9407E">
              <w:rPr>
                <w:rFonts w:ascii="Arial" w:hAnsi="Arial" w:cs="Arial"/>
                <w:b/>
                <w:sz w:val="22"/>
                <w:szCs w:val="22"/>
              </w:rPr>
              <w:t>Eje transversal</w:t>
            </w:r>
          </w:p>
        </w:tc>
        <w:tc>
          <w:tcPr>
            <w:tcW w:w="1584" w:type="pct"/>
          </w:tcPr>
          <w:p w14:paraId="6B59E7D3" w14:textId="77777777" w:rsidR="00D9407E" w:rsidRPr="00D9407E" w:rsidRDefault="00D9407E" w:rsidP="00E31A49">
            <w:pPr>
              <w:jc w:val="center"/>
              <w:cnfStyle w:val="100000000000" w:firstRow="1" w:lastRow="0" w:firstColumn="0" w:lastColumn="0" w:oddVBand="0" w:evenVBand="0" w:oddHBand="0" w:evenHBand="0" w:firstRowFirstColumn="0" w:firstRowLastColumn="0" w:lastRowFirstColumn="0" w:lastRowLastColumn="0"/>
              <w:rPr>
                <w:rFonts w:ascii="Arial" w:hAnsi="Arial" w:cs="Arial"/>
                <w:b/>
                <w:sz w:val="22"/>
                <w:szCs w:val="22"/>
              </w:rPr>
            </w:pPr>
            <w:r w:rsidRPr="00D9407E">
              <w:rPr>
                <w:rFonts w:ascii="Arial" w:hAnsi="Arial" w:cs="Arial"/>
                <w:b/>
                <w:sz w:val="22"/>
                <w:szCs w:val="22"/>
              </w:rPr>
              <w:t>Lineamiento</w:t>
            </w:r>
          </w:p>
        </w:tc>
        <w:tc>
          <w:tcPr>
            <w:tcW w:w="2742" w:type="pct"/>
          </w:tcPr>
          <w:p w14:paraId="731F8821" w14:textId="77777777" w:rsidR="00D9407E" w:rsidRPr="00D9407E" w:rsidRDefault="00D9407E" w:rsidP="00E31A49">
            <w:pPr>
              <w:jc w:val="center"/>
              <w:cnfStyle w:val="100000000000" w:firstRow="1" w:lastRow="0" w:firstColumn="0" w:lastColumn="0" w:oddVBand="0" w:evenVBand="0" w:oddHBand="0" w:evenHBand="0" w:firstRowFirstColumn="0" w:firstRowLastColumn="0" w:lastRowFirstColumn="0" w:lastRowLastColumn="0"/>
              <w:rPr>
                <w:rFonts w:ascii="Arial" w:hAnsi="Arial" w:cs="Arial"/>
                <w:b/>
                <w:sz w:val="22"/>
                <w:szCs w:val="22"/>
              </w:rPr>
            </w:pPr>
            <w:r w:rsidRPr="00D9407E">
              <w:rPr>
                <w:rFonts w:ascii="Arial" w:hAnsi="Arial" w:cs="Arial"/>
                <w:b/>
                <w:sz w:val="22"/>
                <w:szCs w:val="22"/>
              </w:rPr>
              <w:t xml:space="preserve">Mecanismos utilizados </w:t>
            </w:r>
          </w:p>
        </w:tc>
      </w:tr>
      <w:tr w:rsidR="00D9407E" w:rsidRPr="00D9407E" w14:paraId="6C3A3776" w14:textId="77777777" w:rsidTr="00E31A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4" w:type="pct"/>
          </w:tcPr>
          <w:p w14:paraId="3D2AA17F" w14:textId="77777777" w:rsidR="00D9407E" w:rsidRPr="00D9407E" w:rsidRDefault="00D9407E" w:rsidP="00E31A49">
            <w:pPr>
              <w:jc w:val="both"/>
              <w:rPr>
                <w:rFonts w:ascii="Arial" w:hAnsi="Arial" w:cs="Arial"/>
                <w:sz w:val="22"/>
                <w:szCs w:val="22"/>
              </w:rPr>
            </w:pPr>
            <w:r w:rsidRPr="00D9407E">
              <w:rPr>
                <w:rFonts w:ascii="Arial" w:hAnsi="Arial" w:cs="Arial"/>
                <w:sz w:val="22"/>
                <w:szCs w:val="22"/>
              </w:rPr>
              <w:t>Información</w:t>
            </w:r>
          </w:p>
        </w:tc>
        <w:tc>
          <w:tcPr>
            <w:tcW w:w="1584" w:type="pct"/>
            <w:shd w:val="clear" w:color="auto" w:fill="DBE5F1" w:themeFill="accent1" w:themeFillTint="33"/>
          </w:tcPr>
          <w:p w14:paraId="27826340" w14:textId="77777777" w:rsidR="00D9407E" w:rsidRPr="00D9407E" w:rsidRDefault="00D9407E" w:rsidP="00C91088">
            <w:pPr>
              <w:pStyle w:val="Prrafodelista"/>
              <w:numPr>
                <w:ilvl w:val="0"/>
                <w:numId w:val="4"/>
              </w:numPr>
              <w:ind w:left="115" w:firstLine="0"/>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D9407E">
              <w:rPr>
                <w:rFonts w:ascii="Arial" w:hAnsi="Arial" w:cs="Arial"/>
                <w:sz w:val="22"/>
                <w:szCs w:val="22"/>
              </w:rPr>
              <w:t>De</w:t>
            </w:r>
            <w:r w:rsidRPr="00D9407E">
              <w:rPr>
                <w:rFonts w:ascii="Arial" w:hAnsi="Arial" w:cs="Arial"/>
                <w:sz w:val="22"/>
                <w:szCs w:val="22"/>
                <w:lang w:val="es-US"/>
              </w:rPr>
              <w:t>finir</w:t>
            </w:r>
            <w:r w:rsidRPr="00D9407E">
              <w:rPr>
                <w:rFonts w:ascii="Arial" w:hAnsi="Arial" w:cs="Arial"/>
                <w:sz w:val="22"/>
                <w:szCs w:val="22"/>
              </w:rPr>
              <w:t xml:space="preserve"> datos </w:t>
            </w:r>
            <w:r w:rsidRPr="00D9407E">
              <w:rPr>
                <w:rFonts w:ascii="Arial" w:hAnsi="Arial" w:cs="Arial"/>
                <w:sz w:val="22"/>
                <w:szCs w:val="22"/>
              </w:rPr>
              <w:lastRenderedPageBreak/>
              <w:t>organizados priorizando la interpretación de la información de cara a la ciudadanía, mediante el uso de lenguaje claro y de fácil interpretación, la presentación del patrimonio cultural desde el enfoque de derechos humanos, la exposición transparente de logros y una estructura gráfica amigable para los lectores.</w:t>
            </w:r>
          </w:p>
        </w:tc>
        <w:tc>
          <w:tcPr>
            <w:tcW w:w="2742" w:type="pct"/>
            <w:shd w:val="clear" w:color="auto" w:fill="DBE5F1" w:themeFill="accent1" w:themeFillTint="33"/>
          </w:tcPr>
          <w:p w14:paraId="5026471F" w14:textId="77777777" w:rsidR="00D9407E" w:rsidRPr="00D9407E" w:rsidRDefault="00D9407E" w:rsidP="00C91088">
            <w:pPr>
              <w:pStyle w:val="Prrafodelista"/>
              <w:numPr>
                <w:ilvl w:val="0"/>
                <w:numId w:val="4"/>
              </w:numPr>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D9407E">
              <w:rPr>
                <w:rFonts w:ascii="Arial" w:hAnsi="Arial" w:cs="Arial"/>
                <w:sz w:val="22"/>
                <w:szCs w:val="22"/>
              </w:rPr>
              <w:lastRenderedPageBreak/>
              <w:t xml:space="preserve">Preparar la información de logros de la gestión </w:t>
            </w:r>
            <w:r w:rsidRPr="00D9407E">
              <w:rPr>
                <w:rFonts w:ascii="Arial" w:hAnsi="Arial" w:cs="Arial"/>
                <w:sz w:val="22"/>
                <w:szCs w:val="22"/>
              </w:rPr>
              <w:lastRenderedPageBreak/>
              <w:t xml:space="preserve">institucional 2019, utilizando los diferentes canales de comunicación de la entidad: correo institucional, mesas de trabajo con las áreas de la entidad, micrositio de transparencia y acceso a la información pública, mesas de participación ciudadana.  </w:t>
            </w:r>
          </w:p>
          <w:p w14:paraId="678344EE" w14:textId="77777777" w:rsidR="00D9407E" w:rsidRPr="00D9407E" w:rsidRDefault="00D9407E" w:rsidP="00C91088">
            <w:pPr>
              <w:pStyle w:val="Prrafodelista"/>
              <w:numPr>
                <w:ilvl w:val="0"/>
                <w:numId w:val="4"/>
              </w:numPr>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D9407E">
              <w:rPr>
                <w:rFonts w:ascii="Arial" w:hAnsi="Arial" w:cs="Arial"/>
                <w:sz w:val="22"/>
                <w:szCs w:val="22"/>
              </w:rPr>
              <w:t>Generar mecanismos de inclusión de proyectos dirigido a grupos poblacionales dentro del programa distrital de estímulos y al programa distrital de apoyos concertados.</w:t>
            </w:r>
          </w:p>
          <w:p w14:paraId="31F8420B" w14:textId="77777777" w:rsidR="00D9407E" w:rsidRPr="00D9407E" w:rsidRDefault="00D9407E" w:rsidP="00C91088">
            <w:pPr>
              <w:pStyle w:val="Prrafodelista"/>
              <w:numPr>
                <w:ilvl w:val="0"/>
                <w:numId w:val="4"/>
              </w:numPr>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D9407E">
              <w:rPr>
                <w:rFonts w:ascii="Arial" w:hAnsi="Arial" w:cs="Arial"/>
                <w:sz w:val="22"/>
                <w:szCs w:val="22"/>
              </w:rPr>
              <w:t>Formular el plan de acción de la estrategia de rendición de cuentas y el de participación ciudadana.</w:t>
            </w:r>
          </w:p>
          <w:p w14:paraId="1C0A62D6" w14:textId="77777777" w:rsidR="00D9407E" w:rsidRPr="00D9407E" w:rsidRDefault="00D9407E" w:rsidP="00E31A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p w14:paraId="557E601E" w14:textId="77777777" w:rsidR="00D9407E" w:rsidRPr="00D9407E" w:rsidRDefault="00D9407E" w:rsidP="00C91088">
            <w:pPr>
              <w:pStyle w:val="Prrafodelista"/>
              <w:numPr>
                <w:ilvl w:val="0"/>
                <w:numId w:val="4"/>
              </w:numPr>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D9407E">
              <w:rPr>
                <w:rFonts w:ascii="Arial" w:hAnsi="Arial" w:cs="Arial"/>
                <w:sz w:val="22"/>
                <w:szCs w:val="22"/>
              </w:rPr>
              <w:t>Publicar los informes de logros y resultados (en formato comprensible para la ciudadanía), de los eventos de rendición de cuentas (Sectorial + Institucional), en los canales de comunicación de la Entidad.</w:t>
            </w:r>
          </w:p>
        </w:tc>
      </w:tr>
      <w:tr w:rsidR="00D9407E" w:rsidRPr="00D9407E" w14:paraId="0D1E63C1" w14:textId="77777777" w:rsidTr="00E31A49">
        <w:trPr>
          <w:trHeight w:val="5254"/>
        </w:trPr>
        <w:tc>
          <w:tcPr>
            <w:cnfStyle w:val="001000000000" w:firstRow="0" w:lastRow="0" w:firstColumn="1" w:lastColumn="0" w:oddVBand="0" w:evenVBand="0" w:oddHBand="0" w:evenHBand="0" w:firstRowFirstColumn="0" w:firstRowLastColumn="0" w:lastRowFirstColumn="0" w:lastRowLastColumn="0"/>
            <w:tcW w:w="674" w:type="pct"/>
          </w:tcPr>
          <w:p w14:paraId="106E9E89" w14:textId="77777777" w:rsidR="00D9407E" w:rsidRPr="00D9407E" w:rsidRDefault="00D9407E" w:rsidP="00E31A49">
            <w:pPr>
              <w:ind w:left="720" w:hanging="720"/>
              <w:jc w:val="both"/>
              <w:rPr>
                <w:rFonts w:ascii="Arial" w:hAnsi="Arial" w:cs="Arial"/>
                <w:sz w:val="22"/>
                <w:szCs w:val="22"/>
              </w:rPr>
            </w:pPr>
            <w:r w:rsidRPr="00D9407E">
              <w:rPr>
                <w:rFonts w:ascii="Arial" w:hAnsi="Arial" w:cs="Arial"/>
                <w:sz w:val="22"/>
                <w:szCs w:val="22"/>
              </w:rPr>
              <w:lastRenderedPageBreak/>
              <w:t>Diálogo</w:t>
            </w:r>
          </w:p>
        </w:tc>
        <w:tc>
          <w:tcPr>
            <w:tcW w:w="1584" w:type="pct"/>
            <w:shd w:val="clear" w:color="auto" w:fill="DBE5F1" w:themeFill="accent1" w:themeFillTint="33"/>
          </w:tcPr>
          <w:p w14:paraId="7EC49A33" w14:textId="77777777" w:rsidR="00D9407E" w:rsidRPr="00D9407E" w:rsidRDefault="00D9407E" w:rsidP="00C91088">
            <w:pPr>
              <w:pStyle w:val="Prrafodelista"/>
              <w:numPr>
                <w:ilvl w:val="0"/>
                <w:numId w:val="4"/>
              </w:numPr>
              <w:ind w:left="115" w:firstLine="0"/>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9407E">
              <w:rPr>
                <w:rFonts w:ascii="Arial" w:hAnsi="Arial" w:cs="Arial"/>
                <w:sz w:val="22"/>
                <w:szCs w:val="22"/>
              </w:rPr>
              <w:t>Definir ámbitos de interacción ciudadana identificados a la participación ciudadana, que permitan un Diálogo con la ciudadanía para la rendición de cuentas y la retroalimentación de la gestión.</w:t>
            </w:r>
          </w:p>
        </w:tc>
        <w:tc>
          <w:tcPr>
            <w:tcW w:w="2742" w:type="pct"/>
            <w:shd w:val="clear" w:color="auto" w:fill="DBE5F1" w:themeFill="accent1" w:themeFillTint="33"/>
          </w:tcPr>
          <w:p w14:paraId="575C8BB7" w14:textId="77777777" w:rsidR="00D9407E" w:rsidRPr="00D9407E" w:rsidRDefault="00D9407E" w:rsidP="00E31A49">
            <w:pPr>
              <w:spacing w:after="200"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9407E">
              <w:rPr>
                <w:rFonts w:ascii="Arial" w:hAnsi="Arial" w:cs="Arial"/>
                <w:sz w:val="22"/>
                <w:szCs w:val="22"/>
              </w:rPr>
              <w:t>Seguimiento a mesas de pactos ciudadanos y verificación de los Observatorios Ciudadanos Distritales o Locales, convocadas por la Veeduría Distrital.</w:t>
            </w:r>
            <w:r w:rsidRPr="00D9407E">
              <w:rPr>
                <w:rFonts w:ascii="Arial" w:hAnsi="Arial" w:cs="Arial"/>
                <w:color w:val="4BACC6" w:themeColor="accent5"/>
                <w:sz w:val="22"/>
                <w:szCs w:val="22"/>
              </w:rPr>
              <w:t xml:space="preserve">   </w:t>
            </w:r>
            <w:r w:rsidRPr="00D9407E">
              <w:rPr>
                <w:rFonts w:ascii="Arial" w:hAnsi="Arial" w:cs="Arial"/>
                <w:sz w:val="22"/>
                <w:szCs w:val="22"/>
              </w:rPr>
              <w:t>Realizar audiencia pública de rendición de cuentas del IDPC</w:t>
            </w:r>
          </w:p>
          <w:p w14:paraId="1468C89F" w14:textId="77777777" w:rsidR="00D9407E" w:rsidRPr="00D9407E" w:rsidRDefault="00D9407E" w:rsidP="00E31A49">
            <w:pPr>
              <w:spacing w:after="200"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4BACC6" w:themeColor="accent5"/>
                <w:sz w:val="22"/>
                <w:szCs w:val="22"/>
              </w:rPr>
            </w:pPr>
            <w:r w:rsidRPr="00D9407E">
              <w:rPr>
                <w:rFonts w:ascii="Arial" w:hAnsi="Arial" w:cs="Arial"/>
                <w:sz w:val="22"/>
                <w:szCs w:val="22"/>
              </w:rPr>
              <w:t xml:space="preserve">Informe de Gestión Institucional 2019: </w:t>
            </w:r>
            <w:hyperlink r:id="rId12" w:history="1">
              <w:r w:rsidRPr="00D9407E">
                <w:rPr>
                  <w:rStyle w:val="Hipervnculo"/>
                  <w:rFonts w:ascii="Arial" w:hAnsi="Arial" w:cs="Arial"/>
                  <w:sz w:val="22"/>
                  <w:szCs w:val="22"/>
                </w:rPr>
                <w:t>http://idpc.gov.co/transparencia-y-acceso-a-la-informacion-publica/ ley_transparencia_idpc/informes-gestion-evaluacion-auditoria/</w:t>
              </w:r>
            </w:hyperlink>
            <w:r w:rsidRPr="00D9407E">
              <w:rPr>
                <w:rFonts w:ascii="Arial" w:hAnsi="Arial" w:cs="Arial"/>
                <w:sz w:val="22"/>
                <w:szCs w:val="22"/>
              </w:rPr>
              <w:t xml:space="preserve">. Resoluciones modificatorias sobre bienes muebles e inmuebles declarados como Bienes de Interés Cultural (BIC), de acceso público y que pueden ser consultadas en </w:t>
            </w:r>
            <w:hyperlink r:id="rId13" w:tgtFrame="_blank" w:history="1">
              <w:r w:rsidRPr="00D9407E">
                <w:rPr>
                  <w:rFonts w:ascii="Arial" w:hAnsi="Arial" w:cs="Arial"/>
                  <w:color w:val="4BACC6" w:themeColor="accent5"/>
                  <w:sz w:val="22"/>
                  <w:szCs w:val="22"/>
                </w:rPr>
                <w:t>http://www.culturarecreacionydeporte.gov.co/es/scrd-transparente/otras-publicaciones</w:t>
              </w:r>
            </w:hyperlink>
            <w:r w:rsidRPr="00D9407E">
              <w:rPr>
                <w:rFonts w:ascii="Arial" w:hAnsi="Arial" w:cs="Arial"/>
                <w:color w:val="4BACC6" w:themeColor="accent5"/>
                <w:sz w:val="22"/>
                <w:szCs w:val="22"/>
              </w:rPr>
              <w:t>.</w:t>
            </w:r>
          </w:p>
          <w:p w14:paraId="12E526C6" w14:textId="77777777" w:rsidR="00D9407E" w:rsidRPr="00D9407E" w:rsidRDefault="00D9407E" w:rsidP="00C91088">
            <w:pPr>
              <w:pStyle w:val="Prrafodelista"/>
              <w:numPr>
                <w:ilvl w:val="0"/>
                <w:numId w:val="4"/>
              </w:numPr>
              <w:spacing w:after="200"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9407E">
              <w:rPr>
                <w:rFonts w:ascii="Arial" w:hAnsi="Arial" w:cs="Arial"/>
                <w:sz w:val="22"/>
                <w:szCs w:val="22"/>
              </w:rPr>
              <w:t>Ejecutar la estrategia de Rendición de Cuentas del Sector Cultura, Recreación y Deporte.</w:t>
            </w:r>
          </w:p>
          <w:p w14:paraId="7C0D3771" w14:textId="77777777" w:rsidR="00D9407E" w:rsidRPr="00D9407E" w:rsidRDefault="00D9407E" w:rsidP="00E31A49">
            <w:pPr>
              <w:spacing w:after="200"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4BACC6" w:themeColor="accent5"/>
                <w:sz w:val="22"/>
                <w:szCs w:val="22"/>
              </w:rPr>
            </w:pPr>
            <w:r w:rsidRPr="00D9407E">
              <w:rPr>
                <w:rFonts w:ascii="Arial" w:hAnsi="Arial" w:cs="Arial"/>
                <w:sz w:val="22"/>
                <w:szCs w:val="22"/>
              </w:rPr>
              <w:t>Mesas de participación ciudadana, para la aplicación de las políticas en las cuales participe el IDPC</w:t>
            </w:r>
            <w:r w:rsidRPr="00D9407E">
              <w:rPr>
                <w:rFonts w:ascii="Arial" w:hAnsi="Arial" w:cs="Arial"/>
                <w:color w:val="4BACC6" w:themeColor="accent5"/>
                <w:sz w:val="22"/>
                <w:szCs w:val="22"/>
              </w:rPr>
              <w:t xml:space="preserve"> </w:t>
            </w:r>
          </w:p>
          <w:p w14:paraId="2214EF20" w14:textId="77777777" w:rsidR="00D9407E" w:rsidRPr="00D9407E" w:rsidRDefault="00D9407E" w:rsidP="00C91088">
            <w:pPr>
              <w:pStyle w:val="Prrafodelista"/>
              <w:numPr>
                <w:ilvl w:val="0"/>
                <w:numId w:val="4"/>
              </w:numPr>
              <w:spacing w:after="200" w:line="276" w:lineRule="auto"/>
              <w:cnfStyle w:val="000000000000" w:firstRow="0" w:lastRow="0" w:firstColumn="0" w:lastColumn="0" w:oddVBand="0" w:evenVBand="0" w:oddHBand="0" w:evenHBand="0" w:firstRowFirstColumn="0" w:firstRowLastColumn="0" w:lastRowFirstColumn="0" w:lastRowLastColumn="0"/>
              <w:rPr>
                <w:rFonts w:ascii="Arial" w:hAnsi="Arial" w:cs="Arial"/>
                <w:color w:val="4BACC6" w:themeColor="accent5"/>
                <w:sz w:val="22"/>
                <w:szCs w:val="22"/>
              </w:rPr>
            </w:pPr>
            <w:r w:rsidRPr="00D9407E">
              <w:rPr>
                <w:rFonts w:ascii="Arial" w:hAnsi="Arial" w:cs="Arial"/>
                <w:sz w:val="22"/>
                <w:szCs w:val="22"/>
              </w:rPr>
              <w:t>Emitir respuesta a las solicitudes de información que realice la ciudadanía a partir de las audiencias de rendición de cuentas</w:t>
            </w:r>
            <w:r w:rsidRPr="00D9407E">
              <w:rPr>
                <w:rFonts w:ascii="Arial" w:hAnsi="Arial" w:cs="Arial"/>
                <w:color w:val="4BACC6" w:themeColor="accent5"/>
                <w:sz w:val="22"/>
                <w:szCs w:val="22"/>
              </w:rPr>
              <w:t>.</w:t>
            </w:r>
          </w:p>
          <w:p w14:paraId="182668E2" w14:textId="77777777" w:rsidR="00D9407E" w:rsidRPr="00D9407E" w:rsidRDefault="00D9407E" w:rsidP="00C91088">
            <w:pPr>
              <w:pStyle w:val="Prrafodelista"/>
              <w:numPr>
                <w:ilvl w:val="0"/>
                <w:numId w:val="4"/>
              </w:numPr>
              <w:spacing w:after="200"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9407E">
              <w:rPr>
                <w:rFonts w:ascii="Arial" w:hAnsi="Arial" w:cs="Arial"/>
                <w:sz w:val="22"/>
                <w:szCs w:val="22"/>
              </w:rPr>
              <w:t xml:space="preserve">Consolidar la documentación de la Caja de </w:t>
            </w:r>
            <w:r w:rsidRPr="00D9407E">
              <w:rPr>
                <w:rFonts w:ascii="Arial" w:hAnsi="Arial" w:cs="Arial"/>
                <w:sz w:val="22"/>
                <w:szCs w:val="22"/>
              </w:rPr>
              <w:lastRenderedPageBreak/>
              <w:t>herramientas</w:t>
            </w:r>
          </w:p>
          <w:p w14:paraId="149259CE" w14:textId="77777777" w:rsidR="00D9407E" w:rsidRPr="00D9407E" w:rsidRDefault="00D9407E" w:rsidP="00E31A49">
            <w:p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9407E">
              <w:rPr>
                <w:rFonts w:ascii="Arial" w:hAnsi="Arial" w:cs="Arial"/>
                <w:sz w:val="22"/>
                <w:szCs w:val="22"/>
              </w:rPr>
              <w:t>En el tema de rendición de cuentas IDPC</w:t>
            </w:r>
            <w:r w:rsidRPr="00D9407E">
              <w:rPr>
                <w:rFonts w:ascii="Arial" w:hAnsi="Arial" w:cs="Arial"/>
                <w:color w:val="4BACC6" w:themeColor="accent5"/>
                <w:sz w:val="22"/>
                <w:szCs w:val="22"/>
              </w:rPr>
              <w:t xml:space="preserve">. – </w:t>
            </w:r>
            <w:r w:rsidRPr="00D9407E">
              <w:rPr>
                <w:rFonts w:ascii="Arial" w:hAnsi="Arial" w:cs="Arial"/>
                <w:sz w:val="22"/>
                <w:szCs w:val="22"/>
              </w:rPr>
              <w:t>Audiencia</w:t>
            </w:r>
            <w:r w:rsidRPr="00D9407E">
              <w:rPr>
                <w:rFonts w:ascii="Arial" w:hAnsi="Arial" w:cs="Arial"/>
                <w:color w:val="4BACC6" w:themeColor="accent5"/>
                <w:sz w:val="22"/>
                <w:szCs w:val="22"/>
              </w:rPr>
              <w:t xml:space="preserve"> </w:t>
            </w:r>
            <w:r w:rsidRPr="00D9407E">
              <w:rPr>
                <w:rFonts w:ascii="Arial" w:hAnsi="Arial" w:cs="Arial"/>
                <w:sz w:val="22"/>
                <w:szCs w:val="22"/>
              </w:rPr>
              <w:t>pública. IDPC-SCRD: Audiencia sectorial. IDPC- Distrito: audiencia pública alcalde, Consejos Locales de Gobierno, encuentros ciudadanos, compromisos ciudadanos mediados por la Veeduría Distrital, peticiones y citaciones por entes de control político.</w:t>
            </w:r>
          </w:p>
          <w:p w14:paraId="4D8BF40D" w14:textId="77777777" w:rsidR="00D9407E" w:rsidRPr="00D9407E" w:rsidRDefault="00D9407E" w:rsidP="00C91088">
            <w:pPr>
              <w:pStyle w:val="Prrafodelista"/>
              <w:numPr>
                <w:ilvl w:val="0"/>
                <w:numId w:val="12"/>
              </w:num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s-ES_tradnl"/>
              </w:rPr>
            </w:pPr>
            <w:r w:rsidRPr="00D9407E">
              <w:rPr>
                <w:rFonts w:ascii="Arial" w:hAnsi="Arial" w:cs="Arial"/>
                <w:sz w:val="22"/>
                <w:szCs w:val="22"/>
              </w:rPr>
              <w:t xml:space="preserve">Aprobar el plan de participación ciudadana y socializarlo entre los servidores públicos </w:t>
            </w:r>
          </w:p>
        </w:tc>
      </w:tr>
      <w:tr w:rsidR="00D9407E" w:rsidRPr="00D9407E" w14:paraId="2DAFE019" w14:textId="77777777" w:rsidTr="00E31A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4" w:type="pct"/>
          </w:tcPr>
          <w:p w14:paraId="61E58C19" w14:textId="77777777" w:rsidR="00D9407E" w:rsidRPr="00D9407E" w:rsidRDefault="00D9407E" w:rsidP="00E31A49">
            <w:pPr>
              <w:jc w:val="both"/>
              <w:rPr>
                <w:rFonts w:ascii="Arial" w:hAnsi="Arial" w:cs="Arial"/>
                <w:sz w:val="22"/>
                <w:szCs w:val="22"/>
              </w:rPr>
            </w:pPr>
            <w:r w:rsidRPr="00D9407E">
              <w:rPr>
                <w:rFonts w:ascii="Arial" w:hAnsi="Arial" w:cs="Arial"/>
                <w:sz w:val="22"/>
                <w:szCs w:val="22"/>
              </w:rPr>
              <w:lastRenderedPageBreak/>
              <w:t>Incentivos</w:t>
            </w:r>
          </w:p>
        </w:tc>
        <w:tc>
          <w:tcPr>
            <w:tcW w:w="1584" w:type="pct"/>
          </w:tcPr>
          <w:p w14:paraId="3E3C82A2" w14:textId="77777777" w:rsidR="00D9407E" w:rsidRPr="00D9407E" w:rsidRDefault="00D9407E" w:rsidP="00C91088">
            <w:pPr>
              <w:pStyle w:val="Prrafodelista"/>
              <w:numPr>
                <w:ilvl w:val="0"/>
                <w:numId w:val="4"/>
              </w:numPr>
              <w:ind w:left="0" w:firstLine="0"/>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es-US"/>
              </w:rPr>
            </w:pPr>
            <w:r w:rsidRPr="00D9407E">
              <w:rPr>
                <w:rFonts w:ascii="Arial" w:hAnsi="Arial" w:cs="Arial"/>
                <w:sz w:val="22"/>
                <w:szCs w:val="22"/>
                <w:lang w:val="es-US"/>
              </w:rPr>
              <w:t>Definir incentivos y mecanismos que posibiliten la incidencia de las propuestas resultado de la rendición y petición de cuentas sobre las decisiones tomadas por el IDPC.</w:t>
            </w:r>
          </w:p>
          <w:p w14:paraId="326C5BBE" w14:textId="77777777" w:rsidR="00D9407E" w:rsidRPr="00D9407E" w:rsidRDefault="00D9407E" w:rsidP="00C91088">
            <w:pPr>
              <w:pStyle w:val="Prrafodelista"/>
              <w:numPr>
                <w:ilvl w:val="0"/>
                <w:numId w:val="4"/>
              </w:numPr>
              <w:ind w:left="0" w:firstLine="0"/>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D9407E">
              <w:rPr>
                <w:rFonts w:ascii="Arial" w:hAnsi="Arial" w:cs="Arial"/>
                <w:sz w:val="22"/>
                <w:szCs w:val="22"/>
                <w:lang w:val="es-US"/>
              </w:rPr>
              <w:t>Planear la entrega de otros incentivos teniendo en cuenta los resultados de anteriores consultas previas a la rendición de cuentas.</w:t>
            </w:r>
          </w:p>
        </w:tc>
        <w:tc>
          <w:tcPr>
            <w:tcW w:w="2742" w:type="pct"/>
          </w:tcPr>
          <w:p w14:paraId="0208482B" w14:textId="77777777" w:rsidR="00D9407E" w:rsidRPr="00D9407E" w:rsidRDefault="00D9407E" w:rsidP="00E31A49">
            <w:pPr>
              <w:ind w:left="73"/>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D9407E">
              <w:rPr>
                <w:rFonts w:ascii="Arial" w:hAnsi="Arial" w:cs="Arial"/>
                <w:sz w:val="22"/>
                <w:szCs w:val="22"/>
              </w:rPr>
              <w:t>Internos: Diseñar piezas gráficas para sensibilizar sobre el patrimonio cultural de Bogotá, en el marco de la rendición y petición de cuentas permanente y divulgar en los canales de comunicación del IDPC.</w:t>
            </w:r>
          </w:p>
          <w:p w14:paraId="12C53952" w14:textId="77777777" w:rsidR="00D9407E" w:rsidRPr="00D9407E" w:rsidRDefault="00D9407E" w:rsidP="00E31A49">
            <w:pPr>
              <w:spacing w:before="120" w:after="120"/>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es-US"/>
              </w:rPr>
            </w:pPr>
            <w:r w:rsidRPr="00D9407E">
              <w:rPr>
                <w:rFonts w:ascii="Arial" w:hAnsi="Arial" w:cs="Arial"/>
                <w:sz w:val="22"/>
                <w:szCs w:val="22"/>
              </w:rPr>
              <w:t>Diseñar y poner en marcha un esquema de incentivos para los funcionarios que prestan el servicio de atención a la ciudadanía</w:t>
            </w:r>
            <w:r w:rsidRPr="00D9407E">
              <w:rPr>
                <w:rFonts w:ascii="Arial" w:hAnsi="Arial" w:cs="Arial"/>
                <w:sz w:val="22"/>
                <w:szCs w:val="22"/>
                <w:lang w:val="es-US"/>
              </w:rPr>
              <w:t>.</w:t>
            </w:r>
          </w:p>
          <w:p w14:paraId="3334ABE6" w14:textId="77777777" w:rsidR="00D9407E" w:rsidRPr="00D9407E" w:rsidRDefault="00D9407E" w:rsidP="00E31A49">
            <w:pPr>
              <w:ind w:left="73"/>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es-US"/>
              </w:rPr>
            </w:pPr>
          </w:p>
          <w:p w14:paraId="06B36E60" w14:textId="77777777" w:rsidR="00D9407E" w:rsidRPr="00D9407E" w:rsidRDefault="00D9407E" w:rsidP="00E31A49">
            <w:pPr>
              <w:ind w:left="73"/>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es-US"/>
              </w:rPr>
            </w:pPr>
            <w:r w:rsidRPr="00D9407E">
              <w:rPr>
                <w:rFonts w:ascii="Arial" w:hAnsi="Arial" w:cs="Arial"/>
                <w:sz w:val="22"/>
                <w:szCs w:val="22"/>
                <w:lang w:val="es-US"/>
              </w:rPr>
              <w:t>Externos.</w:t>
            </w:r>
          </w:p>
          <w:p w14:paraId="2C9E07DB" w14:textId="77777777" w:rsidR="00D9407E" w:rsidRPr="00D9407E" w:rsidRDefault="00D9407E" w:rsidP="00E31A49">
            <w:pPr>
              <w:spacing w:before="120" w:after="120"/>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es-US"/>
              </w:rPr>
            </w:pPr>
            <w:r w:rsidRPr="00D9407E">
              <w:rPr>
                <w:rFonts w:ascii="Arial" w:hAnsi="Arial" w:cs="Arial"/>
                <w:sz w:val="22"/>
                <w:szCs w:val="22"/>
                <w:lang w:val="es-US"/>
              </w:rPr>
              <w:t>Identificar y definir incentivos para la participación activa de la ciudadanía en el proceso de rendición y petición de cuentas (acciones colaborativas, reconocimiento de experiencias de control social, entre otras).</w:t>
            </w:r>
          </w:p>
          <w:p w14:paraId="45A03220" w14:textId="77777777" w:rsidR="00D9407E" w:rsidRPr="00D9407E" w:rsidRDefault="00D9407E" w:rsidP="00E31A49">
            <w:pPr>
              <w:ind w:left="73"/>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es-US"/>
              </w:rPr>
            </w:pPr>
          </w:p>
        </w:tc>
      </w:tr>
    </w:tbl>
    <w:p w14:paraId="4F34FD31" w14:textId="77777777" w:rsidR="00D9407E" w:rsidRPr="00D9407E" w:rsidRDefault="00D9407E" w:rsidP="00D9407E">
      <w:pPr>
        <w:jc w:val="both"/>
        <w:rPr>
          <w:rFonts w:ascii="Arial" w:hAnsi="Arial" w:cs="Arial"/>
          <w:b/>
          <w:sz w:val="22"/>
          <w:szCs w:val="22"/>
        </w:rPr>
      </w:pPr>
    </w:p>
    <w:p w14:paraId="3EE22009" w14:textId="77777777" w:rsidR="00D9407E" w:rsidRDefault="00D9407E" w:rsidP="00D9407E">
      <w:pPr>
        <w:jc w:val="both"/>
        <w:rPr>
          <w:rFonts w:ascii="Arial" w:hAnsi="Arial" w:cs="Arial"/>
          <w:b/>
          <w:sz w:val="22"/>
          <w:szCs w:val="22"/>
        </w:rPr>
      </w:pPr>
      <w:r w:rsidRPr="00D9407E">
        <w:rPr>
          <w:rFonts w:ascii="Arial" w:hAnsi="Arial" w:cs="Arial"/>
          <w:b/>
          <w:sz w:val="22"/>
          <w:szCs w:val="22"/>
        </w:rPr>
        <w:t>Fase de preparación</w:t>
      </w:r>
    </w:p>
    <w:p w14:paraId="022286D2" w14:textId="77777777" w:rsidR="00B479FE" w:rsidRPr="00D9407E" w:rsidRDefault="00B479FE" w:rsidP="00D9407E">
      <w:pPr>
        <w:jc w:val="both"/>
        <w:rPr>
          <w:rFonts w:ascii="Arial" w:hAnsi="Arial" w:cs="Arial"/>
          <w:b/>
          <w:sz w:val="22"/>
          <w:szCs w:val="22"/>
        </w:rPr>
      </w:pPr>
    </w:p>
    <w:tbl>
      <w:tblPr>
        <w:tblStyle w:val="Listamedia2-nfasis1"/>
        <w:tblW w:w="5000" w:type="pct"/>
        <w:tblInd w:w="-10" w:type="dxa"/>
        <w:tblLook w:val="04A0" w:firstRow="1" w:lastRow="0" w:firstColumn="1" w:lastColumn="0" w:noHBand="0" w:noVBand="1"/>
      </w:tblPr>
      <w:tblGrid>
        <w:gridCol w:w="1391"/>
        <w:gridCol w:w="4345"/>
        <w:gridCol w:w="4346"/>
      </w:tblGrid>
      <w:tr w:rsidR="00D9407E" w:rsidRPr="00D9407E" w14:paraId="53609D28" w14:textId="77777777" w:rsidTr="00E31A4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82" w:type="pct"/>
          </w:tcPr>
          <w:p w14:paraId="03F3CDF1" w14:textId="77777777" w:rsidR="00D9407E" w:rsidRPr="00D9407E" w:rsidRDefault="00D9407E" w:rsidP="00E31A49">
            <w:pPr>
              <w:jc w:val="both"/>
              <w:rPr>
                <w:rFonts w:ascii="Arial" w:hAnsi="Arial" w:cs="Arial"/>
                <w:b/>
                <w:sz w:val="22"/>
                <w:szCs w:val="22"/>
              </w:rPr>
            </w:pPr>
            <w:r w:rsidRPr="00D9407E">
              <w:rPr>
                <w:rFonts w:ascii="Arial" w:hAnsi="Arial" w:cs="Arial"/>
                <w:b/>
                <w:sz w:val="22"/>
                <w:szCs w:val="22"/>
              </w:rPr>
              <w:t>Eje transversal</w:t>
            </w:r>
          </w:p>
        </w:tc>
        <w:tc>
          <w:tcPr>
            <w:tcW w:w="2159" w:type="pct"/>
          </w:tcPr>
          <w:p w14:paraId="3B3053C5" w14:textId="77777777" w:rsidR="00D9407E" w:rsidRPr="00D9407E" w:rsidRDefault="00D9407E" w:rsidP="00E31A49">
            <w:pPr>
              <w:jc w:val="center"/>
              <w:cnfStyle w:val="100000000000" w:firstRow="1" w:lastRow="0" w:firstColumn="0" w:lastColumn="0" w:oddVBand="0" w:evenVBand="0" w:oddHBand="0" w:evenHBand="0" w:firstRowFirstColumn="0" w:firstRowLastColumn="0" w:lastRowFirstColumn="0" w:lastRowLastColumn="0"/>
              <w:rPr>
                <w:rFonts w:ascii="Arial" w:hAnsi="Arial" w:cs="Arial"/>
                <w:b/>
                <w:sz w:val="22"/>
                <w:szCs w:val="22"/>
              </w:rPr>
            </w:pPr>
            <w:r w:rsidRPr="00D9407E">
              <w:rPr>
                <w:rFonts w:ascii="Arial" w:hAnsi="Arial" w:cs="Arial"/>
                <w:b/>
                <w:sz w:val="22"/>
                <w:szCs w:val="22"/>
              </w:rPr>
              <w:t>Lineamiento</w:t>
            </w:r>
          </w:p>
        </w:tc>
        <w:tc>
          <w:tcPr>
            <w:tcW w:w="2159" w:type="pct"/>
          </w:tcPr>
          <w:p w14:paraId="480A6F67" w14:textId="77777777" w:rsidR="00D9407E" w:rsidRPr="00D9407E" w:rsidRDefault="00D9407E" w:rsidP="00E31A49">
            <w:pPr>
              <w:jc w:val="center"/>
              <w:cnfStyle w:val="100000000000" w:firstRow="1" w:lastRow="0" w:firstColumn="0" w:lastColumn="0" w:oddVBand="0" w:evenVBand="0" w:oddHBand="0" w:evenHBand="0" w:firstRowFirstColumn="0" w:firstRowLastColumn="0" w:lastRowFirstColumn="0" w:lastRowLastColumn="0"/>
              <w:rPr>
                <w:rFonts w:ascii="Arial" w:hAnsi="Arial" w:cs="Arial"/>
                <w:b/>
                <w:sz w:val="22"/>
                <w:szCs w:val="22"/>
              </w:rPr>
            </w:pPr>
            <w:r w:rsidRPr="00D9407E">
              <w:rPr>
                <w:rFonts w:ascii="Arial" w:hAnsi="Arial" w:cs="Arial"/>
                <w:b/>
                <w:sz w:val="22"/>
                <w:szCs w:val="22"/>
              </w:rPr>
              <w:t>Mecanismos utilizados</w:t>
            </w:r>
          </w:p>
        </w:tc>
      </w:tr>
      <w:tr w:rsidR="00D9407E" w:rsidRPr="00D9407E" w14:paraId="5A3DCFB5" w14:textId="77777777" w:rsidTr="00E31A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2" w:type="pct"/>
          </w:tcPr>
          <w:p w14:paraId="3C79E019" w14:textId="77777777" w:rsidR="00D9407E" w:rsidRPr="00D9407E" w:rsidRDefault="00D9407E" w:rsidP="00E31A49">
            <w:pPr>
              <w:jc w:val="both"/>
              <w:rPr>
                <w:rFonts w:ascii="Arial" w:hAnsi="Arial" w:cs="Arial"/>
                <w:sz w:val="22"/>
                <w:szCs w:val="22"/>
              </w:rPr>
            </w:pPr>
            <w:r w:rsidRPr="00D9407E">
              <w:rPr>
                <w:rFonts w:ascii="Arial" w:hAnsi="Arial" w:cs="Arial"/>
                <w:sz w:val="22"/>
                <w:szCs w:val="22"/>
              </w:rPr>
              <w:t>Información</w:t>
            </w:r>
          </w:p>
        </w:tc>
        <w:tc>
          <w:tcPr>
            <w:tcW w:w="2159" w:type="pct"/>
          </w:tcPr>
          <w:p w14:paraId="2A96ED62" w14:textId="77777777" w:rsidR="00D9407E" w:rsidRPr="00D9407E" w:rsidRDefault="00D9407E" w:rsidP="00C91088">
            <w:pPr>
              <w:pStyle w:val="Prrafodelista"/>
              <w:numPr>
                <w:ilvl w:val="0"/>
                <w:numId w:val="5"/>
              </w:numPr>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es-US"/>
              </w:rPr>
            </w:pPr>
            <w:r w:rsidRPr="00D9407E">
              <w:rPr>
                <w:rFonts w:ascii="Arial" w:hAnsi="Arial" w:cs="Arial"/>
                <w:sz w:val="22"/>
                <w:szCs w:val="22"/>
                <w:lang w:val="es-US"/>
              </w:rPr>
              <w:t>Preparada la información para la rendición de cuentas según los criterios definidos en la fase de diseñó.</w:t>
            </w:r>
          </w:p>
          <w:p w14:paraId="7B1D9B52" w14:textId="77777777" w:rsidR="00D9407E" w:rsidRPr="00D9407E" w:rsidRDefault="00D9407E" w:rsidP="00C91088">
            <w:pPr>
              <w:pStyle w:val="Prrafodelista"/>
              <w:numPr>
                <w:ilvl w:val="0"/>
                <w:numId w:val="5"/>
              </w:numPr>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D9407E">
              <w:rPr>
                <w:rFonts w:ascii="Arial" w:hAnsi="Arial" w:cs="Arial"/>
                <w:sz w:val="22"/>
                <w:szCs w:val="22"/>
                <w:lang w:val="es-US"/>
              </w:rPr>
              <w:t xml:space="preserve">Capacitar a los y las servidores públicos corresponsables de la </w:t>
            </w:r>
            <w:r w:rsidRPr="00D9407E">
              <w:rPr>
                <w:rFonts w:ascii="Arial" w:hAnsi="Arial" w:cs="Arial"/>
                <w:sz w:val="22"/>
                <w:szCs w:val="22"/>
                <w:lang w:val="es-US"/>
              </w:rPr>
              <w:lastRenderedPageBreak/>
              <w:t>rendición de cuentas según los ámbitos de interacción identificados en la fase de diseñó.</w:t>
            </w:r>
          </w:p>
        </w:tc>
        <w:tc>
          <w:tcPr>
            <w:tcW w:w="2159" w:type="pct"/>
          </w:tcPr>
          <w:p w14:paraId="39DC8702" w14:textId="77777777" w:rsidR="00D9407E" w:rsidRPr="00D9407E" w:rsidRDefault="00D9407E" w:rsidP="00C91088">
            <w:pPr>
              <w:pStyle w:val="Prrafodelista"/>
              <w:numPr>
                <w:ilvl w:val="0"/>
                <w:numId w:val="5"/>
              </w:numPr>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D9407E">
              <w:rPr>
                <w:rFonts w:ascii="Arial" w:hAnsi="Arial" w:cs="Arial"/>
                <w:sz w:val="22"/>
                <w:szCs w:val="22"/>
                <w:lang w:val="es-US"/>
              </w:rPr>
              <w:lastRenderedPageBreak/>
              <w:t xml:space="preserve">Publicar la información de logros en los diferentes canales de información: </w:t>
            </w:r>
            <w:r w:rsidRPr="00D9407E">
              <w:rPr>
                <w:rFonts w:ascii="Arial" w:hAnsi="Arial" w:cs="Arial"/>
                <w:sz w:val="22"/>
                <w:szCs w:val="22"/>
              </w:rPr>
              <w:t xml:space="preserve">correo institucional. Micrositio de transparencia y acceso a la información pública. Elaborar el informe de rendición de </w:t>
            </w:r>
            <w:r w:rsidRPr="00D9407E">
              <w:rPr>
                <w:rFonts w:ascii="Arial" w:hAnsi="Arial" w:cs="Arial"/>
                <w:sz w:val="22"/>
                <w:szCs w:val="22"/>
              </w:rPr>
              <w:lastRenderedPageBreak/>
              <w:t>cuentas 2019.</w:t>
            </w:r>
          </w:p>
          <w:p w14:paraId="5C34390F" w14:textId="77777777" w:rsidR="00D9407E" w:rsidRPr="00D9407E" w:rsidRDefault="00D9407E" w:rsidP="00C91088">
            <w:pPr>
              <w:pStyle w:val="Prrafodelista"/>
              <w:numPr>
                <w:ilvl w:val="0"/>
                <w:numId w:val="5"/>
              </w:numPr>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D9407E">
              <w:rPr>
                <w:rFonts w:ascii="Arial" w:hAnsi="Arial" w:cs="Arial"/>
                <w:sz w:val="22"/>
                <w:szCs w:val="22"/>
              </w:rPr>
              <w:t>Desarrollo de mesas de trabajo con los servidores públicos responsables de la rendición de cuentas.</w:t>
            </w:r>
          </w:p>
          <w:p w14:paraId="5A7DCC6A" w14:textId="77777777" w:rsidR="00D9407E" w:rsidRPr="00D9407E" w:rsidRDefault="00D9407E" w:rsidP="00C91088">
            <w:pPr>
              <w:pStyle w:val="Prrafodelista"/>
              <w:numPr>
                <w:ilvl w:val="0"/>
                <w:numId w:val="13"/>
              </w:numPr>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D9407E">
              <w:rPr>
                <w:rFonts w:ascii="Arial" w:hAnsi="Arial" w:cs="Arial"/>
                <w:sz w:val="22"/>
                <w:szCs w:val="22"/>
              </w:rPr>
              <w:t xml:space="preserve">Atender las peticiones de los ciudadanos utilizando los diferentes canales de información.  </w:t>
            </w:r>
          </w:p>
          <w:p w14:paraId="2717E1CA" w14:textId="77777777" w:rsidR="00D9407E" w:rsidRPr="00D9407E" w:rsidRDefault="00D9407E" w:rsidP="00E31A49">
            <w:pPr>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es-US"/>
              </w:rPr>
            </w:pPr>
            <w:r w:rsidRPr="00D9407E">
              <w:rPr>
                <w:rFonts w:ascii="Arial" w:hAnsi="Arial" w:cs="Arial"/>
                <w:sz w:val="22"/>
                <w:szCs w:val="22"/>
                <w:lang w:val="es-US"/>
              </w:rPr>
              <w:t xml:space="preserve"> </w:t>
            </w:r>
          </w:p>
        </w:tc>
      </w:tr>
      <w:tr w:rsidR="00D9407E" w:rsidRPr="00D9407E" w14:paraId="435A18C8" w14:textId="77777777" w:rsidTr="00E31A49">
        <w:trPr>
          <w:trHeight w:val="1092"/>
        </w:trPr>
        <w:tc>
          <w:tcPr>
            <w:cnfStyle w:val="001000000000" w:firstRow="0" w:lastRow="0" w:firstColumn="1" w:lastColumn="0" w:oddVBand="0" w:evenVBand="0" w:oddHBand="0" w:evenHBand="0" w:firstRowFirstColumn="0" w:firstRowLastColumn="0" w:lastRowFirstColumn="0" w:lastRowLastColumn="0"/>
            <w:tcW w:w="682" w:type="pct"/>
          </w:tcPr>
          <w:p w14:paraId="10563DFB" w14:textId="77777777" w:rsidR="00D9407E" w:rsidRPr="00D9407E" w:rsidRDefault="00D9407E" w:rsidP="00E31A49">
            <w:pPr>
              <w:jc w:val="both"/>
              <w:rPr>
                <w:rFonts w:ascii="Arial" w:hAnsi="Arial" w:cs="Arial"/>
                <w:sz w:val="22"/>
                <w:szCs w:val="22"/>
              </w:rPr>
            </w:pPr>
            <w:r w:rsidRPr="00D9407E">
              <w:rPr>
                <w:rFonts w:ascii="Arial" w:hAnsi="Arial" w:cs="Arial"/>
                <w:sz w:val="22"/>
                <w:szCs w:val="22"/>
              </w:rPr>
              <w:lastRenderedPageBreak/>
              <w:t>Diálogo</w:t>
            </w:r>
          </w:p>
        </w:tc>
        <w:tc>
          <w:tcPr>
            <w:tcW w:w="2159" w:type="pct"/>
            <w:shd w:val="clear" w:color="auto" w:fill="DBE5F1" w:themeFill="accent1" w:themeFillTint="33"/>
          </w:tcPr>
          <w:p w14:paraId="579476E3" w14:textId="77777777" w:rsidR="00D9407E" w:rsidRPr="00D9407E" w:rsidRDefault="00D9407E" w:rsidP="00C91088">
            <w:pPr>
              <w:pStyle w:val="Prrafodelista"/>
              <w:numPr>
                <w:ilvl w:val="0"/>
                <w:numId w:val="6"/>
              </w:num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s-US"/>
              </w:rPr>
            </w:pPr>
            <w:r w:rsidRPr="00D9407E">
              <w:rPr>
                <w:rFonts w:ascii="Arial" w:hAnsi="Arial" w:cs="Arial"/>
                <w:sz w:val="22"/>
                <w:szCs w:val="22"/>
                <w:lang w:val="es-US"/>
              </w:rPr>
              <w:t xml:space="preserve">Realizar ejercicios de consulta </w:t>
            </w:r>
            <w:r w:rsidRPr="00D9407E">
              <w:rPr>
                <w:rFonts w:ascii="Arial" w:hAnsi="Arial" w:cs="Arial"/>
                <w:sz w:val="22"/>
                <w:szCs w:val="22"/>
              </w:rPr>
              <w:t>previa a la rendición de cuentas</w:t>
            </w:r>
            <w:r w:rsidRPr="00D9407E">
              <w:rPr>
                <w:rFonts w:ascii="Arial" w:hAnsi="Arial" w:cs="Arial"/>
                <w:sz w:val="22"/>
                <w:szCs w:val="22"/>
                <w:lang w:val="es-US"/>
              </w:rPr>
              <w:t xml:space="preserve"> incluyendo elementos que permitan clasificar por grupos de valor, interés en la información producida por el IDPC e incentivos a la participación.</w:t>
            </w:r>
          </w:p>
          <w:p w14:paraId="75A1BED9" w14:textId="77777777" w:rsidR="00D9407E" w:rsidRPr="00D9407E" w:rsidRDefault="00D9407E" w:rsidP="00C91088">
            <w:pPr>
              <w:pStyle w:val="Prrafodelista"/>
              <w:numPr>
                <w:ilvl w:val="0"/>
                <w:numId w:val="6"/>
              </w:num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s-US"/>
              </w:rPr>
            </w:pPr>
            <w:r w:rsidRPr="00D9407E">
              <w:rPr>
                <w:rFonts w:ascii="Arial" w:hAnsi="Arial" w:cs="Arial"/>
                <w:sz w:val="22"/>
                <w:szCs w:val="22"/>
                <w:lang w:val="es-US"/>
              </w:rPr>
              <w:t>Convocar de manera amplia a los grupos de interés y de valor identificados por la entidad, permitiendo la realización de propuestas y observaciones por parte de los mismos</w:t>
            </w:r>
          </w:p>
          <w:p w14:paraId="5923899C" w14:textId="77777777" w:rsidR="00D9407E" w:rsidRPr="00D9407E" w:rsidRDefault="00D9407E" w:rsidP="00C91088">
            <w:pPr>
              <w:pStyle w:val="Prrafodelista"/>
              <w:numPr>
                <w:ilvl w:val="0"/>
                <w:numId w:val="6"/>
              </w:num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9407E">
              <w:rPr>
                <w:rFonts w:ascii="Arial" w:hAnsi="Arial" w:cs="Arial"/>
                <w:sz w:val="22"/>
                <w:szCs w:val="22"/>
                <w:lang w:val="es-US"/>
              </w:rPr>
              <w:t>Ejecutar los aspectos logísticos requeridos para la realización de acciones de rendición permanente de cuentas</w:t>
            </w:r>
          </w:p>
        </w:tc>
        <w:tc>
          <w:tcPr>
            <w:tcW w:w="2159" w:type="pct"/>
            <w:shd w:val="clear" w:color="auto" w:fill="DBE5F1" w:themeFill="accent1" w:themeFillTint="33"/>
          </w:tcPr>
          <w:p w14:paraId="43630C66" w14:textId="77777777" w:rsidR="00D9407E" w:rsidRPr="00D9407E" w:rsidRDefault="00D9407E" w:rsidP="00C91088">
            <w:pPr>
              <w:pStyle w:val="Prrafodelista"/>
              <w:numPr>
                <w:ilvl w:val="0"/>
                <w:numId w:val="6"/>
              </w:num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s-US"/>
              </w:rPr>
            </w:pPr>
            <w:r w:rsidRPr="00D9407E">
              <w:rPr>
                <w:rFonts w:ascii="Arial" w:hAnsi="Arial" w:cs="Arial"/>
                <w:sz w:val="22"/>
                <w:szCs w:val="22"/>
                <w:lang w:val="es-US"/>
              </w:rPr>
              <w:t>Responder las preguntas e inquietudes de la ciudadanía.</w:t>
            </w:r>
          </w:p>
          <w:p w14:paraId="49DF8004" w14:textId="77777777" w:rsidR="00D9407E" w:rsidRPr="00D9407E" w:rsidRDefault="00D9407E" w:rsidP="00C91088">
            <w:pPr>
              <w:pStyle w:val="Prrafodelista"/>
              <w:numPr>
                <w:ilvl w:val="0"/>
                <w:numId w:val="6"/>
              </w:num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s-US"/>
              </w:rPr>
            </w:pPr>
            <w:r w:rsidRPr="00D9407E">
              <w:rPr>
                <w:rFonts w:ascii="Arial" w:hAnsi="Arial" w:cs="Arial"/>
                <w:sz w:val="22"/>
                <w:szCs w:val="22"/>
                <w:lang w:val="es-US"/>
              </w:rPr>
              <w:t xml:space="preserve">Participar en las mesas de pactos y atender los requerimientos. </w:t>
            </w:r>
          </w:p>
          <w:p w14:paraId="1E3F06ED" w14:textId="77777777" w:rsidR="00D9407E" w:rsidRPr="00D9407E" w:rsidRDefault="00D9407E" w:rsidP="00C91088">
            <w:pPr>
              <w:pStyle w:val="Prrafodelista"/>
              <w:numPr>
                <w:ilvl w:val="0"/>
                <w:numId w:val="6"/>
              </w:num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s-US"/>
              </w:rPr>
            </w:pPr>
            <w:r w:rsidRPr="00D9407E">
              <w:rPr>
                <w:rFonts w:ascii="Arial" w:hAnsi="Arial" w:cs="Arial"/>
                <w:sz w:val="22"/>
                <w:szCs w:val="22"/>
                <w:lang w:val="es-US"/>
              </w:rPr>
              <w:t>Preparar los talleres y mesas de trabajo con la ciudadanía, grupos de valor e interesados.</w:t>
            </w:r>
          </w:p>
          <w:p w14:paraId="72F97408" w14:textId="77777777" w:rsidR="00D9407E" w:rsidRPr="00D9407E" w:rsidRDefault="00D9407E" w:rsidP="00C91088">
            <w:pPr>
              <w:pStyle w:val="Prrafodelista"/>
              <w:numPr>
                <w:ilvl w:val="0"/>
                <w:numId w:val="6"/>
              </w:num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s-US"/>
              </w:rPr>
            </w:pPr>
            <w:r w:rsidRPr="00D9407E">
              <w:rPr>
                <w:rFonts w:ascii="Arial" w:hAnsi="Arial" w:cs="Arial"/>
                <w:sz w:val="22"/>
                <w:szCs w:val="22"/>
                <w:lang w:val="es-US"/>
              </w:rPr>
              <w:t xml:space="preserve">Preparación y presentación de los informes requeridos para el evento anual de Rendición de Cuentas del Distrito. </w:t>
            </w:r>
          </w:p>
          <w:p w14:paraId="66E5511D" w14:textId="77777777" w:rsidR="00D9407E" w:rsidRPr="00D9407E" w:rsidRDefault="00D9407E" w:rsidP="00C91088">
            <w:pPr>
              <w:pStyle w:val="Prrafodelista"/>
              <w:numPr>
                <w:ilvl w:val="0"/>
                <w:numId w:val="14"/>
              </w:numPr>
              <w:spacing w:before="120" w:after="120"/>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s-US"/>
              </w:rPr>
            </w:pPr>
            <w:r w:rsidRPr="00D9407E">
              <w:rPr>
                <w:rFonts w:ascii="Arial" w:hAnsi="Arial" w:cs="Arial"/>
                <w:sz w:val="22"/>
                <w:szCs w:val="22"/>
                <w:lang w:val="es-US"/>
              </w:rPr>
              <w:t xml:space="preserve">Preparar las respuestas a organismos y entes de control en temas relacionados con el patrimonio cultural. </w:t>
            </w:r>
          </w:p>
          <w:p w14:paraId="0665A945" w14:textId="77777777" w:rsidR="00D9407E" w:rsidRPr="00D9407E" w:rsidRDefault="00D9407E" w:rsidP="00C91088">
            <w:pPr>
              <w:pStyle w:val="Prrafodelista"/>
              <w:numPr>
                <w:ilvl w:val="0"/>
                <w:numId w:val="14"/>
              </w:numPr>
              <w:spacing w:before="120" w:after="120"/>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s-US"/>
              </w:rPr>
            </w:pPr>
            <w:r w:rsidRPr="00D9407E">
              <w:rPr>
                <w:rFonts w:ascii="Arial" w:hAnsi="Arial" w:cs="Arial"/>
                <w:sz w:val="22"/>
                <w:szCs w:val="22"/>
                <w:lang w:val="es-US"/>
              </w:rPr>
              <w:t xml:space="preserve">Preparar las respuestas en los procesos de audiencia pública. </w:t>
            </w:r>
          </w:p>
          <w:p w14:paraId="051B667B" w14:textId="77777777" w:rsidR="00D9407E" w:rsidRPr="00D9407E" w:rsidRDefault="00D9407E" w:rsidP="00C91088">
            <w:pPr>
              <w:pStyle w:val="Prrafodelista"/>
              <w:numPr>
                <w:ilvl w:val="0"/>
                <w:numId w:val="14"/>
              </w:numPr>
              <w:spacing w:before="100" w:beforeAutospacing="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s-CO"/>
              </w:rPr>
            </w:pPr>
            <w:r w:rsidRPr="00D9407E">
              <w:rPr>
                <w:rFonts w:ascii="Arial" w:hAnsi="Arial" w:cs="Arial"/>
                <w:sz w:val="22"/>
                <w:szCs w:val="22"/>
                <w:lang w:val="es-US"/>
              </w:rPr>
              <w:t>Preparación de la información de las Cartillas con los lineamentos de las convocatorias ofertadas desde la SCRD con la participación del IDPC en el Programa Distrital de Estímulos y del Programa Distrital de Apoyos Concertados</w:t>
            </w:r>
            <w:r w:rsidRPr="00D9407E">
              <w:rPr>
                <w:rFonts w:ascii="Arial" w:hAnsi="Arial" w:cs="Arial"/>
                <w:sz w:val="22"/>
                <w:szCs w:val="22"/>
                <w:lang w:eastAsia="es-CO"/>
              </w:rPr>
              <w:t>.</w:t>
            </w:r>
          </w:p>
          <w:p w14:paraId="073728D2" w14:textId="77777777" w:rsidR="00D9407E" w:rsidRPr="00D9407E" w:rsidRDefault="00D9407E" w:rsidP="00C91088">
            <w:pPr>
              <w:pStyle w:val="Prrafodelista"/>
              <w:numPr>
                <w:ilvl w:val="0"/>
                <w:numId w:val="14"/>
              </w:numPr>
              <w:spacing w:before="100" w:beforeAutospacing="1"/>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s-US"/>
              </w:rPr>
            </w:pPr>
            <w:r w:rsidRPr="00D9407E">
              <w:rPr>
                <w:rFonts w:ascii="Arial" w:hAnsi="Arial" w:cs="Arial"/>
                <w:sz w:val="22"/>
                <w:szCs w:val="22"/>
                <w:lang w:val="es-US"/>
              </w:rPr>
              <w:t xml:space="preserve">Preparación de los actos administrativos de las convocatorias y su publicación. </w:t>
            </w:r>
          </w:p>
          <w:p w14:paraId="6A25B33D" w14:textId="77777777" w:rsidR="00D9407E" w:rsidRPr="00D9407E" w:rsidRDefault="00D9407E" w:rsidP="00E31A49">
            <w:p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s-US"/>
              </w:rPr>
            </w:pPr>
            <w:r w:rsidRPr="00D9407E">
              <w:rPr>
                <w:rFonts w:ascii="Arial" w:hAnsi="Arial" w:cs="Arial"/>
                <w:sz w:val="22"/>
                <w:szCs w:val="22"/>
                <w:lang w:val="es-US"/>
              </w:rPr>
              <w:t xml:space="preserve">  </w:t>
            </w:r>
          </w:p>
        </w:tc>
      </w:tr>
      <w:tr w:rsidR="00D9407E" w:rsidRPr="00D9407E" w14:paraId="12C5786B" w14:textId="77777777" w:rsidTr="00E31A49">
        <w:trPr>
          <w:cnfStyle w:val="000000100000" w:firstRow="0" w:lastRow="0" w:firstColumn="0" w:lastColumn="0" w:oddVBand="0" w:evenVBand="0" w:oddHBand="1" w:evenHBand="0" w:firstRowFirstColumn="0" w:firstRowLastColumn="0" w:lastRowFirstColumn="0" w:lastRowLastColumn="0"/>
          <w:trHeight w:val="3257"/>
        </w:trPr>
        <w:tc>
          <w:tcPr>
            <w:cnfStyle w:val="001000000000" w:firstRow="0" w:lastRow="0" w:firstColumn="1" w:lastColumn="0" w:oddVBand="0" w:evenVBand="0" w:oddHBand="0" w:evenHBand="0" w:firstRowFirstColumn="0" w:firstRowLastColumn="0" w:lastRowFirstColumn="0" w:lastRowLastColumn="0"/>
            <w:tcW w:w="682" w:type="pct"/>
          </w:tcPr>
          <w:p w14:paraId="72758087" w14:textId="77777777" w:rsidR="00D9407E" w:rsidRPr="00D9407E" w:rsidRDefault="00D9407E" w:rsidP="00E31A49">
            <w:pPr>
              <w:jc w:val="both"/>
              <w:rPr>
                <w:rFonts w:ascii="Arial" w:hAnsi="Arial" w:cs="Arial"/>
                <w:sz w:val="22"/>
                <w:szCs w:val="22"/>
              </w:rPr>
            </w:pPr>
            <w:r w:rsidRPr="00D9407E">
              <w:rPr>
                <w:rFonts w:ascii="Arial" w:hAnsi="Arial" w:cs="Arial"/>
                <w:sz w:val="22"/>
                <w:szCs w:val="22"/>
              </w:rPr>
              <w:lastRenderedPageBreak/>
              <w:t>Incentivos</w:t>
            </w:r>
          </w:p>
        </w:tc>
        <w:tc>
          <w:tcPr>
            <w:tcW w:w="2159" w:type="pct"/>
          </w:tcPr>
          <w:p w14:paraId="20D0AD03" w14:textId="77777777" w:rsidR="00D9407E" w:rsidRPr="00D9407E" w:rsidRDefault="00D9407E" w:rsidP="00C91088">
            <w:pPr>
              <w:pStyle w:val="Prrafodelista"/>
              <w:numPr>
                <w:ilvl w:val="0"/>
                <w:numId w:val="7"/>
              </w:numPr>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D9407E">
              <w:rPr>
                <w:rFonts w:ascii="Arial" w:hAnsi="Arial" w:cs="Arial"/>
                <w:sz w:val="22"/>
                <w:szCs w:val="22"/>
                <w:lang w:val="es-US"/>
              </w:rPr>
              <w:t>Publicar y difundir la información consolidada.</w:t>
            </w:r>
          </w:p>
          <w:p w14:paraId="008A0A36" w14:textId="77777777" w:rsidR="00D9407E" w:rsidRPr="00D9407E" w:rsidRDefault="00D9407E" w:rsidP="00C91088">
            <w:pPr>
              <w:pStyle w:val="Prrafodelista"/>
              <w:numPr>
                <w:ilvl w:val="0"/>
                <w:numId w:val="7"/>
              </w:numPr>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D9407E">
              <w:rPr>
                <w:rFonts w:ascii="Arial" w:hAnsi="Arial" w:cs="Arial"/>
                <w:sz w:val="22"/>
                <w:szCs w:val="22"/>
              </w:rPr>
              <w:t>Garantizar la existencia de mecanismos de incidencia de las recomendaciones de la ciudadanía sobre los ejercicios a realizar.</w:t>
            </w:r>
          </w:p>
        </w:tc>
        <w:tc>
          <w:tcPr>
            <w:tcW w:w="2159" w:type="pct"/>
          </w:tcPr>
          <w:p w14:paraId="4AB65CFC" w14:textId="77777777" w:rsidR="00D9407E" w:rsidRPr="00D9407E" w:rsidRDefault="00D9407E" w:rsidP="00E31A49">
            <w:pPr>
              <w:ind w:left="73"/>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D9407E">
              <w:rPr>
                <w:rFonts w:ascii="Arial" w:hAnsi="Arial" w:cs="Arial"/>
                <w:sz w:val="22"/>
                <w:szCs w:val="22"/>
              </w:rPr>
              <w:t xml:space="preserve">Internos: </w:t>
            </w:r>
          </w:p>
          <w:p w14:paraId="5119FF32" w14:textId="77777777" w:rsidR="00D9407E" w:rsidRPr="00D9407E" w:rsidRDefault="00D9407E" w:rsidP="00E31A49">
            <w:pPr>
              <w:ind w:left="73"/>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D9407E">
              <w:rPr>
                <w:rFonts w:ascii="Arial" w:hAnsi="Arial" w:cs="Arial"/>
                <w:sz w:val="22"/>
                <w:szCs w:val="22"/>
              </w:rPr>
              <w:t>Elaborar piezas gráficas para sensibilizar sobre el patrimonio cultural de Bogotá, en el marco de la rendición y petición de cuentas permanente y divulgar en los canales de comunicación del IDPC.</w:t>
            </w:r>
          </w:p>
          <w:p w14:paraId="6D6009B0" w14:textId="77777777" w:rsidR="00D9407E" w:rsidRPr="00D9407E" w:rsidRDefault="00D9407E" w:rsidP="00E31A49">
            <w:pPr>
              <w:ind w:left="73"/>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p w14:paraId="18608DB1" w14:textId="77777777" w:rsidR="00D9407E" w:rsidRPr="00D9407E" w:rsidRDefault="00D9407E" w:rsidP="00E31A49">
            <w:pPr>
              <w:ind w:left="73"/>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D9407E">
              <w:rPr>
                <w:rFonts w:ascii="Arial" w:hAnsi="Arial" w:cs="Arial"/>
                <w:sz w:val="22"/>
                <w:szCs w:val="22"/>
              </w:rPr>
              <w:t>Preparar y poner en marcha un esquema de incentivos para los funcionarios que prestan el servicio de atención a la ciudadanía</w:t>
            </w:r>
          </w:p>
          <w:p w14:paraId="4B28703B" w14:textId="77777777" w:rsidR="00D9407E" w:rsidRPr="00D9407E" w:rsidRDefault="00D9407E" w:rsidP="00E31A49">
            <w:pPr>
              <w:ind w:left="73"/>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p w14:paraId="6966525C" w14:textId="77777777" w:rsidR="00D9407E" w:rsidRPr="00D9407E" w:rsidRDefault="00D9407E" w:rsidP="00E31A49">
            <w:pPr>
              <w:ind w:left="73"/>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D9407E">
              <w:rPr>
                <w:rFonts w:ascii="Arial" w:hAnsi="Arial" w:cs="Arial"/>
                <w:sz w:val="22"/>
                <w:szCs w:val="22"/>
              </w:rPr>
              <w:t xml:space="preserve">Fortalecer los canales de información a la ciudadanía con el fin de dar a conocer la programación de eventos, memorias de la rendición de cuentas, </w:t>
            </w:r>
          </w:p>
          <w:p w14:paraId="157285D7" w14:textId="77777777" w:rsidR="00D9407E" w:rsidRPr="00D9407E" w:rsidRDefault="00D9407E" w:rsidP="00E31A49">
            <w:pPr>
              <w:ind w:left="73"/>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p w14:paraId="65854A97" w14:textId="77777777" w:rsidR="00D9407E" w:rsidRPr="00D9407E" w:rsidRDefault="00D9407E" w:rsidP="00E31A49">
            <w:pPr>
              <w:ind w:left="73"/>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D9407E">
              <w:rPr>
                <w:rFonts w:ascii="Arial" w:hAnsi="Arial" w:cs="Arial"/>
                <w:sz w:val="22"/>
                <w:szCs w:val="22"/>
              </w:rPr>
              <w:t>Fortalecer los medios electrónicos para facilitar la información de trámites y procedimientos con miras a fortalecer la transparencia, el control social, la eficiencia y efectividad de la gestión pública.</w:t>
            </w:r>
          </w:p>
          <w:p w14:paraId="458B799E" w14:textId="77777777" w:rsidR="00D9407E" w:rsidRPr="00D9407E" w:rsidRDefault="00D9407E" w:rsidP="00E31A49">
            <w:pPr>
              <w:ind w:left="360"/>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r>
    </w:tbl>
    <w:p w14:paraId="3CA9686E" w14:textId="77777777" w:rsidR="00D9407E" w:rsidRPr="00D9407E" w:rsidRDefault="00D9407E" w:rsidP="00D9407E">
      <w:pPr>
        <w:jc w:val="both"/>
        <w:rPr>
          <w:rFonts w:ascii="Arial" w:hAnsi="Arial" w:cs="Arial"/>
          <w:b/>
          <w:sz w:val="22"/>
          <w:szCs w:val="22"/>
        </w:rPr>
      </w:pPr>
    </w:p>
    <w:p w14:paraId="4A180958" w14:textId="77777777" w:rsidR="00D9407E" w:rsidRDefault="00D9407E" w:rsidP="00D9407E">
      <w:pPr>
        <w:jc w:val="both"/>
        <w:rPr>
          <w:rFonts w:ascii="Arial" w:hAnsi="Arial" w:cs="Arial"/>
          <w:b/>
          <w:sz w:val="22"/>
          <w:szCs w:val="22"/>
        </w:rPr>
      </w:pPr>
      <w:r w:rsidRPr="00D9407E">
        <w:rPr>
          <w:rFonts w:ascii="Arial" w:hAnsi="Arial" w:cs="Arial"/>
          <w:b/>
          <w:sz w:val="22"/>
          <w:szCs w:val="22"/>
        </w:rPr>
        <w:t>Fase de ejecución</w:t>
      </w:r>
    </w:p>
    <w:p w14:paraId="019AE250" w14:textId="77777777" w:rsidR="00B479FE" w:rsidRPr="00D9407E" w:rsidRDefault="00B479FE" w:rsidP="00D9407E">
      <w:pPr>
        <w:jc w:val="both"/>
        <w:rPr>
          <w:rFonts w:ascii="Arial" w:hAnsi="Arial" w:cs="Arial"/>
          <w:b/>
          <w:sz w:val="22"/>
          <w:szCs w:val="22"/>
        </w:rPr>
      </w:pPr>
    </w:p>
    <w:tbl>
      <w:tblPr>
        <w:tblStyle w:val="Listamedia2-nfasis1"/>
        <w:tblW w:w="5000" w:type="pct"/>
        <w:tblInd w:w="-10" w:type="dxa"/>
        <w:tblLook w:val="04A0" w:firstRow="1" w:lastRow="0" w:firstColumn="1" w:lastColumn="0" w:noHBand="0" w:noVBand="1"/>
      </w:tblPr>
      <w:tblGrid>
        <w:gridCol w:w="1391"/>
        <w:gridCol w:w="3756"/>
        <w:gridCol w:w="4935"/>
      </w:tblGrid>
      <w:tr w:rsidR="00D9407E" w:rsidRPr="00D9407E" w14:paraId="189C7267" w14:textId="77777777" w:rsidTr="00E31A4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82" w:type="pct"/>
          </w:tcPr>
          <w:p w14:paraId="172B5674" w14:textId="77777777" w:rsidR="00D9407E" w:rsidRPr="00D9407E" w:rsidRDefault="00D9407E" w:rsidP="00E31A49">
            <w:pPr>
              <w:jc w:val="both"/>
              <w:rPr>
                <w:rFonts w:ascii="Arial" w:hAnsi="Arial" w:cs="Arial"/>
                <w:b/>
                <w:sz w:val="22"/>
                <w:szCs w:val="22"/>
              </w:rPr>
            </w:pPr>
            <w:r w:rsidRPr="00D9407E">
              <w:rPr>
                <w:rFonts w:ascii="Arial" w:hAnsi="Arial" w:cs="Arial"/>
                <w:b/>
                <w:sz w:val="22"/>
                <w:szCs w:val="22"/>
              </w:rPr>
              <w:t>Eje transversal</w:t>
            </w:r>
          </w:p>
        </w:tc>
        <w:tc>
          <w:tcPr>
            <w:tcW w:w="2159" w:type="pct"/>
          </w:tcPr>
          <w:p w14:paraId="74A05FAD" w14:textId="77777777" w:rsidR="00D9407E" w:rsidRPr="00D9407E" w:rsidRDefault="00D9407E" w:rsidP="00E31A49">
            <w:pPr>
              <w:jc w:val="center"/>
              <w:cnfStyle w:val="100000000000" w:firstRow="1" w:lastRow="0" w:firstColumn="0" w:lastColumn="0" w:oddVBand="0" w:evenVBand="0" w:oddHBand="0" w:evenHBand="0" w:firstRowFirstColumn="0" w:firstRowLastColumn="0" w:lastRowFirstColumn="0" w:lastRowLastColumn="0"/>
              <w:rPr>
                <w:rFonts w:ascii="Arial" w:hAnsi="Arial" w:cs="Arial"/>
                <w:b/>
                <w:sz w:val="22"/>
                <w:szCs w:val="22"/>
              </w:rPr>
            </w:pPr>
            <w:r w:rsidRPr="00D9407E">
              <w:rPr>
                <w:rFonts w:ascii="Arial" w:hAnsi="Arial" w:cs="Arial"/>
                <w:b/>
                <w:sz w:val="22"/>
                <w:szCs w:val="22"/>
              </w:rPr>
              <w:t>Lineamiento</w:t>
            </w:r>
          </w:p>
        </w:tc>
        <w:tc>
          <w:tcPr>
            <w:tcW w:w="2159" w:type="pct"/>
          </w:tcPr>
          <w:p w14:paraId="47837140" w14:textId="77777777" w:rsidR="00D9407E" w:rsidRPr="00D9407E" w:rsidRDefault="00D9407E" w:rsidP="00E31A49">
            <w:pPr>
              <w:jc w:val="center"/>
              <w:cnfStyle w:val="100000000000" w:firstRow="1" w:lastRow="0" w:firstColumn="0" w:lastColumn="0" w:oddVBand="0" w:evenVBand="0" w:oddHBand="0" w:evenHBand="0" w:firstRowFirstColumn="0" w:firstRowLastColumn="0" w:lastRowFirstColumn="0" w:lastRowLastColumn="0"/>
              <w:rPr>
                <w:rFonts w:ascii="Arial" w:hAnsi="Arial" w:cs="Arial"/>
                <w:b/>
                <w:sz w:val="22"/>
                <w:szCs w:val="22"/>
              </w:rPr>
            </w:pPr>
            <w:r w:rsidRPr="00D9407E">
              <w:rPr>
                <w:rFonts w:ascii="Arial" w:hAnsi="Arial" w:cs="Arial"/>
                <w:b/>
                <w:sz w:val="22"/>
                <w:szCs w:val="22"/>
              </w:rPr>
              <w:t>Mecanismos utilizados</w:t>
            </w:r>
          </w:p>
        </w:tc>
      </w:tr>
      <w:tr w:rsidR="00D9407E" w:rsidRPr="00D9407E" w14:paraId="4CF85DA2" w14:textId="77777777" w:rsidTr="00E31A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2" w:type="pct"/>
          </w:tcPr>
          <w:p w14:paraId="44DD9E34" w14:textId="77777777" w:rsidR="00D9407E" w:rsidRPr="00D9407E" w:rsidRDefault="00D9407E" w:rsidP="00E31A49">
            <w:pPr>
              <w:jc w:val="both"/>
              <w:rPr>
                <w:rFonts w:ascii="Arial" w:hAnsi="Arial" w:cs="Arial"/>
                <w:sz w:val="22"/>
                <w:szCs w:val="22"/>
              </w:rPr>
            </w:pPr>
            <w:r w:rsidRPr="00D9407E">
              <w:rPr>
                <w:rFonts w:ascii="Arial" w:hAnsi="Arial" w:cs="Arial"/>
                <w:sz w:val="22"/>
                <w:szCs w:val="22"/>
              </w:rPr>
              <w:t>Información</w:t>
            </w:r>
          </w:p>
        </w:tc>
        <w:tc>
          <w:tcPr>
            <w:tcW w:w="2159" w:type="pct"/>
          </w:tcPr>
          <w:p w14:paraId="050B00FE" w14:textId="77777777" w:rsidR="00D9407E" w:rsidRPr="00D9407E" w:rsidRDefault="00D9407E" w:rsidP="00C91088">
            <w:pPr>
              <w:pStyle w:val="Prrafodelista"/>
              <w:numPr>
                <w:ilvl w:val="0"/>
                <w:numId w:val="8"/>
              </w:numPr>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D9407E">
              <w:rPr>
                <w:rFonts w:ascii="Arial" w:hAnsi="Arial" w:cs="Arial"/>
                <w:sz w:val="22"/>
                <w:szCs w:val="22"/>
                <w:lang w:val="es-US"/>
              </w:rPr>
              <w:t>Entregar información sobre los logros y la gestión de la entidad, incluyendo elementos como video de rendición de cuentas, cartillas informativas, material de apoyo para el diálogo, presentación de logros, entre otros.</w:t>
            </w:r>
          </w:p>
        </w:tc>
        <w:tc>
          <w:tcPr>
            <w:tcW w:w="2159" w:type="pct"/>
          </w:tcPr>
          <w:p w14:paraId="1231CA6C" w14:textId="77777777" w:rsidR="00D9407E" w:rsidRPr="00D9407E" w:rsidRDefault="00D9407E" w:rsidP="00C91088">
            <w:pPr>
              <w:pStyle w:val="Prrafodelista"/>
              <w:numPr>
                <w:ilvl w:val="0"/>
                <w:numId w:val="8"/>
              </w:numPr>
              <w:jc w:val="both"/>
              <w:cnfStyle w:val="000000100000" w:firstRow="0" w:lastRow="0" w:firstColumn="0" w:lastColumn="0" w:oddVBand="0" w:evenVBand="0" w:oddHBand="1" w:evenHBand="0" w:firstRowFirstColumn="0" w:firstRowLastColumn="0" w:lastRowFirstColumn="0" w:lastRowLastColumn="0"/>
              <w:rPr>
                <w:rFonts w:ascii="Arial" w:hAnsi="Arial" w:cs="Arial"/>
                <w:color w:val="4BACC6" w:themeColor="accent5"/>
                <w:sz w:val="22"/>
                <w:szCs w:val="22"/>
              </w:rPr>
            </w:pPr>
            <w:r w:rsidRPr="00D9407E">
              <w:rPr>
                <w:rFonts w:ascii="Arial" w:hAnsi="Arial" w:cs="Arial"/>
                <w:sz w:val="22"/>
                <w:szCs w:val="22"/>
              </w:rPr>
              <w:t>En el desarrollo del proceso del servicio a la ciudadanía, se fortalece el suministro de información: Logros alcanzados en el proceso de rendición de cuentas de la vigencia 2019. .</w:t>
            </w:r>
            <w:r w:rsidRPr="00D9407E">
              <w:rPr>
                <w:rFonts w:ascii="Arial" w:hAnsi="Arial" w:cs="Arial"/>
                <w:color w:val="4BACC6" w:themeColor="accent5"/>
                <w:sz w:val="22"/>
                <w:szCs w:val="22"/>
              </w:rPr>
              <w:t>http://idpc.gov.co/informe-de-logros-institucionales/   .</w:t>
            </w:r>
          </w:p>
          <w:p w14:paraId="1B2F42EA" w14:textId="77777777" w:rsidR="00D9407E" w:rsidRPr="00D9407E" w:rsidRDefault="00D9407E" w:rsidP="00C91088">
            <w:pPr>
              <w:pStyle w:val="Prrafodelista"/>
              <w:numPr>
                <w:ilvl w:val="0"/>
                <w:numId w:val="8"/>
              </w:numPr>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D9407E">
              <w:rPr>
                <w:rFonts w:ascii="Arial" w:hAnsi="Arial" w:cs="Arial"/>
                <w:sz w:val="22"/>
                <w:szCs w:val="22"/>
              </w:rPr>
              <w:t>El enlace con el link de transparencia, http</w:t>
            </w:r>
            <w:r w:rsidRPr="00D9407E">
              <w:rPr>
                <w:rFonts w:ascii="Arial" w:hAnsi="Arial" w:cs="Arial"/>
                <w:color w:val="4BACC6" w:themeColor="accent5"/>
                <w:sz w:val="22"/>
                <w:szCs w:val="22"/>
              </w:rPr>
              <w:t xml:space="preserve">: //idpc.gov.co/transparencia-y-acceso-a-la-informacion-publica/ley_transparencia_idpc/, </w:t>
            </w:r>
            <w:r w:rsidRPr="00D9407E">
              <w:rPr>
                <w:rFonts w:ascii="Arial" w:hAnsi="Arial" w:cs="Arial"/>
                <w:sz w:val="22"/>
                <w:szCs w:val="22"/>
              </w:rPr>
              <w:t xml:space="preserve">registra información relacionada con el programa distrital de estímulos, trámites y servicios. </w:t>
            </w:r>
          </w:p>
          <w:p w14:paraId="7F26CEE4" w14:textId="77777777" w:rsidR="00D9407E" w:rsidRPr="00D9407E" w:rsidRDefault="00D9407E" w:rsidP="00C91088">
            <w:pPr>
              <w:pStyle w:val="Prrafodelista"/>
              <w:numPr>
                <w:ilvl w:val="0"/>
                <w:numId w:val="8"/>
              </w:numPr>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D9407E">
              <w:rPr>
                <w:rFonts w:ascii="Arial" w:hAnsi="Arial" w:cs="Arial"/>
                <w:sz w:val="22"/>
                <w:szCs w:val="22"/>
              </w:rPr>
              <w:t xml:space="preserve">Publicación de los informes trimestrales de ejecución de metas </w:t>
            </w:r>
            <w:hyperlink r:id="rId14" w:history="1">
              <w:r w:rsidRPr="00D9407E">
                <w:rPr>
                  <w:rStyle w:val="Hipervnculo"/>
                  <w:rFonts w:ascii="Arial" w:hAnsi="Arial" w:cs="Arial"/>
                  <w:color w:val="4BACC6" w:themeColor="accent5"/>
                  <w:sz w:val="22"/>
                  <w:szCs w:val="22"/>
                </w:rPr>
                <w:t>http://idpc.gov.co/transparencia-y-acceso-a-la-informacion-</w:t>
              </w:r>
              <w:r w:rsidRPr="00D9407E">
                <w:rPr>
                  <w:rStyle w:val="Hipervnculo"/>
                  <w:rFonts w:ascii="Arial" w:hAnsi="Arial" w:cs="Arial"/>
                  <w:color w:val="4BACC6" w:themeColor="accent5"/>
                  <w:sz w:val="22"/>
                  <w:szCs w:val="22"/>
                </w:rPr>
                <w:lastRenderedPageBreak/>
                <w:t>publica/ley_transparencia_idpc/informes-seguimiento-segplan/</w:t>
              </w:r>
            </w:hyperlink>
            <w:r w:rsidRPr="00D9407E">
              <w:rPr>
                <w:rFonts w:ascii="Arial" w:hAnsi="Arial" w:cs="Arial"/>
                <w:color w:val="4BACC6" w:themeColor="accent5"/>
                <w:sz w:val="22"/>
                <w:szCs w:val="22"/>
              </w:rPr>
              <w:t>.</w:t>
            </w:r>
          </w:p>
          <w:p w14:paraId="0EDBF066" w14:textId="77777777" w:rsidR="00D9407E" w:rsidRPr="00D9407E" w:rsidRDefault="00D9407E" w:rsidP="00C91088">
            <w:pPr>
              <w:pStyle w:val="Prrafodelista"/>
              <w:numPr>
                <w:ilvl w:val="0"/>
                <w:numId w:val="8"/>
              </w:numPr>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D9407E">
              <w:rPr>
                <w:rFonts w:ascii="Arial" w:hAnsi="Arial" w:cs="Arial"/>
                <w:sz w:val="22"/>
                <w:szCs w:val="22"/>
              </w:rPr>
              <w:t xml:space="preserve">Informe de PMR </w:t>
            </w:r>
            <w:r w:rsidRPr="00D9407E">
              <w:rPr>
                <w:rFonts w:ascii="Arial" w:hAnsi="Arial" w:cs="Arial"/>
                <w:color w:val="4BACC6" w:themeColor="accent5"/>
                <w:sz w:val="22"/>
                <w:szCs w:val="22"/>
              </w:rPr>
              <w:t>http://idpc.gov.co/informe-seguimiento-pmr-componente-productos</w:t>
            </w:r>
            <w:r w:rsidRPr="00D9407E">
              <w:rPr>
                <w:rFonts w:ascii="Arial" w:hAnsi="Arial" w:cs="Arial"/>
                <w:sz w:val="22"/>
                <w:szCs w:val="22"/>
              </w:rPr>
              <w:t>/</w:t>
            </w:r>
          </w:p>
          <w:p w14:paraId="26A23E5D" w14:textId="77777777" w:rsidR="00D9407E" w:rsidRPr="00D9407E" w:rsidRDefault="00D9407E" w:rsidP="00C91088">
            <w:pPr>
              <w:pStyle w:val="Prrafodelista"/>
              <w:numPr>
                <w:ilvl w:val="0"/>
                <w:numId w:val="8"/>
              </w:numPr>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es-US"/>
              </w:rPr>
            </w:pPr>
            <w:r w:rsidRPr="00D9407E">
              <w:rPr>
                <w:rFonts w:ascii="Arial" w:hAnsi="Arial" w:cs="Arial"/>
                <w:sz w:val="22"/>
                <w:szCs w:val="22"/>
                <w:lang w:val="es-US"/>
              </w:rPr>
              <w:t xml:space="preserve">Informe de Logros </w:t>
            </w:r>
            <w:hyperlink r:id="rId15" w:history="1">
              <w:r w:rsidRPr="00D9407E">
                <w:rPr>
                  <w:rStyle w:val="Hipervnculo"/>
                  <w:rFonts w:ascii="Arial" w:hAnsi="Arial" w:cs="Arial"/>
                  <w:sz w:val="22"/>
                  <w:szCs w:val="22"/>
                  <w:lang w:val="es-US"/>
                </w:rPr>
                <w:t>http://idpc.gov.co/informe-de-logros-institucionales/</w:t>
              </w:r>
            </w:hyperlink>
          </w:p>
          <w:p w14:paraId="393F504D" w14:textId="77777777" w:rsidR="00D9407E" w:rsidRPr="00D9407E" w:rsidRDefault="00D9407E" w:rsidP="00C91088">
            <w:pPr>
              <w:pStyle w:val="Prrafodelista"/>
              <w:numPr>
                <w:ilvl w:val="0"/>
                <w:numId w:val="8"/>
              </w:numPr>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es-US"/>
              </w:rPr>
            </w:pPr>
            <w:r w:rsidRPr="00D9407E">
              <w:rPr>
                <w:rFonts w:ascii="Arial" w:hAnsi="Arial" w:cs="Arial"/>
                <w:sz w:val="22"/>
                <w:szCs w:val="22"/>
                <w:lang w:val="es-US"/>
              </w:rPr>
              <w:t xml:space="preserve">Publicaciones: </w:t>
            </w:r>
            <w:r w:rsidRPr="00D9407E">
              <w:rPr>
                <w:rFonts w:ascii="Arial" w:hAnsi="Arial" w:cs="Arial"/>
                <w:color w:val="4BACC6" w:themeColor="accent5"/>
                <w:sz w:val="22"/>
                <w:szCs w:val="22"/>
                <w:lang w:val="es-US"/>
              </w:rPr>
              <w:t>http://idpc.gov.co/publicaciones/</w:t>
            </w:r>
          </w:p>
        </w:tc>
      </w:tr>
      <w:tr w:rsidR="00D9407E" w:rsidRPr="00D9407E" w14:paraId="53D4FA27" w14:textId="77777777" w:rsidTr="00E31A49">
        <w:tc>
          <w:tcPr>
            <w:cnfStyle w:val="001000000000" w:firstRow="0" w:lastRow="0" w:firstColumn="1" w:lastColumn="0" w:oddVBand="0" w:evenVBand="0" w:oddHBand="0" w:evenHBand="0" w:firstRowFirstColumn="0" w:firstRowLastColumn="0" w:lastRowFirstColumn="0" w:lastRowLastColumn="0"/>
            <w:tcW w:w="682" w:type="pct"/>
          </w:tcPr>
          <w:p w14:paraId="6F2CEA83" w14:textId="77777777" w:rsidR="00D9407E" w:rsidRPr="00D9407E" w:rsidRDefault="00D9407E" w:rsidP="00E31A49">
            <w:pPr>
              <w:jc w:val="both"/>
              <w:rPr>
                <w:rFonts w:ascii="Arial" w:hAnsi="Arial" w:cs="Arial"/>
                <w:sz w:val="22"/>
                <w:szCs w:val="22"/>
              </w:rPr>
            </w:pPr>
            <w:r w:rsidRPr="00D9407E">
              <w:rPr>
                <w:rFonts w:ascii="Arial" w:hAnsi="Arial" w:cs="Arial"/>
                <w:sz w:val="22"/>
                <w:szCs w:val="22"/>
              </w:rPr>
              <w:lastRenderedPageBreak/>
              <w:t>Diálogo</w:t>
            </w:r>
          </w:p>
        </w:tc>
        <w:tc>
          <w:tcPr>
            <w:tcW w:w="2159" w:type="pct"/>
            <w:shd w:val="clear" w:color="auto" w:fill="DBE5F1" w:themeFill="accent1" w:themeFillTint="33"/>
          </w:tcPr>
          <w:p w14:paraId="292D9B8D" w14:textId="77777777" w:rsidR="00D9407E" w:rsidRPr="00D9407E" w:rsidRDefault="00D9407E" w:rsidP="00C91088">
            <w:pPr>
              <w:pStyle w:val="Prrafodelista"/>
              <w:numPr>
                <w:ilvl w:val="0"/>
                <w:numId w:val="8"/>
              </w:num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9407E">
              <w:rPr>
                <w:rFonts w:ascii="Arial" w:hAnsi="Arial" w:cs="Arial"/>
                <w:sz w:val="22"/>
                <w:szCs w:val="22"/>
              </w:rPr>
              <w:t>Realización de ejercicios de rendición de cuentas priorizando enfoques como el de ferias de servicios que permitan el Diálogo ciudadano mediado por los productos y servicios que la entidad provee.</w:t>
            </w:r>
          </w:p>
        </w:tc>
        <w:tc>
          <w:tcPr>
            <w:tcW w:w="2159" w:type="pct"/>
            <w:shd w:val="clear" w:color="auto" w:fill="DBE5F1" w:themeFill="accent1" w:themeFillTint="33"/>
          </w:tcPr>
          <w:p w14:paraId="55B542B8" w14:textId="77777777" w:rsidR="00D9407E" w:rsidRPr="00D9407E" w:rsidRDefault="00D9407E" w:rsidP="00C91088">
            <w:pPr>
              <w:pStyle w:val="Prrafodelista"/>
              <w:numPr>
                <w:ilvl w:val="0"/>
                <w:numId w:val="8"/>
              </w:num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9407E">
              <w:rPr>
                <w:rFonts w:ascii="Arial" w:hAnsi="Arial" w:cs="Arial"/>
                <w:sz w:val="22"/>
                <w:szCs w:val="22"/>
              </w:rPr>
              <w:t xml:space="preserve">Audiencia de rendición de cuentas institucional </w:t>
            </w:r>
          </w:p>
          <w:p w14:paraId="25CD6629" w14:textId="77777777" w:rsidR="00D9407E" w:rsidRPr="00D9407E" w:rsidRDefault="00D9407E" w:rsidP="00C91088">
            <w:pPr>
              <w:pStyle w:val="Prrafodelista"/>
              <w:numPr>
                <w:ilvl w:val="0"/>
                <w:numId w:val="8"/>
              </w:num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9407E">
              <w:rPr>
                <w:rFonts w:ascii="Arial" w:hAnsi="Arial" w:cs="Arial"/>
                <w:sz w:val="22"/>
                <w:szCs w:val="22"/>
              </w:rPr>
              <w:t>Gestionar la publicación de acciones realizadas por el IDPC relacionadas con la ejecución de planes, programas y proyectos para la preservación y sostenibilidad del patrimonio cultural de Bogotá, en medios de comunicación</w:t>
            </w:r>
          </w:p>
        </w:tc>
      </w:tr>
      <w:tr w:rsidR="00D9407E" w:rsidRPr="00D9407E" w14:paraId="54DB1692" w14:textId="77777777" w:rsidTr="00E31A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2" w:type="pct"/>
          </w:tcPr>
          <w:p w14:paraId="2C8D7A0B" w14:textId="77777777" w:rsidR="00D9407E" w:rsidRPr="00D9407E" w:rsidRDefault="00D9407E" w:rsidP="00E31A49">
            <w:pPr>
              <w:jc w:val="both"/>
              <w:rPr>
                <w:rFonts w:ascii="Arial" w:hAnsi="Arial" w:cs="Arial"/>
                <w:sz w:val="22"/>
                <w:szCs w:val="22"/>
              </w:rPr>
            </w:pPr>
            <w:r w:rsidRPr="00D9407E">
              <w:rPr>
                <w:rFonts w:ascii="Arial" w:hAnsi="Arial" w:cs="Arial"/>
                <w:sz w:val="22"/>
                <w:szCs w:val="22"/>
              </w:rPr>
              <w:t>Incentivos</w:t>
            </w:r>
          </w:p>
        </w:tc>
        <w:tc>
          <w:tcPr>
            <w:tcW w:w="2159" w:type="pct"/>
          </w:tcPr>
          <w:p w14:paraId="4A8FC399" w14:textId="77777777" w:rsidR="00D9407E" w:rsidRPr="00D9407E" w:rsidRDefault="00D9407E" w:rsidP="00C91088">
            <w:pPr>
              <w:pStyle w:val="Prrafodelista"/>
              <w:numPr>
                <w:ilvl w:val="0"/>
                <w:numId w:val="8"/>
              </w:numPr>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es-US"/>
              </w:rPr>
            </w:pPr>
            <w:r w:rsidRPr="00D9407E">
              <w:rPr>
                <w:rFonts w:ascii="Arial" w:hAnsi="Arial" w:cs="Arial"/>
                <w:sz w:val="22"/>
                <w:szCs w:val="22"/>
                <w:lang w:val="es-US"/>
              </w:rPr>
              <w:t>Garantizar el Diálogo en doble vía con la ciudadanía</w:t>
            </w:r>
          </w:p>
          <w:p w14:paraId="084FA8FD" w14:textId="77777777" w:rsidR="00D9407E" w:rsidRPr="00D9407E" w:rsidRDefault="00D9407E" w:rsidP="00C91088">
            <w:pPr>
              <w:pStyle w:val="Prrafodelista"/>
              <w:numPr>
                <w:ilvl w:val="0"/>
                <w:numId w:val="8"/>
              </w:numPr>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D9407E">
              <w:rPr>
                <w:rFonts w:ascii="Arial" w:hAnsi="Arial" w:cs="Arial"/>
                <w:sz w:val="22"/>
                <w:szCs w:val="22"/>
                <w:lang w:val="es-US"/>
              </w:rPr>
              <w:t>Entrega de incentivos y compromiso responsable de la administración por sistematizar y hacer uso de las recomendaciones y observaciones de la ciudadanía producto del Diálogo.</w:t>
            </w:r>
          </w:p>
        </w:tc>
        <w:tc>
          <w:tcPr>
            <w:tcW w:w="2159" w:type="pct"/>
          </w:tcPr>
          <w:p w14:paraId="7312B4AB" w14:textId="77777777" w:rsidR="00D9407E" w:rsidRPr="00D9407E" w:rsidRDefault="00D9407E" w:rsidP="00C91088">
            <w:pPr>
              <w:pStyle w:val="Prrafodelista"/>
              <w:numPr>
                <w:ilvl w:val="0"/>
                <w:numId w:val="8"/>
              </w:numPr>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D9407E">
              <w:rPr>
                <w:rFonts w:ascii="Arial" w:hAnsi="Arial" w:cs="Arial"/>
                <w:sz w:val="22"/>
                <w:szCs w:val="22"/>
              </w:rPr>
              <w:t xml:space="preserve">Fortalecer los canales de información a la ciudadanía con el fin de dar a conocer la programación de eventos, memorias de la rendición de cuentas, </w:t>
            </w:r>
          </w:p>
          <w:p w14:paraId="2FA9FE41" w14:textId="77777777" w:rsidR="00D9407E" w:rsidRPr="00D9407E" w:rsidRDefault="00D9407E" w:rsidP="00E31A49">
            <w:pPr>
              <w:ind w:left="73"/>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p w14:paraId="278BE04D" w14:textId="77777777" w:rsidR="00D9407E" w:rsidRPr="00D9407E" w:rsidRDefault="00D9407E" w:rsidP="00C91088">
            <w:pPr>
              <w:pStyle w:val="Prrafodelista"/>
              <w:numPr>
                <w:ilvl w:val="0"/>
                <w:numId w:val="8"/>
              </w:numPr>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es-US"/>
              </w:rPr>
            </w:pPr>
            <w:r w:rsidRPr="00D9407E">
              <w:rPr>
                <w:rFonts w:ascii="Arial" w:hAnsi="Arial" w:cs="Arial"/>
                <w:sz w:val="22"/>
                <w:szCs w:val="22"/>
              </w:rPr>
              <w:t>Fortalecer los medios electrónicos para facilitar la información de trámites y procedimientos con miras a fortalecer la transparencia, el control social, la eficiencia y efectividad de la gestión pública</w:t>
            </w:r>
          </w:p>
          <w:p w14:paraId="3C28B7E6" w14:textId="77777777" w:rsidR="00D9407E" w:rsidRPr="00D9407E" w:rsidRDefault="00D9407E" w:rsidP="00E31A49">
            <w:pPr>
              <w:pStyle w:val="Prrafodelista"/>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es-US"/>
              </w:rPr>
            </w:pPr>
          </w:p>
          <w:p w14:paraId="0123C8CD" w14:textId="77777777" w:rsidR="00D9407E" w:rsidRPr="00D9407E" w:rsidRDefault="00D9407E" w:rsidP="00E31A49">
            <w:pPr>
              <w:ind w:left="360"/>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es-US"/>
              </w:rPr>
            </w:pPr>
          </w:p>
        </w:tc>
      </w:tr>
    </w:tbl>
    <w:p w14:paraId="73FDBE6C" w14:textId="77777777" w:rsidR="00D9407E" w:rsidRPr="00D9407E" w:rsidRDefault="00D9407E" w:rsidP="00D9407E">
      <w:pPr>
        <w:jc w:val="both"/>
        <w:rPr>
          <w:rFonts w:ascii="Arial" w:hAnsi="Arial" w:cs="Arial"/>
          <w:b/>
          <w:sz w:val="22"/>
          <w:szCs w:val="22"/>
        </w:rPr>
      </w:pPr>
    </w:p>
    <w:p w14:paraId="53C67A4C" w14:textId="77777777" w:rsidR="00B479FE" w:rsidRDefault="00B479FE" w:rsidP="00D9407E">
      <w:pPr>
        <w:jc w:val="both"/>
        <w:rPr>
          <w:rFonts w:ascii="Arial" w:hAnsi="Arial" w:cs="Arial"/>
          <w:b/>
          <w:sz w:val="22"/>
          <w:szCs w:val="22"/>
        </w:rPr>
      </w:pPr>
    </w:p>
    <w:p w14:paraId="687F234D" w14:textId="77777777" w:rsidR="00D9407E" w:rsidRDefault="00D9407E" w:rsidP="00D9407E">
      <w:pPr>
        <w:jc w:val="both"/>
        <w:rPr>
          <w:rFonts w:ascii="Arial" w:hAnsi="Arial" w:cs="Arial"/>
          <w:b/>
          <w:sz w:val="22"/>
          <w:szCs w:val="22"/>
        </w:rPr>
      </w:pPr>
      <w:r w:rsidRPr="00D9407E">
        <w:rPr>
          <w:rFonts w:ascii="Arial" w:hAnsi="Arial" w:cs="Arial"/>
          <w:b/>
          <w:sz w:val="22"/>
          <w:szCs w:val="22"/>
        </w:rPr>
        <w:t>Fase de evaluación</w:t>
      </w:r>
    </w:p>
    <w:p w14:paraId="2DE8B723" w14:textId="77777777" w:rsidR="00B479FE" w:rsidRPr="00D9407E" w:rsidRDefault="00B479FE" w:rsidP="00D9407E">
      <w:pPr>
        <w:jc w:val="both"/>
        <w:rPr>
          <w:rFonts w:ascii="Arial" w:hAnsi="Arial" w:cs="Arial"/>
          <w:b/>
          <w:sz w:val="22"/>
          <w:szCs w:val="22"/>
        </w:rPr>
      </w:pPr>
    </w:p>
    <w:tbl>
      <w:tblPr>
        <w:tblStyle w:val="Listamedia2-nfasis1"/>
        <w:tblW w:w="5000" w:type="pct"/>
        <w:tblInd w:w="-10" w:type="dxa"/>
        <w:tblLook w:val="04A0" w:firstRow="1" w:lastRow="0" w:firstColumn="1" w:lastColumn="0" w:noHBand="0" w:noVBand="1"/>
      </w:tblPr>
      <w:tblGrid>
        <w:gridCol w:w="1391"/>
        <w:gridCol w:w="3817"/>
        <w:gridCol w:w="4874"/>
      </w:tblGrid>
      <w:tr w:rsidR="00D9407E" w:rsidRPr="00D9407E" w14:paraId="43EFB80B" w14:textId="77777777" w:rsidTr="00E31A4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82" w:type="pct"/>
          </w:tcPr>
          <w:p w14:paraId="707A3ABA" w14:textId="77777777" w:rsidR="00D9407E" w:rsidRPr="00D9407E" w:rsidRDefault="00D9407E" w:rsidP="00E31A49">
            <w:pPr>
              <w:jc w:val="both"/>
              <w:rPr>
                <w:rFonts w:ascii="Arial" w:hAnsi="Arial" w:cs="Arial"/>
                <w:b/>
                <w:sz w:val="22"/>
                <w:szCs w:val="22"/>
              </w:rPr>
            </w:pPr>
            <w:r w:rsidRPr="00D9407E">
              <w:rPr>
                <w:rFonts w:ascii="Arial" w:hAnsi="Arial" w:cs="Arial"/>
                <w:b/>
                <w:sz w:val="22"/>
                <w:szCs w:val="22"/>
              </w:rPr>
              <w:t>Eje transversal</w:t>
            </w:r>
          </w:p>
        </w:tc>
        <w:tc>
          <w:tcPr>
            <w:tcW w:w="2159" w:type="pct"/>
          </w:tcPr>
          <w:p w14:paraId="1C2BF825" w14:textId="77777777" w:rsidR="00D9407E" w:rsidRPr="00D9407E" w:rsidRDefault="00D9407E" w:rsidP="00E31A49">
            <w:pPr>
              <w:jc w:val="center"/>
              <w:cnfStyle w:val="100000000000" w:firstRow="1" w:lastRow="0" w:firstColumn="0" w:lastColumn="0" w:oddVBand="0" w:evenVBand="0" w:oddHBand="0" w:evenHBand="0" w:firstRowFirstColumn="0" w:firstRowLastColumn="0" w:lastRowFirstColumn="0" w:lastRowLastColumn="0"/>
              <w:rPr>
                <w:rFonts w:ascii="Arial" w:hAnsi="Arial" w:cs="Arial"/>
                <w:b/>
                <w:sz w:val="22"/>
                <w:szCs w:val="22"/>
              </w:rPr>
            </w:pPr>
            <w:r w:rsidRPr="00D9407E">
              <w:rPr>
                <w:rFonts w:ascii="Arial" w:hAnsi="Arial" w:cs="Arial"/>
                <w:b/>
                <w:sz w:val="22"/>
                <w:szCs w:val="22"/>
              </w:rPr>
              <w:t>Lineamiento</w:t>
            </w:r>
          </w:p>
        </w:tc>
        <w:tc>
          <w:tcPr>
            <w:tcW w:w="2159" w:type="pct"/>
          </w:tcPr>
          <w:p w14:paraId="5DDB5F9B" w14:textId="77777777" w:rsidR="00D9407E" w:rsidRPr="00D9407E" w:rsidRDefault="00D9407E" w:rsidP="00E31A49">
            <w:pPr>
              <w:jc w:val="center"/>
              <w:cnfStyle w:val="100000000000" w:firstRow="1" w:lastRow="0" w:firstColumn="0" w:lastColumn="0" w:oddVBand="0" w:evenVBand="0" w:oddHBand="0" w:evenHBand="0" w:firstRowFirstColumn="0" w:firstRowLastColumn="0" w:lastRowFirstColumn="0" w:lastRowLastColumn="0"/>
              <w:rPr>
                <w:rFonts w:ascii="Arial" w:hAnsi="Arial" w:cs="Arial"/>
                <w:b/>
                <w:sz w:val="22"/>
                <w:szCs w:val="22"/>
              </w:rPr>
            </w:pPr>
            <w:r w:rsidRPr="00D9407E">
              <w:rPr>
                <w:rFonts w:ascii="Arial" w:hAnsi="Arial" w:cs="Arial"/>
                <w:b/>
                <w:sz w:val="22"/>
                <w:szCs w:val="22"/>
              </w:rPr>
              <w:t xml:space="preserve">Mecanismos utilizados </w:t>
            </w:r>
          </w:p>
        </w:tc>
      </w:tr>
      <w:tr w:rsidR="00D9407E" w:rsidRPr="00D9407E" w14:paraId="3E5B871D" w14:textId="77777777" w:rsidTr="00E31A4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2" w:type="pct"/>
          </w:tcPr>
          <w:p w14:paraId="5E7445B3" w14:textId="77777777" w:rsidR="00D9407E" w:rsidRPr="00D9407E" w:rsidRDefault="00D9407E" w:rsidP="00E31A49">
            <w:pPr>
              <w:jc w:val="both"/>
              <w:rPr>
                <w:rFonts w:ascii="Arial" w:hAnsi="Arial" w:cs="Arial"/>
                <w:sz w:val="22"/>
                <w:szCs w:val="22"/>
              </w:rPr>
            </w:pPr>
            <w:r w:rsidRPr="00D9407E">
              <w:rPr>
                <w:rFonts w:ascii="Arial" w:hAnsi="Arial" w:cs="Arial"/>
                <w:sz w:val="22"/>
                <w:szCs w:val="22"/>
              </w:rPr>
              <w:t>Información</w:t>
            </w:r>
          </w:p>
        </w:tc>
        <w:tc>
          <w:tcPr>
            <w:tcW w:w="2159" w:type="pct"/>
          </w:tcPr>
          <w:p w14:paraId="2DA2DDB6" w14:textId="77777777" w:rsidR="00D9407E" w:rsidRPr="00D9407E" w:rsidRDefault="00D9407E" w:rsidP="00C91088">
            <w:pPr>
              <w:pStyle w:val="Prrafodelista"/>
              <w:numPr>
                <w:ilvl w:val="0"/>
                <w:numId w:val="9"/>
              </w:numPr>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D9407E">
              <w:rPr>
                <w:rFonts w:ascii="Arial" w:hAnsi="Arial" w:cs="Arial"/>
                <w:sz w:val="22"/>
                <w:szCs w:val="22"/>
                <w:lang w:val="es-US"/>
              </w:rPr>
              <w:t>Sistematizar las memorias de buenas prácticas y elementos para la mejora con base en los resultados obtenidos vigencia a vigencia.</w:t>
            </w:r>
          </w:p>
        </w:tc>
        <w:tc>
          <w:tcPr>
            <w:tcW w:w="2159" w:type="pct"/>
          </w:tcPr>
          <w:p w14:paraId="5C20685B" w14:textId="77777777" w:rsidR="00D9407E" w:rsidRPr="00D9407E" w:rsidRDefault="00D9407E" w:rsidP="00C91088">
            <w:pPr>
              <w:pStyle w:val="Prrafodelista"/>
              <w:numPr>
                <w:ilvl w:val="0"/>
                <w:numId w:val="9"/>
              </w:numPr>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es-US"/>
              </w:rPr>
            </w:pPr>
            <w:r w:rsidRPr="00D9407E">
              <w:rPr>
                <w:rFonts w:ascii="Arial" w:hAnsi="Arial" w:cs="Arial"/>
                <w:sz w:val="22"/>
                <w:szCs w:val="22"/>
                <w:lang w:val="es-US"/>
              </w:rPr>
              <w:t xml:space="preserve">Programa Civinautas. Publicar en la web del IDPC, los resultados obtenidos en el proceso de formación pedagógica Civinautas. </w:t>
            </w:r>
            <w:r w:rsidRPr="00D9407E">
              <w:rPr>
                <w:rFonts w:ascii="Arial" w:hAnsi="Arial" w:cs="Arial"/>
                <w:color w:val="4BACC6" w:themeColor="accent5"/>
                <w:sz w:val="22"/>
                <w:szCs w:val="22"/>
                <w:lang w:val="es-US"/>
              </w:rPr>
              <w:t xml:space="preserve">http://idpc.gov.co/civinautas-programa-de-formacion-en-patrimonio-cultural/  </w:t>
            </w:r>
          </w:p>
          <w:p w14:paraId="625051B5" w14:textId="77777777" w:rsidR="00D9407E" w:rsidRPr="00D9407E" w:rsidRDefault="00D9407E" w:rsidP="00E31A49">
            <w:pPr>
              <w:ind w:left="360"/>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es-US"/>
              </w:rPr>
            </w:pPr>
          </w:p>
        </w:tc>
      </w:tr>
      <w:tr w:rsidR="00D9407E" w:rsidRPr="00D9407E" w14:paraId="6AE756EF" w14:textId="77777777" w:rsidTr="00E31A49">
        <w:tc>
          <w:tcPr>
            <w:cnfStyle w:val="001000000000" w:firstRow="0" w:lastRow="0" w:firstColumn="1" w:lastColumn="0" w:oddVBand="0" w:evenVBand="0" w:oddHBand="0" w:evenHBand="0" w:firstRowFirstColumn="0" w:firstRowLastColumn="0" w:lastRowFirstColumn="0" w:lastRowLastColumn="0"/>
            <w:tcW w:w="682" w:type="pct"/>
          </w:tcPr>
          <w:p w14:paraId="585B2EC3" w14:textId="77777777" w:rsidR="00D9407E" w:rsidRPr="00D9407E" w:rsidRDefault="00D9407E" w:rsidP="00E31A49">
            <w:pPr>
              <w:jc w:val="both"/>
              <w:rPr>
                <w:rFonts w:ascii="Arial" w:hAnsi="Arial" w:cs="Arial"/>
                <w:sz w:val="22"/>
                <w:szCs w:val="22"/>
              </w:rPr>
            </w:pPr>
            <w:r w:rsidRPr="00D9407E">
              <w:rPr>
                <w:rFonts w:ascii="Arial" w:hAnsi="Arial" w:cs="Arial"/>
                <w:sz w:val="22"/>
                <w:szCs w:val="22"/>
              </w:rPr>
              <w:lastRenderedPageBreak/>
              <w:t>Diálogo</w:t>
            </w:r>
          </w:p>
        </w:tc>
        <w:tc>
          <w:tcPr>
            <w:tcW w:w="2159" w:type="pct"/>
            <w:shd w:val="clear" w:color="auto" w:fill="DBE5F1" w:themeFill="accent1" w:themeFillTint="33"/>
          </w:tcPr>
          <w:p w14:paraId="3D1DD6C4" w14:textId="77777777" w:rsidR="00D9407E" w:rsidRPr="00D9407E" w:rsidRDefault="00D9407E" w:rsidP="00C91088">
            <w:pPr>
              <w:pStyle w:val="Prrafodelista"/>
              <w:numPr>
                <w:ilvl w:val="0"/>
                <w:numId w:val="9"/>
              </w:num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D9407E">
              <w:rPr>
                <w:rFonts w:ascii="Arial" w:hAnsi="Arial" w:cs="Arial"/>
                <w:sz w:val="22"/>
                <w:szCs w:val="22"/>
                <w:lang w:val="es-US"/>
              </w:rPr>
              <w:t>Comunicar los resultados de la rendición de cuentas al interior de la entidad y con la ciudadanía.</w:t>
            </w:r>
          </w:p>
        </w:tc>
        <w:tc>
          <w:tcPr>
            <w:tcW w:w="2159" w:type="pct"/>
            <w:shd w:val="clear" w:color="auto" w:fill="DBE5F1" w:themeFill="accent1" w:themeFillTint="33"/>
          </w:tcPr>
          <w:p w14:paraId="3CC4F492" w14:textId="77777777" w:rsidR="00D9407E" w:rsidRPr="00D9407E" w:rsidRDefault="00D9407E" w:rsidP="00C91088">
            <w:pPr>
              <w:pStyle w:val="Prrafodelista"/>
              <w:numPr>
                <w:ilvl w:val="0"/>
                <w:numId w:val="9"/>
              </w:numPr>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s-US"/>
              </w:rPr>
            </w:pPr>
            <w:r w:rsidRPr="00D9407E">
              <w:rPr>
                <w:rFonts w:ascii="Arial" w:hAnsi="Arial" w:cs="Arial"/>
                <w:sz w:val="22"/>
                <w:szCs w:val="22"/>
                <w:lang w:val="es-US"/>
              </w:rPr>
              <w:t xml:space="preserve">Rendición de Cuentas a la ciudadanía. </w:t>
            </w:r>
            <w:r w:rsidRPr="00D9407E">
              <w:rPr>
                <w:rFonts w:ascii="Arial" w:hAnsi="Arial" w:cs="Arial"/>
                <w:sz w:val="22"/>
                <w:szCs w:val="22"/>
                <w:highlight w:val="yellow"/>
                <w:lang w:val="es-US"/>
              </w:rPr>
              <w:t>Realizar y publicar un informe de resultados de la Estrategia de Rendición de Cuentas, Plan Institucional de Participación Ciudadana y Audiencia Pública y el informe de evaluación de la audiencia pública.</w:t>
            </w:r>
          </w:p>
        </w:tc>
      </w:tr>
      <w:tr w:rsidR="00D9407E" w:rsidRPr="00D9407E" w14:paraId="62D25339" w14:textId="77777777" w:rsidTr="00E31A49">
        <w:trPr>
          <w:cnfStyle w:val="000000100000" w:firstRow="0" w:lastRow="0" w:firstColumn="0" w:lastColumn="0" w:oddVBand="0" w:evenVBand="0" w:oddHBand="1" w:evenHBand="0" w:firstRowFirstColumn="0" w:firstRowLastColumn="0" w:lastRowFirstColumn="0" w:lastRowLastColumn="0"/>
          <w:trHeight w:val="2561"/>
        </w:trPr>
        <w:tc>
          <w:tcPr>
            <w:cnfStyle w:val="001000000000" w:firstRow="0" w:lastRow="0" w:firstColumn="1" w:lastColumn="0" w:oddVBand="0" w:evenVBand="0" w:oddHBand="0" w:evenHBand="0" w:firstRowFirstColumn="0" w:firstRowLastColumn="0" w:lastRowFirstColumn="0" w:lastRowLastColumn="0"/>
            <w:tcW w:w="682" w:type="pct"/>
          </w:tcPr>
          <w:p w14:paraId="47FEFD1E" w14:textId="77777777" w:rsidR="00D9407E" w:rsidRPr="00D9407E" w:rsidRDefault="00D9407E" w:rsidP="00E31A49">
            <w:pPr>
              <w:jc w:val="both"/>
              <w:rPr>
                <w:rFonts w:ascii="Arial" w:hAnsi="Arial" w:cs="Arial"/>
                <w:sz w:val="22"/>
                <w:szCs w:val="22"/>
              </w:rPr>
            </w:pPr>
            <w:r w:rsidRPr="00D9407E">
              <w:rPr>
                <w:rFonts w:ascii="Arial" w:hAnsi="Arial" w:cs="Arial"/>
                <w:sz w:val="22"/>
                <w:szCs w:val="22"/>
              </w:rPr>
              <w:t>Incentivos</w:t>
            </w:r>
          </w:p>
        </w:tc>
        <w:tc>
          <w:tcPr>
            <w:tcW w:w="2159" w:type="pct"/>
          </w:tcPr>
          <w:p w14:paraId="1C415020" w14:textId="77777777" w:rsidR="00D9407E" w:rsidRPr="00D9407E" w:rsidRDefault="00D9407E" w:rsidP="00C91088">
            <w:pPr>
              <w:pStyle w:val="Prrafodelista"/>
              <w:numPr>
                <w:ilvl w:val="0"/>
                <w:numId w:val="9"/>
              </w:numPr>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D9407E">
              <w:rPr>
                <w:rFonts w:ascii="Arial" w:hAnsi="Arial" w:cs="Arial"/>
                <w:sz w:val="22"/>
                <w:szCs w:val="22"/>
                <w:lang w:val="es-US"/>
              </w:rPr>
              <w:t>Evaluar el impacto de los ejercicios de rendición permanente de cuentas</w:t>
            </w:r>
          </w:p>
        </w:tc>
        <w:tc>
          <w:tcPr>
            <w:tcW w:w="2159" w:type="pct"/>
          </w:tcPr>
          <w:p w14:paraId="10ABA881" w14:textId="77777777" w:rsidR="00D9407E" w:rsidRPr="00D9407E" w:rsidRDefault="00D9407E" w:rsidP="00C91088">
            <w:pPr>
              <w:pStyle w:val="Prrafodelista"/>
              <w:numPr>
                <w:ilvl w:val="0"/>
                <w:numId w:val="9"/>
              </w:numPr>
              <w:jc w:val="both"/>
              <w:cnfStyle w:val="000000100000" w:firstRow="0" w:lastRow="0" w:firstColumn="0" w:lastColumn="0" w:oddVBand="0" w:evenVBand="0" w:oddHBand="1" w:evenHBand="0" w:firstRowFirstColumn="0" w:firstRowLastColumn="0" w:lastRowFirstColumn="0" w:lastRowLastColumn="0"/>
              <w:rPr>
                <w:rFonts w:ascii="Arial" w:hAnsi="Arial" w:cs="Arial"/>
                <w:color w:val="4BACC6" w:themeColor="accent5"/>
                <w:sz w:val="22"/>
                <w:szCs w:val="22"/>
                <w:lang w:val="es-US"/>
              </w:rPr>
            </w:pPr>
            <w:r w:rsidRPr="00D9407E">
              <w:rPr>
                <w:rFonts w:ascii="Arial" w:hAnsi="Arial" w:cs="Arial"/>
                <w:sz w:val="22"/>
                <w:szCs w:val="22"/>
                <w:lang w:val="es-US"/>
              </w:rPr>
              <w:t xml:space="preserve">Los resultados de la evaluación se reflejan en los informes de control interno, publicados en el link de transparencia.  </w:t>
            </w:r>
            <w:r w:rsidRPr="00D9407E">
              <w:rPr>
                <w:rFonts w:ascii="Arial" w:hAnsi="Arial" w:cs="Arial"/>
                <w:color w:val="4BACC6" w:themeColor="accent5"/>
                <w:sz w:val="22"/>
                <w:szCs w:val="22"/>
                <w:lang w:val="es-US"/>
              </w:rPr>
              <w:t>Idpc.gov.co/Transparencia/informe2019.</w:t>
            </w:r>
          </w:p>
          <w:p w14:paraId="246C1E47" w14:textId="77777777" w:rsidR="00D9407E" w:rsidRPr="00D9407E" w:rsidRDefault="00D9407E" w:rsidP="00C91088">
            <w:pPr>
              <w:pStyle w:val="Prrafodelista"/>
              <w:numPr>
                <w:ilvl w:val="0"/>
                <w:numId w:val="9"/>
              </w:numPr>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es-US"/>
              </w:rPr>
            </w:pPr>
            <w:r w:rsidRPr="00D9407E">
              <w:rPr>
                <w:rFonts w:ascii="Arial" w:hAnsi="Arial" w:cs="Arial"/>
                <w:sz w:val="22"/>
                <w:szCs w:val="22"/>
                <w:lang w:val="es-US"/>
              </w:rPr>
              <w:t xml:space="preserve">Formulario en línea para ser diligenciado por los grupos de interés para responder las preguntas e inquietudes sobre el proceso de Audiencia Pública y Rendición de cuentas. </w:t>
            </w:r>
          </w:p>
        </w:tc>
      </w:tr>
    </w:tbl>
    <w:p w14:paraId="39CF8BD9" w14:textId="77777777" w:rsidR="00D9407E" w:rsidRPr="00D9407E" w:rsidRDefault="00D9407E" w:rsidP="00D9407E">
      <w:pPr>
        <w:jc w:val="both"/>
        <w:rPr>
          <w:rFonts w:ascii="Arial" w:hAnsi="Arial" w:cs="Arial"/>
          <w:b/>
          <w:sz w:val="22"/>
          <w:szCs w:val="22"/>
        </w:rPr>
      </w:pPr>
    </w:p>
    <w:p w14:paraId="6A34CB03" w14:textId="77777777" w:rsidR="00D9407E" w:rsidRPr="00D9407E" w:rsidRDefault="00D9407E" w:rsidP="00C91088">
      <w:pPr>
        <w:pStyle w:val="Prrafodelista"/>
        <w:numPr>
          <w:ilvl w:val="1"/>
          <w:numId w:val="11"/>
        </w:numPr>
        <w:jc w:val="both"/>
        <w:rPr>
          <w:rFonts w:ascii="Arial" w:hAnsi="Arial" w:cs="Arial"/>
          <w:sz w:val="22"/>
          <w:szCs w:val="22"/>
        </w:rPr>
      </w:pPr>
      <w:r w:rsidRPr="00D9407E">
        <w:rPr>
          <w:rFonts w:ascii="Arial" w:hAnsi="Arial" w:cs="Arial"/>
          <w:sz w:val="22"/>
          <w:szCs w:val="22"/>
        </w:rPr>
        <w:t>Enfoque de derechos humanos</w:t>
      </w:r>
    </w:p>
    <w:p w14:paraId="065D215D" w14:textId="77777777" w:rsidR="00D9407E" w:rsidRPr="00D9407E" w:rsidRDefault="00D9407E" w:rsidP="00D9407E">
      <w:pPr>
        <w:jc w:val="both"/>
        <w:rPr>
          <w:rFonts w:ascii="Arial" w:hAnsi="Arial" w:cs="Arial"/>
          <w:sz w:val="22"/>
          <w:szCs w:val="22"/>
        </w:rPr>
      </w:pPr>
    </w:p>
    <w:p w14:paraId="3DD59625" w14:textId="77777777" w:rsidR="00D9407E" w:rsidRPr="00D9407E" w:rsidRDefault="00D9407E" w:rsidP="00D9407E">
      <w:pPr>
        <w:jc w:val="both"/>
        <w:rPr>
          <w:rFonts w:ascii="Arial" w:hAnsi="Arial" w:cs="Arial"/>
          <w:sz w:val="22"/>
          <w:szCs w:val="22"/>
        </w:rPr>
      </w:pPr>
      <w:r w:rsidRPr="00D9407E">
        <w:rPr>
          <w:rFonts w:ascii="Arial" w:hAnsi="Arial" w:cs="Arial"/>
          <w:sz w:val="22"/>
          <w:szCs w:val="22"/>
        </w:rPr>
        <w:t>La misión del IDPC describe el fin último del ejercicio realizado por la entidad así:</w:t>
      </w:r>
    </w:p>
    <w:p w14:paraId="45EDED78" w14:textId="77777777" w:rsidR="00D9407E" w:rsidRPr="00D9407E" w:rsidRDefault="00D9407E" w:rsidP="00D9407E">
      <w:pPr>
        <w:jc w:val="both"/>
        <w:rPr>
          <w:rFonts w:ascii="Arial" w:hAnsi="Arial" w:cs="Arial"/>
          <w:sz w:val="22"/>
          <w:szCs w:val="22"/>
        </w:rPr>
      </w:pPr>
    </w:p>
    <w:p w14:paraId="53BC013D" w14:textId="77777777" w:rsidR="00D9407E" w:rsidRPr="00D9407E" w:rsidRDefault="00D9407E" w:rsidP="00D9407E">
      <w:pPr>
        <w:ind w:left="567"/>
        <w:jc w:val="both"/>
        <w:rPr>
          <w:rFonts w:ascii="Arial" w:hAnsi="Arial" w:cs="Arial"/>
          <w:i/>
          <w:sz w:val="22"/>
          <w:szCs w:val="22"/>
        </w:rPr>
      </w:pPr>
      <w:r w:rsidRPr="00D9407E">
        <w:rPr>
          <w:rFonts w:ascii="Arial" w:hAnsi="Arial" w:cs="Arial"/>
          <w:i/>
          <w:sz w:val="22"/>
          <w:szCs w:val="22"/>
        </w:rPr>
        <w:t xml:space="preserve">El IDPC promueve y gestiona la preservación y sostenibilidad del patrimonio cultural de Bogotá, mediante la implementación de estrategias y acciones de identificación, valoración, protección, recuperación y divulgación, </w:t>
      </w:r>
      <w:r w:rsidRPr="00D9407E">
        <w:rPr>
          <w:rFonts w:ascii="Arial" w:hAnsi="Arial" w:cs="Arial"/>
          <w:b/>
          <w:i/>
          <w:sz w:val="22"/>
          <w:szCs w:val="22"/>
        </w:rPr>
        <w:t>con el fin de garantizar el ejercicio efectivo de los derechos patrimoniales y culturales de la ciudadanía</w:t>
      </w:r>
      <w:r w:rsidRPr="00D9407E">
        <w:rPr>
          <w:rFonts w:ascii="Arial" w:hAnsi="Arial" w:cs="Arial"/>
          <w:i/>
          <w:sz w:val="22"/>
          <w:szCs w:val="22"/>
        </w:rPr>
        <w:t xml:space="preserve"> y afianzar el sentido de apropiación social del patrimonio cultural.</w:t>
      </w:r>
    </w:p>
    <w:p w14:paraId="6E886988" w14:textId="77777777" w:rsidR="00D9407E" w:rsidRPr="00D9407E" w:rsidRDefault="00D9407E" w:rsidP="00D9407E">
      <w:pPr>
        <w:ind w:left="567"/>
        <w:jc w:val="both"/>
        <w:rPr>
          <w:rFonts w:ascii="Arial" w:hAnsi="Arial" w:cs="Arial"/>
          <w:b/>
          <w:sz w:val="22"/>
          <w:szCs w:val="22"/>
        </w:rPr>
      </w:pPr>
      <w:r w:rsidRPr="00D9407E">
        <w:rPr>
          <w:rFonts w:ascii="Arial" w:hAnsi="Arial" w:cs="Arial"/>
          <w:b/>
          <w:sz w:val="22"/>
          <w:szCs w:val="22"/>
        </w:rPr>
        <w:t>Misión del IDPC</w:t>
      </w:r>
    </w:p>
    <w:p w14:paraId="02458796" w14:textId="77777777" w:rsidR="00D9407E" w:rsidRPr="00D9407E" w:rsidRDefault="00D9407E" w:rsidP="00D9407E">
      <w:pPr>
        <w:jc w:val="both"/>
        <w:rPr>
          <w:rFonts w:ascii="Arial" w:hAnsi="Arial" w:cs="Arial"/>
          <w:sz w:val="22"/>
          <w:szCs w:val="22"/>
        </w:rPr>
      </w:pPr>
    </w:p>
    <w:p w14:paraId="406F3EAA" w14:textId="77777777" w:rsidR="00D9407E" w:rsidRPr="00D9407E" w:rsidRDefault="00D9407E" w:rsidP="00D9407E">
      <w:pPr>
        <w:jc w:val="both"/>
        <w:rPr>
          <w:rFonts w:ascii="Arial" w:hAnsi="Arial" w:cs="Arial"/>
          <w:sz w:val="22"/>
          <w:szCs w:val="22"/>
        </w:rPr>
      </w:pPr>
      <w:r w:rsidRPr="00D9407E">
        <w:rPr>
          <w:rFonts w:ascii="Arial" w:hAnsi="Arial" w:cs="Arial"/>
          <w:sz w:val="22"/>
          <w:szCs w:val="22"/>
        </w:rPr>
        <w:t>De la misma manera, el 6 de octubre 2016, el Consejo de Derechos Humanos aprobó por unanimidad una resolución que exhorta a todos los Estados a que respeten, promuevan y protejan el derecho de toda persona a participar en la vida cultural, incluida la capacidad de acceder al patrimonio cultural y disfrutar de él, y de tomar medidas para conseguir a este objetivo.</w:t>
      </w:r>
    </w:p>
    <w:p w14:paraId="06C3C9F1" w14:textId="77777777" w:rsidR="00D9407E" w:rsidRPr="00D9407E" w:rsidRDefault="00D9407E" w:rsidP="00D9407E">
      <w:pPr>
        <w:jc w:val="both"/>
        <w:rPr>
          <w:rFonts w:ascii="Arial" w:hAnsi="Arial" w:cs="Arial"/>
          <w:sz w:val="22"/>
          <w:szCs w:val="22"/>
        </w:rPr>
      </w:pPr>
    </w:p>
    <w:p w14:paraId="2026E64A" w14:textId="77777777" w:rsidR="00D9407E" w:rsidRPr="00D9407E" w:rsidRDefault="00D9407E" w:rsidP="00D9407E">
      <w:pPr>
        <w:jc w:val="both"/>
        <w:rPr>
          <w:rFonts w:ascii="Arial" w:hAnsi="Arial" w:cs="Arial"/>
          <w:sz w:val="22"/>
          <w:szCs w:val="22"/>
        </w:rPr>
      </w:pPr>
      <w:r w:rsidRPr="00D9407E">
        <w:rPr>
          <w:rFonts w:ascii="Arial" w:hAnsi="Arial" w:cs="Arial"/>
          <w:sz w:val="22"/>
          <w:szCs w:val="22"/>
        </w:rPr>
        <w:t>En tal sentido, los ejercicios de rendición permanente de cuentas del IDPC incorporan en cada una de las fases del proceso, la concepción de derechos humanos, tanto desde el quehacer de la Entidad, como en la manera en que se recibe la información en Diálogo permanente por parte de la ciudadanía.</w:t>
      </w:r>
    </w:p>
    <w:p w14:paraId="0F5D6028" w14:textId="77777777" w:rsidR="00D9407E" w:rsidRPr="00D9407E" w:rsidRDefault="00D9407E" w:rsidP="00D9407E">
      <w:pPr>
        <w:jc w:val="both"/>
        <w:rPr>
          <w:rFonts w:ascii="Arial" w:hAnsi="Arial" w:cs="Arial"/>
          <w:sz w:val="22"/>
          <w:szCs w:val="22"/>
        </w:rPr>
      </w:pPr>
    </w:p>
    <w:p w14:paraId="0C3E85A6" w14:textId="77777777" w:rsidR="00D9407E" w:rsidRPr="00D9407E" w:rsidRDefault="00D9407E" w:rsidP="00D9407E">
      <w:pPr>
        <w:jc w:val="both"/>
        <w:rPr>
          <w:rFonts w:ascii="Arial" w:hAnsi="Arial" w:cs="Arial"/>
          <w:sz w:val="22"/>
          <w:szCs w:val="22"/>
        </w:rPr>
      </w:pPr>
      <w:r w:rsidRPr="00D9407E">
        <w:rPr>
          <w:rFonts w:ascii="Arial" w:hAnsi="Arial" w:cs="Arial"/>
          <w:sz w:val="22"/>
          <w:szCs w:val="22"/>
        </w:rPr>
        <w:t>La estructura de enfoque de derechos humanos para la rendición de cuentas permite comprender para el IDPC:</w:t>
      </w:r>
    </w:p>
    <w:p w14:paraId="5599DDBC" w14:textId="77777777" w:rsidR="00D9407E" w:rsidRPr="00D9407E" w:rsidRDefault="00D9407E" w:rsidP="00D9407E">
      <w:pPr>
        <w:jc w:val="both"/>
        <w:rPr>
          <w:rFonts w:ascii="Arial" w:hAnsi="Arial" w:cs="Arial"/>
          <w:sz w:val="22"/>
          <w:szCs w:val="22"/>
        </w:rPr>
      </w:pPr>
    </w:p>
    <w:p w14:paraId="0ADC6A7D" w14:textId="77777777" w:rsidR="00D9407E" w:rsidRPr="00D9407E" w:rsidRDefault="00D9407E" w:rsidP="00D9407E">
      <w:pPr>
        <w:ind w:left="567"/>
        <w:jc w:val="both"/>
        <w:rPr>
          <w:rFonts w:ascii="Arial" w:hAnsi="Arial" w:cs="Arial"/>
          <w:sz w:val="22"/>
          <w:szCs w:val="22"/>
        </w:rPr>
      </w:pPr>
      <w:r w:rsidRPr="00D9407E">
        <w:rPr>
          <w:rFonts w:ascii="Arial" w:hAnsi="Arial" w:cs="Arial"/>
          <w:b/>
          <w:sz w:val="22"/>
          <w:szCs w:val="22"/>
        </w:rPr>
        <w:t>Derecho humano objeto de garantía:</w:t>
      </w:r>
      <w:r w:rsidRPr="00D9407E">
        <w:rPr>
          <w:rFonts w:ascii="Arial" w:hAnsi="Arial" w:cs="Arial"/>
          <w:sz w:val="22"/>
          <w:szCs w:val="22"/>
        </w:rPr>
        <w:t xml:space="preserve"> Incluido en los derechos de segunda generación (Derechos económicos, sociales y culturales (DESC)), se incluye el </w:t>
      </w:r>
      <w:r w:rsidRPr="00D9407E">
        <w:rPr>
          <w:rFonts w:ascii="Arial" w:hAnsi="Arial" w:cs="Arial"/>
          <w:i/>
          <w:sz w:val="22"/>
          <w:szCs w:val="22"/>
        </w:rPr>
        <w:t>derecho a participar en la vida cultual, incluido el patrimonio cultural</w:t>
      </w:r>
      <w:r w:rsidRPr="00D9407E">
        <w:rPr>
          <w:rFonts w:ascii="Arial" w:hAnsi="Arial" w:cs="Arial"/>
          <w:sz w:val="22"/>
          <w:szCs w:val="22"/>
        </w:rPr>
        <w:t>.</w:t>
      </w:r>
    </w:p>
    <w:p w14:paraId="44EDF42F" w14:textId="77777777" w:rsidR="00D9407E" w:rsidRPr="00D9407E" w:rsidRDefault="00D9407E" w:rsidP="00D9407E">
      <w:pPr>
        <w:ind w:left="567"/>
        <w:jc w:val="both"/>
        <w:rPr>
          <w:rFonts w:ascii="Arial" w:hAnsi="Arial" w:cs="Arial"/>
          <w:sz w:val="22"/>
          <w:szCs w:val="22"/>
        </w:rPr>
      </w:pPr>
    </w:p>
    <w:p w14:paraId="77BD8071" w14:textId="77777777" w:rsidR="00D9407E" w:rsidRPr="00D9407E" w:rsidRDefault="00D9407E" w:rsidP="00D9407E">
      <w:pPr>
        <w:ind w:left="567"/>
        <w:jc w:val="both"/>
        <w:rPr>
          <w:rFonts w:ascii="Arial" w:hAnsi="Arial" w:cs="Arial"/>
          <w:sz w:val="22"/>
          <w:szCs w:val="22"/>
        </w:rPr>
      </w:pPr>
      <w:r w:rsidRPr="00D9407E">
        <w:rPr>
          <w:rFonts w:ascii="Arial" w:hAnsi="Arial" w:cs="Arial"/>
          <w:b/>
          <w:sz w:val="22"/>
          <w:szCs w:val="22"/>
        </w:rPr>
        <w:t>Titular del derecho:</w:t>
      </w:r>
      <w:r w:rsidRPr="00D9407E">
        <w:rPr>
          <w:rFonts w:ascii="Arial" w:hAnsi="Arial" w:cs="Arial"/>
          <w:sz w:val="22"/>
          <w:szCs w:val="22"/>
        </w:rPr>
        <w:t xml:space="preserve"> los y las ciudadanas de Bogotá, así como los visitantes de la ciudad.</w:t>
      </w:r>
    </w:p>
    <w:p w14:paraId="3BF5794B" w14:textId="77777777" w:rsidR="00D9407E" w:rsidRPr="00D9407E" w:rsidRDefault="00D9407E" w:rsidP="00D9407E">
      <w:pPr>
        <w:ind w:left="567"/>
        <w:jc w:val="both"/>
        <w:rPr>
          <w:rFonts w:ascii="Arial" w:hAnsi="Arial" w:cs="Arial"/>
          <w:sz w:val="22"/>
          <w:szCs w:val="22"/>
        </w:rPr>
      </w:pPr>
    </w:p>
    <w:p w14:paraId="533B1108" w14:textId="77777777" w:rsidR="00D9407E" w:rsidRPr="00D9407E" w:rsidRDefault="00D9407E" w:rsidP="00D9407E">
      <w:pPr>
        <w:ind w:left="567"/>
        <w:jc w:val="both"/>
        <w:rPr>
          <w:rFonts w:ascii="Arial" w:hAnsi="Arial" w:cs="Arial"/>
          <w:sz w:val="22"/>
          <w:szCs w:val="22"/>
        </w:rPr>
      </w:pPr>
      <w:r w:rsidRPr="00D9407E">
        <w:rPr>
          <w:rFonts w:ascii="Arial" w:hAnsi="Arial" w:cs="Arial"/>
          <w:b/>
          <w:sz w:val="22"/>
          <w:szCs w:val="22"/>
        </w:rPr>
        <w:t xml:space="preserve">Garante del derecho: </w:t>
      </w:r>
      <w:r w:rsidRPr="00D9407E">
        <w:rPr>
          <w:rFonts w:ascii="Arial" w:hAnsi="Arial" w:cs="Arial"/>
          <w:sz w:val="22"/>
          <w:szCs w:val="22"/>
        </w:rPr>
        <w:t>El Instituto Distrital de Patrimonio Cultural y las demás entidades distritales y nacionales con incidencia en la garantía a participar en la vida cultural, incluido el patrimonio cultural.</w:t>
      </w:r>
    </w:p>
    <w:p w14:paraId="1C093122" w14:textId="77777777" w:rsidR="00D9407E" w:rsidRPr="00D9407E" w:rsidRDefault="00D9407E" w:rsidP="00D9407E">
      <w:pPr>
        <w:jc w:val="both"/>
        <w:rPr>
          <w:rFonts w:ascii="Arial" w:hAnsi="Arial" w:cs="Arial"/>
          <w:sz w:val="22"/>
          <w:szCs w:val="22"/>
        </w:rPr>
      </w:pPr>
    </w:p>
    <w:p w14:paraId="27AE94EF" w14:textId="77777777" w:rsidR="00D9407E" w:rsidRPr="00B479FE" w:rsidRDefault="00D9407E" w:rsidP="00C91088">
      <w:pPr>
        <w:pStyle w:val="Prrafodelista"/>
        <w:numPr>
          <w:ilvl w:val="1"/>
          <w:numId w:val="11"/>
        </w:numPr>
        <w:jc w:val="both"/>
        <w:rPr>
          <w:rFonts w:ascii="Arial" w:hAnsi="Arial" w:cs="Arial"/>
          <w:sz w:val="22"/>
          <w:szCs w:val="22"/>
        </w:rPr>
      </w:pPr>
      <w:r w:rsidRPr="00B479FE">
        <w:rPr>
          <w:rFonts w:ascii="Arial" w:hAnsi="Arial" w:cs="Arial"/>
          <w:sz w:val="22"/>
          <w:szCs w:val="22"/>
        </w:rPr>
        <w:t>Verificación</w:t>
      </w:r>
    </w:p>
    <w:p w14:paraId="6F945569" w14:textId="77777777" w:rsidR="00D9407E" w:rsidRPr="00D9407E" w:rsidRDefault="00D9407E" w:rsidP="00D9407E">
      <w:pPr>
        <w:rPr>
          <w:rFonts w:ascii="Arial" w:hAnsi="Arial" w:cs="Arial"/>
          <w:sz w:val="22"/>
          <w:szCs w:val="22"/>
        </w:rPr>
      </w:pPr>
    </w:p>
    <w:p w14:paraId="289D8D04" w14:textId="77777777" w:rsidR="00D9407E" w:rsidRPr="00D9407E" w:rsidRDefault="00D9407E" w:rsidP="00D9407E">
      <w:pPr>
        <w:jc w:val="both"/>
        <w:rPr>
          <w:rFonts w:ascii="Arial" w:hAnsi="Arial" w:cs="Arial"/>
          <w:sz w:val="22"/>
          <w:szCs w:val="22"/>
        </w:rPr>
      </w:pPr>
      <w:r w:rsidRPr="00D9407E">
        <w:rPr>
          <w:rFonts w:ascii="Arial" w:hAnsi="Arial" w:cs="Arial"/>
          <w:sz w:val="22"/>
          <w:szCs w:val="22"/>
        </w:rPr>
        <w:t>La verificación a la implementación de la estrategia para la rendición de cuentas se realizará sobre los ámbitos de interacción ciudadana identificados y asociados a la participación ciudadana, que permitan un Diálogo con la ciudadanía para la rendición de cuentas.</w:t>
      </w:r>
    </w:p>
    <w:p w14:paraId="3F378D46" w14:textId="77777777" w:rsidR="00D9407E" w:rsidRPr="00D9407E" w:rsidRDefault="00D9407E" w:rsidP="00D9407E">
      <w:pPr>
        <w:jc w:val="both"/>
        <w:rPr>
          <w:rFonts w:ascii="Arial" w:hAnsi="Arial" w:cs="Arial"/>
          <w:sz w:val="22"/>
          <w:szCs w:val="22"/>
        </w:rPr>
      </w:pPr>
    </w:p>
    <w:p w14:paraId="51338075" w14:textId="77777777" w:rsidR="00D9407E" w:rsidRPr="00D9407E" w:rsidRDefault="00D9407E" w:rsidP="00D9407E">
      <w:pPr>
        <w:jc w:val="both"/>
        <w:rPr>
          <w:rFonts w:ascii="Arial" w:hAnsi="Arial" w:cs="Arial"/>
          <w:sz w:val="22"/>
          <w:szCs w:val="22"/>
        </w:rPr>
      </w:pPr>
      <w:r w:rsidRPr="00D9407E">
        <w:rPr>
          <w:rFonts w:ascii="Arial" w:hAnsi="Arial" w:cs="Arial"/>
          <w:sz w:val="22"/>
          <w:szCs w:val="22"/>
        </w:rPr>
        <w:t>Los equipos de trabajo responsables de la implementación de la Estrategia son:</w:t>
      </w:r>
    </w:p>
    <w:p w14:paraId="3FD3F407" w14:textId="77777777" w:rsidR="00D9407E" w:rsidRPr="00D9407E" w:rsidRDefault="00D9407E" w:rsidP="00D9407E">
      <w:pPr>
        <w:jc w:val="both"/>
        <w:rPr>
          <w:rFonts w:ascii="Arial" w:hAnsi="Arial" w:cs="Arial"/>
          <w:sz w:val="22"/>
          <w:szCs w:val="22"/>
        </w:rPr>
      </w:pPr>
    </w:p>
    <w:p w14:paraId="41457D1F" w14:textId="77777777" w:rsidR="00D9407E" w:rsidRPr="00D9407E" w:rsidRDefault="00D9407E" w:rsidP="00D9407E">
      <w:pPr>
        <w:jc w:val="both"/>
        <w:rPr>
          <w:rFonts w:ascii="Arial" w:hAnsi="Arial" w:cs="Arial"/>
          <w:sz w:val="22"/>
          <w:szCs w:val="22"/>
        </w:rPr>
      </w:pPr>
      <w:r w:rsidRPr="00D9407E">
        <w:rPr>
          <w:rFonts w:ascii="Arial" w:hAnsi="Arial" w:cs="Arial"/>
          <w:sz w:val="22"/>
          <w:szCs w:val="22"/>
        </w:rPr>
        <w:t>1. Oficina Asesora de Planeación: Equipos de planeación y de Participación Ciudadana.</w:t>
      </w:r>
    </w:p>
    <w:p w14:paraId="21DDDA2B" w14:textId="77777777" w:rsidR="00D9407E" w:rsidRPr="00D9407E" w:rsidRDefault="00D9407E" w:rsidP="00D9407E">
      <w:pPr>
        <w:jc w:val="both"/>
        <w:rPr>
          <w:rFonts w:ascii="Arial" w:hAnsi="Arial" w:cs="Arial"/>
          <w:sz w:val="22"/>
          <w:szCs w:val="22"/>
        </w:rPr>
      </w:pPr>
      <w:r w:rsidRPr="00D9407E">
        <w:rPr>
          <w:rFonts w:ascii="Arial" w:hAnsi="Arial" w:cs="Arial"/>
          <w:sz w:val="22"/>
          <w:szCs w:val="22"/>
        </w:rPr>
        <w:t>2. Subdirección de Gestión Corporativa: Transparencia y Atención al Ciudadano en las actividades relacionadas con los modelos liderados por dicho equipo en según lo definido en la estrategia de Transparencia, Atención al Ciudadano y Participación.</w:t>
      </w:r>
    </w:p>
    <w:p w14:paraId="5707572C" w14:textId="77777777" w:rsidR="00D9407E" w:rsidRPr="00D9407E" w:rsidRDefault="00D9407E" w:rsidP="00D9407E">
      <w:pPr>
        <w:jc w:val="both"/>
        <w:rPr>
          <w:rFonts w:ascii="Arial" w:hAnsi="Arial" w:cs="Arial"/>
          <w:sz w:val="22"/>
          <w:szCs w:val="22"/>
        </w:rPr>
      </w:pPr>
    </w:p>
    <w:p w14:paraId="4FA80BA0" w14:textId="77777777" w:rsidR="00D9407E" w:rsidRPr="00B479FE" w:rsidRDefault="00D9407E" w:rsidP="00C91088">
      <w:pPr>
        <w:pStyle w:val="Prrafodelista"/>
        <w:numPr>
          <w:ilvl w:val="1"/>
          <w:numId w:val="11"/>
        </w:numPr>
        <w:jc w:val="both"/>
        <w:rPr>
          <w:rFonts w:ascii="Arial" w:hAnsi="Arial" w:cs="Arial"/>
          <w:sz w:val="22"/>
          <w:szCs w:val="22"/>
        </w:rPr>
      </w:pPr>
      <w:r w:rsidRPr="00B479FE">
        <w:rPr>
          <w:rFonts w:ascii="Arial" w:hAnsi="Arial" w:cs="Arial"/>
          <w:sz w:val="22"/>
          <w:szCs w:val="22"/>
        </w:rPr>
        <w:t>Monitoreo</w:t>
      </w:r>
    </w:p>
    <w:p w14:paraId="7CD2CE64" w14:textId="77777777" w:rsidR="00D9407E" w:rsidRPr="00D9407E" w:rsidRDefault="00D9407E" w:rsidP="00D9407E">
      <w:pPr>
        <w:rPr>
          <w:rFonts w:ascii="Arial" w:hAnsi="Arial" w:cs="Arial"/>
          <w:sz w:val="22"/>
          <w:szCs w:val="22"/>
        </w:rPr>
      </w:pPr>
    </w:p>
    <w:p w14:paraId="3E44C74B" w14:textId="77777777" w:rsidR="00D9407E" w:rsidRPr="00D9407E" w:rsidRDefault="00D9407E" w:rsidP="00D9407E">
      <w:pPr>
        <w:jc w:val="both"/>
        <w:rPr>
          <w:rFonts w:ascii="Arial" w:hAnsi="Arial" w:cs="Arial"/>
          <w:sz w:val="22"/>
          <w:szCs w:val="22"/>
        </w:rPr>
      </w:pPr>
      <w:r w:rsidRPr="00D9407E">
        <w:rPr>
          <w:rFonts w:ascii="Arial" w:hAnsi="Arial" w:cs="Arial"/>
          <w:sz w:val="22"/>
          <w:szCs w:val="22"/>
        </w:rPr>
        <w:t xml:space="preserve">El monitoreo de implementación de la Estrategia se realizará cuatrimestralmente de acuerdo con las herramientas de seguimiento del Plan Anticorrupción de Atención al Ciudadano (PAAC) y semestralmente en relación con la Estrategia de Transparencia, Atención a la Ciudadanía y Participación. </w:t>
      </w:r>
    </w:p>
    <w:p w14:paraId="6F9E508D" w14:textId="77777777" w:rsidR="00D9407E" w:rsidRPr="00D9407E" w:rsidRDefault="00D9407E" w:rsidP="00D9407E">
      <w:pPr>
        <w:jc w:val="both"/>
        <w:rPr>
          <w:rFonts w:ascii="Arial" w:hAnsi="Arial" w:cs="Arial"/>
          <w:sz w:val="22"/>
          <w:szCs w:val="22"/>
        </w:rPr>
      </w:pPr>
    </w:p>
    <w:p w14:paraId="278515EE" w14:textId="77777777" w:rsidR="00D9407E" w:rsidRPr="00D9407E" w:rsidRDefault="00D9407E" w:rsidP="00D9407E">
      <w:pPr>
        <w:jc w:val="both"/>
        <w:rPr>
          <w:rFonts w:ascii="Arial" w:hAnsi="Arial" w:cs="Arial"/>
          <w:sz w:val="22"/>
          <w:szCs w:val="22"/>
        </w:rPr>
      </w:pPr>
      <w:r w:rsidRPr="00D9407E">
        <w:rPr>
          <w:rFonts w:ascii="Arial" w:hAnsi="Arial" w:cs="Arial"/>
          <w:sz w:val="22"/>
          <w:szCs w:val="22"/>
        </w:rPr>
        <w:t xml:space="preserve">En este sentido, se formula el Plan de Acción 2019, para efectuar el seguimiento y monitoreo cuatrimestral de las actividades que forman parte de la estrategia de rendición de cuentas, articuladas a los tres ejes transversales y las cuatro fases que los componen. </w:t>
      </w:r>
    </w:p>
    <w:p w14:paraId="37A703BC" w14:textId="77777777" w:rsidR="00D9407E" w:rsidRPr="00D9407E" w:rsidRDefault="00D9407E" w:rsidP="00D9407E">
      <w:pPr>
        <w:jc w:val="both"/>
        <w:rPr>
          <w:rFonts w:ascii="Arial" w:hAnsi="Arial" w:cs="Arial"/>
          <w:sz w:val="22"/>
          <w:szCs w:val="22"/>
        </w:rPr>
      </w:pPr>
    </w:p>
    <w:p w14:paraId="1D470696" w14:textId="77777777" w:rsidR="00D9407E" w:rsidRPr="00D9407E" w:rsidRDefault="00D9407E" w:rsidP="00D9407E">
      <w:pPr>
        <w:jc w:val="both"/>
        <w:rPr>
          <w:rFonts w:ascii="Arial" w:hAnsi="Arial" w:cs="Arial"/>
          <w:sz w:val="22"/>
          <w:szCs w:val="22"/>
        </w:rPr>
      </w:pPr>
      <w:r w:rsidRPr="00D9407E">
        <w:rPr>
          <w:rFonts w:ascii="Arial" w:hAnsi="Arial" w:cs="Arial"/>
          <w:sz w:val="22"/>
          <w:szCs w:val="22"/>
        </w:rPr>
        <w:t xml:space="preserve">El proceso de seguimiento involucra la formulación de indicadores, a partir de la cadena de valor del proceso participativo; resultado que servirá de insumo para efectuar la evaluación y retroalimentación de las actividades desarrolladas.    </w:t>
      </w:r>
    </w:p>
    <w:p w14:paraId="48D46050" w14:textId="77777777" w:rsidR="00D9407E" w:rsidRPr="00D9407E" w:rsidRDefault="00D9407E" w:rsidP="00D9407E">
      <w:pPr>
        <w:jc w:val="both"/>
        <w:rPr>
          <w:rFonts w:ascii="Arial" w:hAnsi="Arial" w:cs="Arial"/>
          <w:sz w:val="22"/>
          <w:szCs w:val="22"/>
        </w:rPr>
      </w:pPr>
      <w:r w:rsidRPr="00D9407E">
        <w:rPr>
          <w:rFonts w:ascii="Arial" w:hAnsi="Arial" w:cs="Arial"/>
          <w:sz w:val="22"/>
          <w:szCs w:val="22"/>
        </w:rPr>
        <w:t xml:space="preserve">  </w:t>
      </w:r>
    </w:p>
    <w:p w14:paraId="644F341A" w14:textId="77777777" w:rsidR="00D9407E" w:rsidRPr="00D9407E" w:rsidRDefault="00D9407E" w:rsidP="00D9407E">
      <w:pPr>
        <w:pStyle w:val="Prrafodelista"/>
        <w:spacing w:line="360" w:lineRule="auto"/>
        <w:ind w:left="284" w:right="2569"/>
        <w:rPr>
          <w:rFonts w:ascii="Arial" w:hAnsi="Arial" w:cs="Arial"/>
          <w:b/>
          <w:color w:val="365F91" w:themeColor="accent1" w:themeShade="BF"/>
          <w:sz w:val="22"/>
          <w:szCs w:val="22"/>
        </w:rPr>
      </w:pPr>
    </w:p>
    <w:p w14:paraId="4D8EC6A6" w14:textId="77777777" w:rsidR="00D9407E" w:rsidRPr="00D9407E" w:rsidRDefault="00D9407E" w:rsidP="00D9407E">
      <w:pPr>
        <w:pStyle w:val="Prrafodelista"/>
        <w:spacing w:line="360" w:lineRule="auto"/>
        <w:ind w:left="284" w:right="2569"/>
        <w:rPr>
          <w:rFonts w:ascii="Arial" w:hAnsi="Arial" w:cs="Arial"/>
          <w:b/>
          <w:color w:val="365F91" w:themeColor="accent1" w:themeShade="BF"/>
          <w:sz w:val="22"/>
          <w:szCs w:val="22"/>
        </w:rPr>
      </w:pPr>
    </w:p>
    <w:p w14:paraId="7967BC25" w14:textId="77777777" w:rsidR="00D9407E" w:rsidRPr="00D9407E" w:rsidRDefault="00D9407E" w:rsidP="00D9407E">
      <w:pPr>
        <w:pStyle w:val="Prrafodelista"/>
        <w:spacing w:line="360" w:lineRule="auto"/>
        <w:ind w:left="284" w:right="2569"/>
        <w:rPr>
          <w:rFonts w:ascii="Arial" w:hAnsi="Arial" w:cs="Arial"/>
          <w:b/>
          <w:color w:val="365F91" w:themeColor="accent1" w:themeShade="BF"/>
          <w:sz w:val="22"/>
          <w:szCs w:val="22"/>
        </w:rPr>
      </w:pPr>
    </w:p>
    <w:p w14:paraId="1BA9E296" w14:textId="77777777" w:rsidR="00D9407E" w:rsidRDefault="00D9407E" w:rsidP="00D9407E">
      <w:pPr>
        <w:pStyle w:val="Prrafodelista"/>
        <w:spacing w:line="360" w:lineRule="auto"/>
        <w:ind w:left="284" w:right="2569"/>
        <w:rPr>
          <w:rFonts w:ascii="Arial" w:hAnsi="Arial" w:cs="Arial"/>
          <w:b/>
          <w:color w:val="365F91" w:themeColor="accent1" w:themeShade="BF"/>
          <w:sz w:val="44"/>
          <w:szCs w:val="30"/>
        </w:rPr>
      </w:pPr>
    </w:p>
    <w:p w14:paraId="5F6653CE" w14:textId="77777777" w:rsidR="00D9407E" w:rsidRDefault="00D9407E" w:rsidP="00D9407E">
      <w:pPr>
        <w:pStyle w:val="Prrafodelista"/>
        <w:spacing w:line="360" w:lineRule="auto"/>
        <w:ind w:left="284" w:right="2569"/>
        <w:rPr>
          <w:rFonts w:ascii="Arial" w:hAnsi="Arial" w:cs="Arial"/>
          <w:b/>
          <w:color w:val="365F91" w:themeColor="accent1" w:themeShade="BF"/>
          <w:sz w:val="44"/>
          <w:szCs w:val="30"/>
        </w:rPr>
      </w:pPr>
    </w:p>
    <w:p w14:paraId="73A9F254" w14:textId="77777777" w:rsidR="00D9407E" w:rsidRDefault="00D9407E" w:rsidP="00D9407E">
      <w:pPr>
        <w:pStyle w:val="Prrafodelista"/>
        <w:spacing w:line="360" w:lineRule="auto"/>
        <w:ind w:left="284" w:right="2569"/>
        <w:rPr>
          <w:rFonts w:ascii="Arial" w:hAnsi="Arial" w:cs="Arial"/>
          <w:b/>
          <w:color w:val="365F91" w:themeColor="accent1" w:themeShade="BF"/>
          <w:sz w:val="44"/>
          <w:szCs w:val="30"/>
        </w:rPr>
      </w:pPr>
    </w:p>
    <w:bookmarkEnd w:id="0"/>
    <w:bookmarkEnd w:id="1"/>
    <w:bookmarkEnd w:id="3"/>
    <w:p w14:paraId="15E9FF2A" w14:textId="77777777" w:rsidR="003964E9" w:rsidRPr="00050B01" w:rsidRDefault="003964E9" w:rsidP="00050B01">
      <w:pPr>
        <w:jc w:val="center"/>
        <w:rPr>
          <w:rFonts w:ascii="Arial" w:hAnsi="Arial" w:cs="Arial"/>
          <w:color w:val="365F91" w:themeColor="accent1" w:themeShade="BF"/>
          <w:sz w:val="24"/>
          <w:szCs w:val="30"/>
        </w:rPr>
      </w:pPr>
    </w:p>
    <w:p w14:paraId="5AE7F6F6" w14:textId="09DE0EFB" w:rsidR="003964E9" w:rsidRDefault="003964E9" w:rsidP="00C91088">
      <w:pPr>
        <w:pStyle w:val="Ttulo1"/>
        <w:numPr>
          <w:ilvl w:val="0"/>
          <w:numId w:val="11"/>
        </w:numPr>
        <w:jc w:val="center"/>
        <w:rPr>
          <w:rFonts w:ascii="Arial" w:eastAsiaTheme="minorHAnsi" w:hAnsi="Arial" w:cs="Arial"/>
          <w:sz w:val="44"/>
        </w:rPr>
      </w:pPr>
      <w:r w:rsidRPr="00B479FE">
        <w:rPr>
          <w:rFonts w:ascii="Arial" w:eastAsiaTheme="minorHAnsi" w:hAnsi="Arial" w:cs="Arial"/>
          <w:sz w:val="44"/>
        </w:rPr>
        <w:t>CONTROL DE CAMBIOS</w:t>
      </w:r>
    </w:p>
    <w:p w14:paraId="3A4DA76F" w14:textId="77777777" w:rsidR="00B479FE" w:rsidRPr="00B479FE" w:rsidRDefault="00B479FE" w:rsidP="00B479FE"/>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38"/>
        <w:gridCol w:w="1098"/>
        <w:gridCol w:w="7536"/>
      </w:tblGrid>
      <w:tr w:rsidR="004738D8" w:rsidRPr="00B1458B" w14:paraId="2DF6AFE3" w14:textId="77777777" w:rsidTr="00050B01">
        <w:trPr>
          <w:trHeight w:val="226"/>
          <w:tblHeader/>
        </w:trPr>
        <w:tc>
          <w:tcPr>
            <w:tcW w:w="714" w:type="pct"/>
            <w:shd w:val="clear" w:color="auto" w:fill="D5EAFF"/>
            <w:tcMar>
              <w:top w:w="57" w:type="dxa"/>
              <w:left w:w="113" w:type="dxa"/>
              <w:bottom w:w="57" w:type="dxa"/>
            </w:tcMar>
            <w:vAlign w:val="center"/>
          </w:tcPr>
          <w:p w14:paraId="1A71D1B1" w14:textId="60A7DF0E" w:rsidR="004738D8" w:rsidRPr="00050B01" w:rsidRDefault="00050B01" w:rsidP="00B92338">
            <w:pPr>
              <w:jc w:val="center"/>
              <w:rPr>
                <w:rFonts w:ascii="Arial" w:hAnsi="Arial" w:cs="Arial"/>
                <w:b/>
              </w:rPr>
            </w:pPr>
            <w:r w:rsidRPr="00050B01">
              <w:rPr>
                <w:rFonts w:ascii="Arial" w:hAnsi="Arial" w:cs="Arial"/>
                <w:b/>
              </w:rPr>
              <w:t>Fecha</w:t>
            </w:r>
          </w:p>
        </w:tc>
        <w:tc>
          <w:tcPr>
            <w:tcW w:w="545" w:type="pct"/>
            <w:shd w:val="clear" w:color="auto" w:fill="D5EAFF"/>
            <w:tcMar>
              <w:top w:w="57" w:type="dxa"/>
              <w:left w:w="113" w:type="dxa"/>
              <w:bottom w:w="57" w:type="dxa"/>
            </w:tcMar>
            <w:vAlign w:val="center"/>
          </w:tcPr>
          <w:p w14:paraId="1B863C5C" w14:textId="607EE2C7" w:rsidR="004738D8" w:rsidRPr="00050B01" w:rsidRDefault="00050B01" w:rsidP="00B92338">
            <w:pPr>
              <w:jc w:val="center"/>
              <w:rPr>
                <w:rFonts w:ascii="Arial" w:hAnsi="Arial" w:cs="Arial"/>
                <w:b/>
              </w:rPr>
            </w:pPr>
            <w:r w:rsidRPr="00050B01">
              <w:rPr>
                <w:rFonts w:ascii="Arial" w:hAnsi="Arial" w:cs="Arial"/>
                <w:b/>
              </w:rPr>
              <w:t>Versión</w:t>
            </w:r>
          </w:p>
        </w:tc>
        <w:tc>
          <w:tcPr>
            <w:tcW w:w="3742" w:type="pct"/>
            <w:shd w:val="clear" w:color="auto" w:fill="D5EAFF"/>
            <w:tcMar>
              <w:top w:w="57" w:type="dxa"/>
              <w:left w:w="113" w:type="dxa"/>
              <w:bottom w:w="57" w:type="dxa"/>
            </w:tcMar>
            <w:vAlign w:val="center"/>
          </w:tcPr>
          <w:p w14:paraId="07C64CB9" w14:textId="623422BD" w:rsidR="004738D8" w:rsidRPr="00050B01" w:rsidRDefault="00050B01" w:rsidP="00B92338">
            <w:pPr>
              <w:jc w:val="center"/>
              <w:rPr>
                <w:rFonts w:ascii="Arial" w:hAnsi="Arial" w:cs="Arial"/>
                <w:b/>
              </w:rPr>
            </w:pPr>
            <w:r w:rsidRPr="00050B01">
              <w:rPr>
                <w:rFonts w:ascii="Arial" w:hAnsi="Arial" w:cs="Arial"/>
                <w:b/>
              </w:rPr>
              <w:t>Naturaleza del cambio</w:t>
            </w:r>
          </w:p>
        </w:tc>
      </w:tr>
      <w:tr w:rsidR="004738D8" w:rsidRPr="00B1458B" w14:paraId="475F6922" w14:textId="77777777" w:rsidTr="00050B01">
        <w:trPr>
          <w:trHeight w:val="226"/>
        </w:trPr>
        <w:tc>
          <w:tcPr>
            <w:tcW w:w="714" w:type="pct"/>
            <w:shd w:val="clear" w:color="auto" w:fill="auto"/>
            <w:tcMar>
              <w:top w:w="57" w:type="dxa"/>
              <w:left w:w="113" w:type="dxa"/>
              <w:bottom w:w="57" w:type="dxa"/>
            </w:tcMar>
          </w:tcPr>
          <w:p w14:paraId="6BC6526E" w14:textId="6F76AF0D" w:rsidR="004738D8" w:rsidRPr="00050B01" w:rsidRDefault="007814B2" w:rsidP="00B479FE">
            <w:pPr>
              <w:rPr>
                <w:rFonts w:ascii="Arial" w:hAnsi="Arial" w:cs="Arial"/>
              </w:rPr>
            </w:pPr>
            <w:r>
              <w:rPr>
                <w:rFonts w:ascii="Arial" w:hAnsi="Arial" w:cs="Arial"/>
              </w:rPr>
              <w:t>2</w:t>
            </w:r>
            <w:r w:rsidR="00B479FE">
              <w:rPr>
                <w:rFonts w:ascii="Arial" w:hAnsi="Arial" w:cs="Arial"/>
              </w:rPr>
              <w:t>9</w:t>
            </w:r>
            <w:r w:rsidR="00643F1F">
              <w:rPr>
                <w:rFonts w:ascii="Arial" w:hAnsi="Arial" w:cs="Arial"/>
              </w:rPr>
              <w:t>/0</w:t>
            </w:r>
            <w:r w:rsidR="00B479FE">
              <w:rPr>
                <w:rFonts w:ascii="Arial" w:hAnsi="Arial" w:cs="Arial"/>
              </w:rPr>
              <w:t>3</w:t>
            </w:r>
            <w:r w:rsidR="00643F1F">
              <w:rPr>
                <w:rFonts w:ascii="Arial" w:hAnsi="Arial" w:cs="Arial"/>
              </w:rPr>
              <w:t>/2019</w:t>
            </w:r>
          </w:p>
        </w:tc>
        <w:tc>
          <w:tcPr>
            <w:tcW w:w="545" w:type="pct"/>
            <w:shd w:val="clear" w:color="auto" w:fill="auto"/>
            <w:tcMar>
              <w:top w:w="57" w:type="dxa"/>
              <w:left w:w="113" w:type="dxa"/>
              <w:bottom w:w="57" w:type="dxa"/>
            </w:tcMar>
          </w:tcPr>
          <w:p w14:paraId="3255444B" w14:textId="76AE00DC" w:rsidR="004738D8" w:rsidRPr="00050B01" w:rsidRDefault="00643F1F" w:rsidP="007814B2">
            <w:pPr>
              <w:jc w:val="center"/>
              <w:rPr>
                <w:rFonts w:ascii="Arial" w:hAnsi="Arial" w:cs="Arial"/>
              </w:rPr>
            </w:pPr>
            <w:r>
              <w:rPr>
                <w:rFonts w:ascii="Arial" w:hAnsi="Arial" w:cs="Arial"/>
              </w:rPr>
              <w:t>01</w:t>
            </w:r>
          </w:p>
        </w:tc>
        <w:tc>
          <w:tcPr>
            <w:tcW w:w="3742" w:type="pct"/>
            <w:shd w:val="clear" w:color="auto" w:fill="FFFFFF" w:themeFill="background1"/>
            <w:tcMar>
              <w:top w:w="57" w:type="dxa"/>
              <w:left w:w="113" w:type="dxa"/>
              <w:bottom w:w="57" w:type="dxa"/>
            </w:tcMar>
          </w:tcPr>
          <w:p w14:paraId="0C29AE51" w14:textId="6FBA51D2" w:rsidR="004738D8" w:rsidRPr="00050B01" w:rsidRDefault="00643F1F" w:rsidP="00B92338">
            <w:pPr>
              <w:rPr>
                <w:rFonts w:ascii="Arial" w:hAnsi="Arial" w:cs="Arial"/>
              </w:rPr>
            </w:pPr>
            <w:r>
              <w:rPr>
                <w:rFonts w:ascii="Arial" w:hAnsi="Arial" w:cs="Arial"/>
              </w:rPr>
              <w:t>Creación del documento.</w:t>
            </w:r>
          </w:p>
        </w:tc>
      </w:tr>
    </w:tbl>
    <w:p w14:paraId="155D1ACC" w14:textId="77777777" w:rsidR="003964E9" w:rsidRPr="00050B01" w:rsidRDefault="003964E9" w:rsidP="00050B01">
      <w:pPr>
        <w:jc w:val="center"/>
        <w:rPr>
          <w:rFonts w:ascii="Arial" w:hAnsi="Arial" w:cs="Arial"/>
          <w:color w:val="365F91" w:themeColor="accent1" w:themeShade="BF"/>
          <w:sz w:val="24"/>
          <w:szCs w:val="30"/>
        </w:rPr>
      </w:pPr>
    </w:p>
    <w:p w14:paraId="0FFA2159" w14:textId="139ACE7D" w:rsidR="003964E9" w:rsidRPr="00B479FE" w:rsidRDefault="003964E9" w:rsidP="00C91088">
      <w:pPr>
        <w:pStyle w:val="Ttulo1"/>
        <w:numPr>
          <w:ilvl w:val="0"/>
          <w:numId w:val="11"/>
        </w:numPr>
        <w:jc w:val="center"/>
        <w:rPr>
          <w:rFonts w:ascii="Arial" w:eastAsiaTheme="minorHAnsi" w:hAnsi="Arial" w:cs="Arial"/>
          <w:sz w:val="44"/>
        </w:rPr>
      </w:pPr>
      <w:r w:rsidRPr="00B479FE">
        <w:rPr>
          <w:rFonts w:ascii="Arial" w:eastAsiaTheme="minorHAnsi" w:hAnsi="Arial" w:cs="Arial"/>
          <w:sz w:val="44"/>
        </w:rPr>
        <w:t>CRÉDITOS</w:t>
      </w:r>
    </w:p>
    <w:p w14:paraId="5086EE97" w14:textId="77777777" w:rsidR="003964E9" w:rsidRPr="004738D8" w:rsidRDefault="003964E9" w:rsidP="00E935BB">
      <w:pPr>
        <w:jc w:val="center"/>
        <w:rPr>
          <w:rFonts w:ascii="Arial" w:hAnsi="Arial" w:cs="Arial"/>
          <w:color w:val="365F91" w:themeColor="accent1" w:themeShade="BF"/>
          <w:sz w:val="22"/>
          <w:szCs w:val="30"/>
        </w:rPr>
      </w:pPr>
    </w:p>
    <w:tbl>
      <w:tblPr>
        <w:tblpPr w:leftFromText="141" w:rightFromText="141" w:vertAnchor="text" w:horzAnchor="margin" w:tblpY="40"/>
        <w:tblW w:w="5000" w:type="pct"/>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3420"/>
        <w:gridCol w:w="3491"/>
        <w:gridCol w:w="3161"/>
      </w:tblGrid>
      <w:tr w:rsidR="00134A20" w:rsidRPr="00B1458B" w14:paraId="5F69A2D1" w14:textId="77777777" w:rsidTr="00637C12">
        <w:trPr>
          <w:trHeight w:val="422"/>
        </w:trPr>
        <w:tc>
          <w:tcPr>
            <w:tcW w:w="1698" w:type="pct"/>
            <w:tcBorders>
              <w:top w:val="single" w:sz="4" w:space="0" w:color="auto"/>
              <w:bottom w:val="single" w:sz="4" w:space="0" w:color="auto"/>
              <w:right w:val="single" w:sz="4" w:space="0" w:color="auto"/>
            </w:tcBorders>
            <w:shd w:val="clear" w:color="auto" w:fill="D5EAFF"/>
            <w:vAlign w:val="center"/>
          </w:tcPr>
          <w:p w14:paraId="5CF75D64" w14:textId="77777777" w:rsidR="00134A20" w:rsidRPr="00050B01" w:rsidRDefault="00134A20" w:rsidP="00637C12">
            <w:pPr>
              <w:pStyle w:val="Piedepgina"/>
              <w:jc w:val="both"/>
              <w:rPr>
                <w:rFonts w:ascii="Arial" w:hAnsi="Arial" w:cs="Arial"/>
                <w:b/>
                <w:color w:val="000000"/>
              </w:rPr>
            </w:pPr>
            <w:r w:rsidRPr="00050B01">
              <w:rPr>
                <w:rFonts w:ascii="Arial" w:hAnsi="Arial" w:cs="Arial"/>
                <w:b/>
                <w:color w:val="000000"/>
              </w:rPr>
              <w:t>Elaboró</w:t>
            </w:r>
          </w:p>
        </w:tc>
        <w:tc>
          <w:tcPr>
            <w:tcW w:w="1733" w:type="pct"/>
            <w:tcBorders>
              <w:top w:val="single" w:sz="4" w:space="0" w:color="auto"/>
              <w:left w:val="single" w:sz="4" w:space="0" w:color="auto"/>
              <w:bottom w:val="single" w:sz="4" w:space="0" w:color="auto"/>
              <w:right w:val="single" w:sz="4" w:space="0" w:color="auto"/>
            </w:tcBorders>
            <w:shd w:val="clear" w:color="auto" w:fill="D5EAFF"/>
            <w:vAlign w:val="center"/>
          </w:tcPr>
          <w:p w14:paraId="18C6B4F9" w14:textId="77777777" w:rsidR="00134A20" w:rsidRPr="00050B01" w:rsidRDefault="00134A20" w:rsidP="00637C12">
            <w:pPr>
              <w:pStyle w:val="Piedepgina"/>
              <w:jc w:val="both"/>
              <w:rPr>
                <w:rFonts w:ascii="Arial" w:hAnsi="Arial" w:cs="Arial"/>
                <w:b/>
                <w:color w:val="000000"/>
              </w:rPr>
            </w:pPr>
            <w:r w:rsidRPr="00050B01">
              <w:rPr>
                <w:rFonts w:ascii="Arial" w:hAnsi="Arial" w:cs="Arial"/>
                <w:b/>
                <w:color w:val="000000"/>
              </w:rPr>
              <w:t>Revisó</w:t>
            </w:r>
          </w:p>
        </w:tc>
        <w:tc>
          <w:tcPr>
            <w:tcW w:w="1569" w:type="pct"/>
            <w:tcBorders>
              <w:top w:val="single" w:sz="4" w:space="0" w:color="auto"/>
              <w:left w:val="single" w:sz="4" w:space="0" w:color="auto"/>
              <w:bottom w:val="single" w:sz="4" w:space="0" w:color="auto"/>
              <w:right w:val="single" w:sz="4" w:space="0" w:color="auto"/>
            </w:tcBorders>
            <w:shd w:val="clear" w:color="auto" w:fill="D5EAFF"/>
            <w:vAlign w:val="center"/>
          </w:tcPr>
          <w:p w14:paraId="1A1980A9" w14:textId="77777777" w:rsidR="00134A20" w:rsidRPr="00050B01" w:rsidRDefault="00134A20" w:rsidP="00637C12">
            <w:pPr>
              <w:pStyle w:val="Piedepgina"/>
              <w:jc w:val="both"/>
              <w:rPr>
                <w:rFonts w:ascii="Arial" w:hAnsi="Arial" w:cs="Arial"/>
                <w:b/>
                <w:color w:val="000000"/>
              </w:rPr>
            </w:pPr>
            <w:r w:rsidRPr="00050B01">
              <w:rPr>
                <w:rFonts w:ascii="Arial" w:hAnsi="Arial" w:cs="Arial"/>
                <w:b/>
                <w:color w:val="000000"/>
              </w:rPr>
              <w:t>Aprobó</w:t>
            </w:r>
          </w:p>
        </w:tc>
      </w:tr>
      <w:tr w:rsidR="00134A20" w:rsidRPr="00B1458B" w14:paraId="5B495283" w14:textId="77777777" w:rsidTr="00637C12">
        <w:trPr>
          <w:trHeight w:val="441"/>
        </w:trPr>
        <w:tc>
          <w:tcPr>
            <w:tcW w:w="1698" w:type="pct"/>
            <w:tcBorders>
              <w:top w:val="single" w:sz="4" w:space="0" w:color="auto"/>
              <w:bottom w:val="single" w:sz="4" w:space="0" w:color="auto"/>
              <w:right w:val="single" w:sz="4" w:space="0" w:color="auto"/>
            </w:tcBorders>
            <w:vAlign w:val="center"/>
          </w:tcPr>
          <w:p w14:paraId="56590D8F" w14:textId="3F8AE130" w:rsidR="00134A20" w:rsidRDefault="00985389" w:rsidP="00637C12">
            <w:pPr>
              <w:pStyle w:val="Piedepgina"/>
              <w:rPr>
                <w:rFonts w:ascii="Arial" w:hAnsi="Arial" w:cs="Arial"/>
                <w:color w:val="000000"/>
                <w:lang w:val="it-IT"/>
              </w:rPr>
            </w:pPr>
            <w:r>
              <w:rPr>
                <w:rFonts w:ascii="Arial" w:hAnsi="Arial" w:cs="Arial"/>
                <w:color w:val="000000"/>
                <w:lang w:val="it-IT"/>
              </w:rPr>
              <w:t>Nubia Stella Zubieta V.</w:t>
            </w:r>
          </w:p>
          <w:p w14:paraId="4DC9533B" w14:textId="77777777" w:rsidR="00985389" w:rsidRDefault="00985389" w:rsidP="00637C12">
            <w:pPr>
              <w:pStyle w:val="Piedepgina"/>
              <w:rPr>
                <w:rFonts w:ascii="Arial" w:hAnsi="Arial" w:cs="Arial"/>
                <w:color w:val="000000"/>
                <w:lang w:val="it-IT"/>
              </w:rPr>
            </w:pPr>
            <w:r>
              <w:rPr>
                <w:rFonts w:ascii="Arial" w:hAnsi="Arial" w:cs="Arial"/>
                <w:color w:val="000000"/>
                <w:lang w:val="it-IT"/>
              </w:rPr>
              <w:t>Profesional Especializada</w:t>
            </w:r>
          </w:p>
          <w:p w14:paraId="5537E556" w14:textId="387942D3" w:rsidR="00985389" w:rsidRPr="00050B01" w:rsidRDefault="00985389" w:rsidP="00637C12">
            <w:pPr>
              <w:pStyle w:val="Piedepgina"/>
              <w:rPr>
                <w:rFonts w:ascii="Arial" w:hAnsi="Arial" w:cs="Arial"/>
                <w:color w:val="000000"/>
              </w:rPr>
            </w:pPr>
            <w:r>
              <w:rPr>
                <w:rFonts w:ascii="Arial" w:hAnsi="Arial" w:cs="Arial"/>
                <w:color w:val="000000"/>
                <w:lang w:val="it-IT"/>
              </w:rPr>
              <w:t>Oficina Asesora de Planeación</w:t>
            </w:r>
          </w:p>
        </w:tc>
        <w:tc>
          <w:tcPr>
            <w:tcW w:w="1733" w:type="pct"/>
            <w:tcBorders>
              <w:top w:val="single" w:sz="4" w:space="0" w:color="auto"/>
              <w:left w:val="single" w:sz="4" w:space="0" w:color="auto"/>
              <w:bottom w:val="single" w:sz="4" w:space="0" w:color="auto"/>
              <w:right w:val="single" w:sz="4" w:space="0" w:color="auto"/>
            </w:tcBorders>
            <w:vAlign w:val="center"/>
          </w:tcPr>
          <w:p w14:paraId="5C65FE0A" w14:textId="77777777" w:rsidR="00134A20" w:rsidRDefault="00134A20" w:rsidP="00637C12">
            <w:pPr>
              <w:pStyle w:val="Piedepgina"/>
              <w:rPr>
                <w:rFonts w:ascii="Arial" w:hAnsi="Arial" w:cs="Arial"/>
                <w:color w:val="000000"/>
              </w:rPr>
            </w:pPr>
          </w:p>
          <w:p w14:paraId="4FCFB1C1" w14:textId="77777777" w:rsidR="00134A20" w:rsidRDefault="00134A20" w:rsidP="00637C12">
            <w:pPr>
              <w:pStyle w:val="Piedepgina"/>
              <w:rPr>
                <w:rFonts w:ascii="Arial" w:hAnsi="Arial" w:cs="Arial"/>
                <w:color w:val="000000"/>
              </w:rPr>
            </w:pPr>
            <w:r>
              <w:rPr>
                <w:rFonts w:ascii="Arial" w:hAnsi="Arial" w:cs="Arial"/>
                <w:color w:val="000000"/>
              </w:rPr>
              <w:t>Charly Alexander Rociasco Méndez, Líder SIG, Contratista Oficina Asesora de Planeación.</w:t>
            </w:r>
          </w:p>
          <w:p w14:paraId="6DE31712" w14:textId="77777777" w:rsidR="00134A20" w:rsidRPr="00050B01" w:rsidRDefault="00134A20" w:rsidP="00637C12">
            <w:pPr>
              <w:pStyle w:val="Piedepgina"/>
              <w:rPr>
                <w:rFonts w:ascii="Arial" w:hAnsi="Arial" w:cs="Arial"/>
                <w:color w:val="000000"/>
              </w:rPr>
            </w:pPr>
            <w:r>
              <w:rPr>
                <w:rFonts w:ascii="Arial" w:hAnsi="Arial" w:cs="Arial"/>
                <w:color w:val="000000"/>
              </w:rPr>
              <w:t>Laura Zimmermann, Líder equipo de Participación Ciudadana, Contratista Oficina Asesora de Planeación.</w:t>
            </w:r>
          </w:p>
        </w:tc>
        <w:tc>
          <w:tcPr>
            <w:tcW w:w="1569" w:type="pct"/>
            <w:tcBorders>
              <w:top w:val="single" w:sz="4" w:space="0" w:color="auto"/>
              <w:left w:val="single" w:sz="4" w:space="0" w:color="auto"/>
              <w:bottom w:val="single" w:sz="4" w:space="0" w:color="auto"/>
              <w:right w:val="single" w:sz="4" w:space="0" w:color="auto"/>
            </w:tcBorders>
            <w:vAlign w:val="center"/>
          </w:tcPr>
          <w:p w14:paraId="3BF90533" w14:textId="77777777" w:rsidR="00134A20" w:rsidRPr="00050B01" w:rsidRDefault="00134A20" w:rsidP="00637C12">
            <w:pPr>
              <w:pStyle w:val="Piedepgina"/>
              <w:rPr>
                <w:rFonts w:ascii="Arial" w:hAnsi="Arial" w:cs="Arial"/>
                <w:color w:val="000000"/>
              </w:rPr>
            </w:pPr>
            <w:r>
              <w:rPr>
                <w:rFonts w:ascii="Arial" w:hAnsi="Arial" w:cs="Arial"/>
                <w:color w:val="000000"/>
              </w:rPr>
              <w:t>Luz Patricia Quintanilla Parra -  Jefa Oficina Asesora de Planeación</w:t>
            </w:r>
          </w:p>
        </w:tc>
      </w:tr>
      <w:tr w:rsidR="00134A20" w:rsidRPr="00B1458B" w14:paraId="419C60F4" w14:textId="77777777" w:rsidTr="00637C12">
        <w:trPr>
          <w:trHeight w:val="272"/>
        </w:trPr>
        <w:tc>
          <w:tcPr>
            <w:tcW w:w="1698" w:type="pct"/>
            <w:tcBorders>
              <w:top w:val="single" w:sz="4" w:space="0" w:color="auto"/>
              <w:bottom w:val="single" w:sz="4" w:space="0" w:color="auto"/>
              <w:right w:val="single" w:sz="4" w:space="0" w:color="auto"/>
            </w:tcBorders>
            <w:vAlign w:val="center"/>
          </w:tcPr>
          <w:p w14:paraId="26EF5564" w14:textId="77777777" w:rsidR="00134A20" w:rsidRPr="00E935BB" w:rsidRDefault="00134A20" w:rsidP="00637C12">
            <w:pPr>
              <w:pStyle w:val="Piedepgina"/>
              <w:rPr>
                <w:rFonts w:ascii="Arial" w:hAnsi="Arial" w:cs="Arial"/>
                <w:color w:val="000000"/>
                <w:sz w:val="18"/>
              </w:rPr>
            </w:pPr>
            <w:r w:rsidRPr="00E935BB">
              <w:rPr>
                <w:rFonts w:ascii="Arial" w:hAnsi="Arial" w:cs="Arial"/>
                <w:color w:val="000000"/>
                <w:sz w:val="18"/>
              </w:rPr>
              <w:t>Documento de aprobación</w:t>
            </w:r>
          </w:p>
        </w:tc>
        <w:tc>
          <w:tcPr>
            <w:tcW w:w="3302" w:type="pct"/>
            <w:gridSpan w:val="2"/>
            <w:tcBorders>
              <w:top w:val="single" w:sz="4" w:space="0" w:color="auto"/>
              <w:left w:val="single" w:sz="4" w:space="0" w:color="auto"/>
              <w:bottom w:val="single" w:sz="4" w:space="0" w:color="auto"/>
              <w:right w:val="single" w:sz="4" w:space="0" w:color="auto"/>
            </w:tcBorders>
            <w:vAlign w:val="center"/>
          </w:tcPr>
          <w:p w14:paraId="46ABA316" w14:textId="77777777" w:rsidR="00134A20" w:rsidRPr="00E935BB" w:rsidRDefault="00134A20" w:rsidP="00637C12">
            <w:pPr>
              <w:pStyle w:val="Piedepgina"/>
              <w:rPr>
                <w:rFonts w:ascii="Arial" w:hAnsi="Arial" w:cs="Arial"/>
                <w:color w:val="000000"/>
                <w:sz w:val="18"/>
              </w:rPr>
            </w:pPr>
            <w:r>
              <w:rPr>
                <w:rFonts w:ascii="Arial" w:hAnsi="Arial" w:cs="Arial"/>
                <w:color w:val="000000"/>
                <w:sz w:val="18"/>
              </w:rPr>
              <w:t>Comité Sistema Integrado de Gestión, marzo 26 de 2019.</w:t>
            </w:r>
          </w:p>
        </w:tc>
      </w:tr>
    </w:tbl>
    <w:p w14:paraId="45184DE6" w14:textId="77777777" w:rsidR="003964E9" w:rsidRPr="003964E9" w:rsidRDefault="003964E9" w:rsidP="003964E9">
      <w:pPr>
        <w:spacing w:line="360" w:lineRule="auto"/>
        <w:jc w:val="center"/>
        <w:rPr>
          <w:rFonts w:ascii="Arial" w:hAnsi="Arial" w:cs="Arial"/>
          <w:color w:val="365F91" w:themeColor="accent1" w:themeShade="BF"/>
          <w:sz w:val="30"/>
          <w:szCs w:val="30"/>
        </w:rPr>
      </w:pPr>
    </w:p>
    <w:sectPr w:rsidR="003964E9" w:rsidRPr="003964E9" w:rsidSect="00F2410E">
      <w:headerReference w:type="default" r:id="rId16"/>
      <w:footerReference w:type="default" r:id="rId17"/>
      <w:pgSz w:w="12242" w:h="15842"/>
      <w:pgMar w:top="1440" w:right="1080" w:bottom="1440" w:left="1080" w:header="720" w:footer="737" w:gutter="0"/>
      <w:pgNumType w:start="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3BDD90" w14:textId="77777777" w:rsidR="0050369F" w:rsidRDefault="0050369F">
      <w:r>
        <w:separator/>
      </w:r>
    </w:p>
  </w:endnote>
  <w:endnote w:type="continuationSeparator" w:id="0">
    <w:p w14:paraId="009E5078" w14:textId="77777777" w:rsidR="0050369F" w:rsidRDefault="005036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FF03F3" w14:textId="0E2F8EFA" w:rsidR="00791833" w:rsidRPr="00530F2E" w:rsidRDefault="00E41322" w:rsidP="00E41322">
    <w:pPr>
      <w:pStyle w:val="Piedepgina"/>
      <w:rPr>
        <w:rFonts w:ascii="Bookman Old Style" w:hAnsi="Bookman Old Style"/>
        <w:b/>
      </w:rPr>
    </w:pPr>
    <w:r w:rsidRPr="00530F2E">
      <w:rPr>
        <w:rFonts w:ascii="Bookman Old Style" w:hAnsi="Bookman Old Style"/>
        <w:b/>
        <w:noProof/>
        <w:lang w:val="es-CO" w:eastAsia="es-CO"/>
      </w:rPr>
      <mc:AlternateContent>
        <mc:Choice Requires="wps">
          <w:drawing>
            <wp:anchor distT="0" distB="0" distL="114300" distR="114300" simplePos="0" relativeHeight="251672576" behindDoc="0" locked="0" layoutInCell="1" allowOverlap="1" wp14:anchorId="03EA4D4E" wp14:editId="5DE1423E">
              <wp:simplePos x="0" y="0"/>
              <wp:positionH relativeFrom="column">
                <wp:posOffset>5405755</wp:posOffset>
              </wp:positionH>
              <wp:positionV relativeFrom="paragraph">
                <wp:posOffset>-222250</wp:posOffset>
              </wp:positionV>
              <wp:extent cx="638175" cy="533400"/>
              <wp:effectExtent l="0" t="0" r="28575" b="19050"/>
              <wp:wrapNone/>
              <wp:docPr id="2" name="2 Pantalla"/>
              <wp:cNvGraphicFramePr/>
              <a:graphic xmlns:a="http://schemas.openxmlformats.org/drawingml/2006/main">
                <a:graphicData uri="http://schemas.microsoft.com/office/word/2010/wordprocessingShape">
                  <wps:wsp>
                    <wps:cNvSpPr/>
                    <wps:spPr>
                      <a:xfrm>
                        <a:off x="0" y="0"/>
                        <a:ext cx="638175" cy="533400"/>
                      </a:xfrm>
                      <a:prstGeom prst="flowChartDisplay">
                        <a:avLst/>
                      </a:prstGeom>
                      <a:solidFill>
                        <a:schemeClr val="tx2">
                          <a:lumMod val="60000"/>
                          <a:lumOff val="4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8447DC" w14:textId="7D0A14DF" w:rsidR="00530F2E" w:rsidRPr="009A0595" w:rsidRDefault="00530F2E" w:rsidP="009A0595">
                          <w:pPr>
                            <w:jc w:val="center"/>
                          </w:pPr>
                          <w:r w:rsidRPr="009A0595">
                            <w:rPr>
                              <w:rFonts w:asciiTheme="minorHAnsi" w:eastAsiaTheme="minorEastAsia" w:hAnsiTheme="minorHAnsi" w:cstheme="minorBidi"/>
                              <w:sz w:val="22"/>
                              <w:szCs w:val="22"/>
                            </w:rPr>
                            <w:fldChar w:fldCharType="begin"/>
                          </w:r>
                          <w:r w:rsidRPr="009A0595">
                            <w:instrText>PAGE    \* MERGEFORMAT</w:instrText>
                          </w:r>
                          <w:r w:rsidRPr="009A0595">
                            <w:rPr>
                              <w:rFonts w:asciiTheme="minorHAnsi" w:eastAsiaTheme="minorEastAsia" w:hAnsiTheme="minorHAnsi" w:cstheme="minorBidi"/>
                              <w:sz w:val="22"/>
                              <w:szCs w:val="22"/>
                            </w:rPr>
                            <w:fldChar w:fldCharType="separate"/>
                          </w:r>
                          <w:r w:rsidR="00985389" w:rsidRPr="00985389">
                            <w:rPr>
                              <w:rFonts w:asciiTheme="majorHAnsi" w:eastAsiaTheme="majorEastAsia" w:hAnsiTheme="majorHAnsi" w:cstheme="majorBidi"/>
                              <w:noProof/>
                              <w:sz w:val="28"/>
                              <w:szCs w:val="28"/>
                            </w:rPr>
                            <w:t>13</w:t>
                          </w:r>
                          <w:r w:rsidRPr="009A0595">
                            <w:rPr>
                              <w:rFonts w:asciiTheme="majorHAnsi" w:eastAsiaTheme="majorEastAsia" w:hAnsiTheme="majorHAnsi" w:cstheme="majorBidi"/>
                              <w:sz w:val="28"/>
                              <w:szCs w:val="28"/>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03EA4D4E" id="_x0000_t134" coordsize="21600,21600" o:spt="134" path="m17955,v862,282,1877,1410,2477,3045c21035,5357,21372,7895,21597,10827v-225,2763,-562,5300,-1165,7613c19832,20132,18817,21260,17955,21597r-14388,l,10827,3567,xe">
              <v:stroke joinstyle="miter"/>
              <v:path o:connecttype="rect" textboxrect="3567,0,17955,21600"/>
            </v:shapetype>
            <v:shape id="2 Pantalla" o:spid="_x0000_s1031" type="#_x0000_t134" style="position:absolute;margin-left:425.65pt;margin-top:-17.5pt;width:50.25pt;height:42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" fillcolor="#548dd4 [1951]" strokecolor="white [3212]" strokeweight="2pt">
              <v:textbox>
                <w:txbxContent>
                  <w:p w14:paraId="478447DC" w14:textId="7D0A14DF" w:rsidR="00530F2E" w:rsidRPr="009A0595" w:rsidRDefault="00530F2E" w:rsidP="009A0595">
                    <w:pPr>
                      <w:jc w:val="center"/>
                    </w:pPr>
                    <w:r w:rsidRPr="009A0595">
                      <w:rPr>
                        <w:rFonts w:asciiTheme="minorHAnsi" w:eastAsiaTheme="minorEastAsia" w:hAnsiTheme="minorHAnsi" w:cstheme="minorBidi"/>
                        <w:sz w:val="22"/>
                        <w:szCs w:val="22"/>
                      </w:rPr>
                      <w:fldChar w:fldCharType="begin"/>
                    </w:r>
                    <w:r w:rsidRPr="009A0595">
                      <w:instrText>PAGE    \* MERGEFORMAT</w:instrText>
                    </w:r>
                    <w:r w:rsidRPr="009A0595">
                      <w:rPr>
                        <w:rFonts w:asciiTheme="minorHAnsi" w:eastAsiaTheme="minorEastAsia" w:hAnsiTheme="minorHAnsi" w:cstheme="minorBidi"/>
                        <w:sz w:val="22"/>
                        <w:szCs w:val="22"/>
                      </w:rPr>
                      <w:fldChar w:fldCharType="separate"/>
                    </w:r>
                    <w:r w:rsidR="00985389" w:rsidRPr="00985389">
                      <w:rPr>
                        <w:rFonts w:asciiTheme="majorHAnsi" w:eastAsiaTheme="majorEastAsia" w:hAnsiTheme="majorHAnsi" w:cstheme="majorBidi"/>
                        <w:noProof/>
                        <w:sz w:val="28"/>
                        <w:szCs w:val="28"/>
                      </w:rPr>
                      <w:t>13</w:t>
                    </w:r>
                    <w:r w:rsidRPr="009A0595">
                      <w:rPr>
                        <w:rFonts w:asciiTheme="majorHAnsi" w:eastAsiaTheme="majorEastAsia" w:hAnsiTheme="majorHAnsi" w:cstheme="majorBidi"/>
                        <w:sz w:val="28"/>
                        <w:szCs w:val="28"/>
                      </w:rPr>
                      <w:fldChar w:fldCharType="end"/>
                    </w:r>
                  </w:p>
                </w:txbxContent>
              </v:textbox>
            </v:shape>
          </w:pict>
        </mc:Fallback>
      </mc:AlternateContent>
    </w:r>
    <w:r w:rsidR="00530F2E">
      <w:rPr>
        <w:rFonts w:ascii="Bookman Old Style" w:hAnsi="Bookman Old Style" w:cs="Helvetica"/>
        <w:b/>
        <w:color w:val="404040"/>
        <w:shd w:val="clear" w:color="auto" w:fill="FFFFFF"/>
      </w:rPr>
      <w:t>“</w:t>
    </w:r>
    <w:r w:rsidRPr="00530F2E">
      <w:rPr>
        <w:rFonts w:ascii="Bookman Old Style" w:hAnsi="Bookman Old Style" w:cs="Helvetica"/>
        <w:b/>
        <w:color w:val="404040"/>
        <w:shd w:val="clear" w:color="auto" w:fill="FFFFFF"/>
      </w:rPr>
      <w:t>Por la preservación y sostenibilidad del patrimonio cultural de Bogotá</w:t>
    </w:r>
    <w:r w:rsidR="00530F2E">
      <w:rPr>
        <w:rFonts w:ascii="Bookman Old Style" w:hAnsi="Bookman Old Style" w:cs="Helvetica"/>
        <w:b/>
        <w:color w:val="404040"/>
        <w:shd w:val="clear" w:color="auto" w:fill="FFFFFF"/>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4817DD" w14:textId="77777777" w:rsidR="0050369F" w:rsidRDefault="0050369F">
      <w:r>
        <w:separator/>
      </w:r>
    </w:p>
  </w:footnote>
  <w:footnote w:type="continuationSeparator" w:id="0">
    <w:p w14:paraId="39DCD5D4" w14:textId="77777777" w:rsidR="0050369F" w:rsidRDefault="0050369F">
      <w:r>
        <w:continuationSeparator/>
      </w:r>
    </w:p>
  </w:footnote>
  <w:footnote w:id="1">
    <w:p w14:paraId="56DEF334" w14:textId="77777777" w:rsidR="00D9407E" w:rsidRDefault="00D9407E" w:rsidP="00D9407E">
      <w:pPr>
        <w:pStyle w:val="Textonotapie"/>
        <w:jc w:val="both"/>
      </w:pPr>
      <w:r>
        <w:rPr>
          <w:rStyle w:val="Refdenotaalpie"/>
        </w:rPr>
        <w:footnoteRef/>
      </w:r>
      <w:r>
        <w:t xml:space="preserve"> </w:t>
      </w:r>
      <w:r w:rsidRPr="00E84783">
        <w:rPr>
          <w:sz w:val="18"/>
        </w:rPr>
        <w:t xml:space="preserve">Documento del Departamento Administrativo de la Función Pública (DAFP), disponible en </w:t>
      </w:r>
      <w:hyperlink r:id="rId1" w:history="1">
        <w:r w:rsidRPr="00E84783">
          <w:rPr>
            <w:rStyle w:val="Hipervnculo"/>
            <w:rFonts w:eastAsiaTheme="majorEastAsia"/>
          </w:rPr>
          <w:t>https://www.urnadecristal.gov.co/sites/default/files/03-09-2017_MURC_Version2.pdf</w:t>
        </w:r>
      </w:hyperlink>
      <w:r w:rsidRPr="00E84783">
        <w:rPr>
          <w:sz w:val="18"/>
        </w:rPr>
        <w:t xml:space="preserve"> y consultado en diciembre de 2018.</w:t>
      </w:r>
    </w:p>
  </w:footnote>
  <w:footnote w:id="2">
    <w:p w14:paraId="4224F792" w14:textId="77777777" w:rsidR="00D9407E" w:rsidRDefault="00D9407E" w:rsidP="00D9407E">
      <w:pPr>
        <w:pStyle w:val="Textonotapie"/>
        <w:jc w:val="both"/>
      </w:pPr>
      <w:r>
        <w:rPr>
          <w:rStyle w:val="Refdenotaalpie"/>
        </w:rPr>
        <w:footnoteRef/>
      </w:r>
      <w:r>
        <w:t xml:space="preserve"> </w:t>
      </w:r>
      <w:r w:rsidRPr="00E84783">
        <w:rPr>
          <w:sz w:val="18"/>
        </w:rPr>
        <w:t xml:space="preserve">Documento del Departamento Administrativo de la Función Pública (DAFP), disponible en </w:t>
      </w:r>
      <w:hyperlink r:id="rId2" w:history="1">
        <w:r w:rsidRPr="00E84783">
          <w:rPr>
            <w:rStyle w:val="Hipervnculo"/>
            <w:rFonts w:eastAsiaTheme="majorEastAsia"/>
          </w:rPr>
          <w:t>http://www.funcionpublica.gov.co/documents/28587410/34112007/Manual+Operativo+MIPG.pdf/ce5461b4-97b7-be3b-b243-781bbd1575f3</w:t>
        </w:r>
      </w:hyperlink>
      <w:r w:rsidRPr="00E84783">
        <w:rPr>
          <w:sz w:val="18"/>
        </w:rPr>
        <w:t xml:space="preserve"> y consultado en diciembre de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304" w:type="dxa"/>
      <w:jc w:val="center"/>
      <w:tblBorders>
        <w:bottom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629"/>
      <w:gridCol w:w="1675"/>
    </w:tblGrid>
    <w:tr w:rsidR="00791833" w:rsidRPr="00106168" w14:paraId="6251BF1E" w14:textId="715098FB" w:rsidTr="009A0595">
      <w:trPr>
        <w:cantSplit/>
        <w:trHeight w:val="1141"/>
        <w:jc w:val="center"/>
      </w:trPr>
      <w:tc>
        <w:tcPr>
          <w:tcW w:w="7629" w:type="dxa"/>
          <w:shd w:val="clear" w:color="auto" w:fill="auto"/>
          <w:vAlign w:val="center"/>
        </w:tcPr>
        <w:p w14:paraId="7205C489" w14:textId="5E7C7FC5" w:rsidR="00791833" w:rsidRPr="00494678" w:rsidRDefault="00494678" w:rsidP="00E46A80">
          <w:pPr>
            <w:rPr>
              <w:rFonts w:ascii="Arial" w:hAnsi="Arial" w:cs="Arial"/>
              <w:b/>
              <w:bCs/>
              <w:color w:val="000000"/>
              <w:sz w:val="28"/>
              <w:szCs w:val="22"/>
            </w:rPr>
          </w:pPr>
          <w:r w:rsidRPr="00494678">
            <w:rPr>
              <w:rFonts w:ascii="Arial" w:hAnsi="Arial" w:cs="Arial"/>
              <w:b/>
              <w:sz w:val="32"/>
              <w:szCs w:val="48"/>
              <w:lang w:val="es-ES_tradnl"/>
            </w:rPr>
            <w:t>Estrategia de Rendición permanente de cuentas</w:t>
          </w:r>
        </w:p>
      </w:tc>
      <w:tc>
        <w:tcPr>
          <w:tcW w:w="1675" w:type="dxa"/>
        </w:tcPr>
        <w:p w14:paraId="3C09D8FC" w14:textId="3FA118AF" w:rsidR="00791833" w:rsidRPr="00106168" w:rsidRDefault="00791833" w:rsidP="00BA3BDB">
          <w:pPr>
            <w:rPr>
              <w:rFonts w:ascii="Arial" w:hAnsi="Arial" w:cs="Arial"/>
              <w:b/>
              <w:bCs/>
              <w:color w:val="000000"/>
            </w:rPr>
          </w:pPr>
          <w:r w:rsidRPr="00791833">
            <w:rPr>
              <w:rFonts w:ascii="Arial" w:hAnsi="Arial" w:cs="Arial"/>
              <w:b/>
              <w:bCs/>
              <w:noProof/>
              <w:color w:val="000000"/>
              <w:sz w:val="22"/>
              <w:szCs w:val="22"/>
              <w:lang w:val="es-CO" w:eastAsia="es-CO"/>
            </w:rPr>
            <w:drawing>
              <wp:anchor distT="0" distB="0" distL="114300" distR="114300" simplePos="0" relativeHeight="251670528" behindDoc="1" locked="0" layoutInCell="1" allowOverlap="1" wp14:anchorId="30C673DF" wp14:editId="4043C110">
                <wp:simplePos x="0" y="0"/>
                <wp:positionH relativeFrom="column">
                  <wp:posOffset>48895</wp:posOffset>
                </wp:positionH>
                <wp:positionV relativeFrom="paragraph">
                  <wp:posOffset>-34290</wp:posOffset>
                </wp:positionV>
                <wp:extent cx="723265" cy="611505"/>
                <wp:effectExtent l="0" t="0" r="635" b="0"/>
                <wp:wrapNone/>
                <wp:docPr id="19" name="Imagen 19" descr="Descripción: IDPCBY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Imagen" descr="Descripción: IDPCBY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265" cy="61150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0C46753C" w14:textId="3398F608" w:rsidR="00784DE8" w:rsidRDefault="00784DE8" w:rsidP="0079183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50993"/>
    <w:multiLevelType w:val="hybridMultilevel"/>
    <w:tmpl w:val="4D42529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16765B05"/>
    <w:multiLevelType w:val="multilevel"/>
    <w:tmpl w:val="17CC46DA"/>
    <w:lvl w:ilvl="0">
      <w:start w:val="1"/>
      <w:numFmt w:val="lowerLetter"/>
      <w:pStyle w:val="Sinespaciado"/>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C1305C1"/>
    <w:multiLevelType w:val="hybridMultilevel"/>
    <w:tmpl w:val="9BD0ED3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2FC2583A"/>
    <w:multiLevelType w:val="hybridMultilevel"/>
    <w:tmpl w:val="6C28A100"/>
    <w:lvl w:ilvl="0" w:tplc="0C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3324174B"/>
    <w:multiLevelType w:val="hybridMultilevel"/>
    <w:tmpl w:val="EF4A84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38641C5A"/>
    <w:multiLevelType w:val="multilevel"/>
    <w:tmpl w:val="607E4D1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507E3482"/>
    <w:multiLevelType w:val="multilevel"/>
    <w:tmpl w:val="29E6E164"/>
    <w:lvl w:ilvl="0">
      <w:start w:val="1"/>
      <w:numFmt w:val="bullet"/>
      <w:pStyle w:val="Ttulo3"/>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7" w15:restartNumberingAfterBreak="0">
    <w:nsid w:val="509D54BD"/>
    <w:multiLevelType w:val="hybridMultilevel"/>
    <w:tmpl w:val="3BF6D44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557951AC"/>
    <w:multiLevelType w:val="hybridMultilevel"/>
    <w:tmpl w:val="0598E14C"/>
    <w:lvl w:ilvl="0" w:tplc="0C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66A631F2"/>
    <w:multiLevelType w:val="multilevel"/>
    <w:tmpl w:val="EF2E74EE"/>
    <w:lvl w:ilvl="0">
      <w:start w:val="1"/>
      <w:numFmt w:val="decimal"/>
      <w:lvlText w:val="%1."/>
      <w:lvlJc w:val="left"/>
      <w:pPr>
        <w:ind w:left="720" w:hanging="360"/>
      </w:pPr>
      <w:rPr>
        <w:rFonts w:hint="default"/>
      </w:rPr>
    </w:lvl>
    <w:lvl w:ilvl="1">
      <w:start w:val="1"/>
      <w:numFmt w:val="decimal"/>
      <w:isLgl/>
      <w:lvlText w:val="%1.%2."/>
      <w:lvlJc w:val="left"/>
      <w:pPr>
        <w:ind w:left="1428" w:hanging="72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484" w:hanging="108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4248" w:hanging="1800"/>
      </w:pPr>
      <w:rPr>
        <w:rFonts w:hint="default"/>
      </w:rPr>
    </w:lvl>
    <w:lvl w:ilvl="7">
      <w:start w:val="1"/>
      <w:numFmt w:val="decimal"/>
      <w:isLgl/>
      <w:lvlText w:val="%1.%2.%3.%4.%5.%6.%7.%8."/>
      <w:lvlJc w:val="left"/>
      <w:pPr>
        <w:ind w:left="4596" w:hanging="1800"/>
      </w:pPr>
      <w:rPr>
        <w:rFonts w:hint="default"/>
      </w:rPr>
    </w:lvl>
    <w:lvl w:ilvl="8">
      <w:start w:val="1"/>
      <w:numFmt w:val="decimal"/>
      <w:isLgl/>
      <w:lvlText w:val="%1.%2.%3.%4.%5.%6.%7.%8.%9."/>
      <w:lvlJc w:val="left"/>
      <w:pPr>
        <w:ind w:left="5304" w:hanging="2160"/>
      </w:pPr>
      <w:rPr>
        <w:rFonts w:hint="default"/>
      </w:rPr>
    </w:lvl>
  </w:abstractNum>
  <w:abstractNum w:abstractNumId="10" w15:restartNumberingAfterBreak="0">
    <w:nsid w:val="70011C5E"/>
    <w:multiLevelType w:val="hybridMultilevel"/>
    <w:tmpl w:val="60BEC6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7012446A"/>
    <w:multiLevelType w:val="hybridMultilevel"/>
    <w:tmpl w:val="9146C48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78C8632E"/>
    <w:multiLevelType w:val="hybridMultilevel"/>
    <w:tmpl w:val="3F7837A0"/>
    <w:lvl w:ilvl="0" w:tplc="0C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7C052C2C"/>
    <w:multiLevelType w:val="multilevel"/>
    <w:tmpl w:val="68B6911C"/>
    <w:lvl w:ilvl="0">
      <w:start w:val="1"/>
      <w:numFmt w:val="decimal"/>
      <w:lvlText w:val="%1."/>
      <w:lvlJc w:val="left"/>
      <w:pPr>
        <w:ind w:left="284" w:hanging="284"/>
      </w:pPr>
      <w:rPr>
        <w:rFonts w:hint="default"/>
      </w:rPr>
    </w:lvl>
    <w:lvl w:ilvl="1">
      <w:start w:val="1"/>
      <w:numFmt w:val="decimal"/>
      <w:isLgl/>
      <w:lvlText w:val="%1.%2"/>
      <w:lvlJc w:val="left"/>
      <w:pPr>
        <w:ind w:left="644" w:hanging="360"/>
      </w:pPr>
      <w:rPr>
        <w:rFonts w:ascii="Arial" w:hAnsi="Arial" w:cs="Arial" w:hint="default"/>
        <w:b w:val="0"/>
      </w:rPr>
    </w:lvl>
    <w:lvl w:ilvl="2">
      <w:start w:val="1"/>
      <w:numFmt w:val="decimal"/>
      <w:pStyle w:val="Ttulo4"/>
      <w:isLgl/>
      <w:lvlText w:val="%1.%2.%3"/>
      <w:lvlJc w:val="left"/>
      <w:pPr>
        <w:ind w:left="1288" w:hanging="720"/>
      </w:pPr>
      <w:rPr>
        <w:rFonts w:hint="default"/>
      </w:rPr>
    </w:lvl>
    <w:lvl w:ilvl="3">
      <w:start w:val="1"/>
      <w:numFmt w:val="decimal"/>
      <w:isLgl/>
      <w:lvlText w:val="%1.%2.%3.%4"/>
      <w:lvlJc w:val="left"/>
      <w:pPr>
        <w:ind w:left="1572" w:hanging="720"/>
      </w:pPr>
      <w:rPr>
        <w:rFonts w:hint="default"/>
      </w:rPr>
    </w:lvl>
    <w:lvl w:ilvl="4">
      <w:start w:val="1"/>
      <w:numFmt w:val="decimal"/>
      <w:isLgl/>
      <w:lvlText w:val="%1.%2.%3.%4.%5"/>
      <w:lvlJc w:val="left"/>
      <w:pPr>
        <w:ind w:left="2216" w:hanging="1080"/>
      </w:pPr>
      <w:rPr>
        <w:rFonts w:hint="default"/>
      </w:rPr>
    </w:lvl>
    <w:lvl w:ilvl="5">
      <w:start w:val="1"/>
      <w:numFmt w:val="decimal"/>
      <w:isLgl/>
      <w:lvlText w:val="%1.%2.%3.%4.%5.%6"/>
      <w:lvlJc w:val="left"/>
      <w:pPr>
        <w:ind w:left="2500" w:hanging="1080"/>
      </w:pPr>
      <w:rPr>
        <w:rFonts w:hint="default"/>
      </w:rPr>
    </w:lvl>
    <w:lvl w:ilvl="6">
      <w:start w:val="1"/>
      <w:numFmt w:val="decimal"/>
      <w:isLgl/>
      <w:lvlText w:val="%1.%2.%3.%4.%5.%6.%7"/>
      <w:lvlJc w:val="left"/>
      <w:pPr>
        <w:ind w:left="3144" w:hanging="1440"/>
      </w:pPr>
      <w:rPr>
        <w:rFonts w:hint="default"/>
      </w:rPr>
    </w:lvl>
    <w:lvl w:ilvl="7">
      <w:start w:val="1"/>
      <w:numFmt w:val="decimal"/>
      <w:isLgl/>
      <w:lvlText w:val="%1.%2.%3.%4.%5.%6.%7.%8"/>
      <w:lvlJc w:val="left"/>
      <w:pPr>
        <w:ind w:left="3428" w:hanging="1440"/>
      </w:pPr>
      <w:rPr>
        <w:rFonts w:hint="default"/>
      </w:rPr>
    </w:lvl>
    <w:lvl w:ilvl="8">
      <w:start w:val="1"/>
      <w:numFmt w:val="decimal"/>
      <w:isLgl/>
      <w:lvlText w:val="%1.%2.%3.%4.%5.%6.%7.%8.%9"/>
      <w:lvlJc w:val="left"/>
      <w:pPr>
        <w:ind w:left="4072" w:hanging="1800"/>
      </w:pPr>
      <w:rPr>
        <w:rFonts w:hint="default"/>
      </w:rPr>
    </w:lvl>
  </w:abstractNum>
  <w:num w:numId="1">
    <w:abstractNumId w:val="13"/>
  </w:num>
  <w:num w:numId="2">
    <w:abstractNumId w:val="1"/>
  </w:num>
  <w:num w:numId="3">
    <w:abstractNumId w:val="6"/>
  </w:num>
  <w:num w:numId="4">
    <w:abstractNumId w:val="10"/>
  </w:num>
  <w:num w:numId="5">
    <w:abstractNumId w:val="0"/>
  </w:num>
  <w:num w:numId="6">
    <w:abstractNumId w:val="2"/>
  </w:num>
  <w:num w:numId="7">
    <w:abstractNumId w:val="11"/>
  </w:num>
  <w:num w:numId="8">
    <w:abstractNumId w:val="4"/>
  </w:num>
  <w:num w:numId="9">
    <w:abstractNumId w:val="7"/>
  </w:num>
  <w:num w:numId="10">
    <w:abstractNumId w:val="9"/>
  </w:num>
  <w:num w:numId="11">
    <w:abstractNumId w:val="5"/>
  </w:num>
  <w:num w:numId="12">
    <w:abstractNumId w:val="12"/>
  </w:num>
  <w:num w:numId="13">
    <w:abstractNumId w:val="8"/>
  </w:num>
  <w:num w:numId="14">
    <w:abstractNumId w:val="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5"/>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0AE6"/>
    <w:rsid w:val="00000369"/>
    <w:rsid w:val="00001025"/>
    <w:rsid w:val="00001ECC"/>
    <w:rsid w:val="00002C47"/>
    <w:rsid w:val="00002E93"/>
    <w:rsid w:val="00004412"/>
    <w:rsid w:val="00004EC4"/>
    <w:rsid w:val="00006724"/>
    <w:rsid w:val="000078B0"/>
    <w:rsid w:val="00011A3A"/>
    <w:rsid w:val="00012197"/>
    <w:rsid w:val="00012565"/>
    <w:rsid w:val="000132BC"/>
    <w:rsid w:val="00014D0F"/>
    <w:rsid w:val="0001730B"/>
    <w:rsid w:val="00025B53"/>
    <w:rsid w:val="00032069"/>
    <w:rsid w:val="00033A37"/>
    <w:rsid w:val="00033E37"/>
    <w:rsid w:val="00037E43"/>
    <w:rsid w:val="00040F3C"/>
    <w:rsid w:val="000424D4"/>
    <w:rsid w:val="00042716"/>
    <w:rsid w:val="000428A9"/>
    <w:rsid w:val="00042ED6"/>
    <w:rsid w:val="00044B2A"/>
    <w:rsid w:val="000469C5"/>
    <w:rsid w:val="00050B01"/>
    <w:rsid w:val="0005338C"/>
    <w:rsid w:val="00054293"/>
    <w:rsid w:val="0005641C"/>
    <w:rsid w:val="0005648B"/>
    <w:rsid w:val="0006290A"/>
    <w:rsid w:val="00062D35"/>
    <w:rsid w:val="0006515D"/>
    <w:rsid w:val="00065B18"/>
    <w:rsid w:val="00066190"/>
    <w:rsid w:val="00070985"/>
    <w:rsid w:val="00071061"/>
    <w:rsid w:val="0007317E"/>
    <w:rsid w:val="0007441E"/>
    <w:rsid w:val="00075B28"/>
    <w:rsid w:val="000764ED"/>
    <w:rsid w:val="0007791D"/>
    <w:rsid w:val="000807A9"/>
    <w:rsid w:val="00081074"/>
    <w:rsid w:val="00084242"/>
    <w:rsid w:val="00084F59"/>
    <w:rsid w:val="00084FC6"/>
    <w:rsid w:val="00087D88"/>
    <w:rsid w:val="000919CE"/>
    <w:rsid w:val="00093634"/>
    <w:rsid w:val="00094225"/>
    <w:rsid w:val="00094F04"/>
    <w:rsid w:val="00096067"/>
    <w:rsid w:val="0009623A"/>
    <w:rsid w:val="000968B5"/>
    <w:rsid w:val="00097225"/>
    <w:rsid w:val="000A0620"/>
    <w:rsid w:val="000A0D8C"/>
    <w:rsid w:val="000A168C"/>
    <w:rsid w:val="000A5A36"/>
    <w:rsid w:val="000A707F"/>
    <w:rsid w:val="000A7546"/>
    <w:rsid w:val="000B1987"/>
    <w:rsid w:val="000B2ED3"/>
    <w:rsid w:val="000B4831"/>
    <w:rsid w:val="000B66B8"/>
    <w:rsid w:val="000B7FB0"/>
    <w:rsid w:val="000C0C2C"/>
    <w:rsid w:val="000C1ABA"/>
    <w:rsid w:val="000C1CDD"/>
    <w:rsid w:val="000C1D24"/>
    <w:rsid w:val="000C234E"/>
    <w:rsid w:val="000C2ADD"/>
    <w:rsid w:val="000C3EAA"/>
    <w:rsid w:val="000C5A5F"/>
    <w:rsid w:val="000C61B5"/>
    <w:rsid w:val="000D009F"/>
    <w:rsid w:val="000D220A"/>
    <w:rsid w:val="000D31A7"/>
    <w:rsid w:val="000D4363"/>
    <w:rsid w:val="000D4425"/>
    <w:rsid w:val="000D4D5D"/>
    <w:rsid w:val="000D5C65"/>
    <w:rsid w:val="000D68AC"/>
    <w:rsid w:val="000D7F27"/>
    <w:rsid w:val="000E010C"/>
    <w:rsid w:val="000E1208"/>
    <w:rsid w:val="000E169D"/>
    <w:rsid w:val="000E3E76"/>
    <w:rsid w:val="000E6EAB"/>
    <w:rsid w:val="000E75B7"/>
    <w:rsid w:val="000E7763"/>
    <w:rsid w:val="000F2DD4"/>
    <w:rsid w:val="000F43D2"/>
    <w:rsid w:val="000F44AF"/>
    <w:rsid w:val="000F4E2B"/>
    <w:rsid w:val="000F5147"/>
    <w:rsid w:val="000F7A2C"/>
    <w:rsid w:val="000F7D85"/>
    <w:rsid w:val="0010103F"/>
    <w:rsid w:val="001012E1"/>
    <w:rsid w:val="00101A19"/>
    <w:rsid w:val="00104B89"/>
    <w:rsid w:val="00104DB2"/>
    <w:rsid w:val="0010532E"/>
    <w:rsid w:val="00105DEB"/>
    <w:rsid w:val="00105E7B"/>
    <w:rsid w:val="00106124"/>
    <w:rsid w:val="001063E7"/>
    <w:rsid w:val="00107D12"/>
    <w:rsid w:val="00107EA1"/>
    <w:rsid w:val="001116B0"/>
    <w:rsid w:val="00115332"/>
    <w:rsid w:val="00115911"/>
    <w:rsid w:val="00117604"/>
    <w:rsid w:val="00122385"/>
    <w:rsid w:val="00122643"/>
    <w:rsid w:val="00124D81"/>
    <w:rsid w:val="001258BC"/>
    <w:rsid w:val="00125E4E"/>
    <w:rsid w:val="00126C38"/>
    <w:rsid w:val="001270AE"/>
    <w:rsid w:val="00127929"/>
    <w:rsid w:val="00127DCD"/>
    <w:rsid w:val="00130556"/>
    <w:rsid w:val="00130941"/>
    <w:rsid w:val="00134A20"/>
    <w:rsid w:val="0013590F"/>
    <w:rsid w:val="001359E9"/>
    <w:rsid w:val="00141720"/>
    <w:rsid w:val="00141830"/>
    <w:rsid w:val="00143F9C"/>
    <w:rsid w:val="001445CB"/>
    <w:rsid w:val="001448EC"/>
    <w:rsid w:val="00144B83"/>
    <w:rsid w:val="00147F49"/>
    <w:rsid w:val="001516FE"/>
    <w:rsid w:val="001521CF"/>
    <w:rsid w:val="00160567"/>
    <w:rsid w:val="00161DC6"/>
    <w:rsid w:val="00162441"/>
    <w:rsid w:val="00162871"/>
    <w:rsid w:val="00162B0E"/>
    <w:rsid w:val="001639B5"/>
    <w:rsid w:val="0016652E"/>
    <w:rsid w:val="00171493"/>
    <w:rsid w:val="0017200B"/>
    <w:rsid w:val="00172843"/>
    <w:rsid w:val="00173343"/>
    <w:rsid w:val="00173687"/>
    <w:rsid w:val="0017441D"/>
    <w:rsid w:val="00174EBA"/>
    <w:rsid w:val="001800F2"/>
    <w:rsid w:val="00183303"/>
    <w:rsid w:val="00185809"/>
    <w:rsid w:val="00192534"/>
    <w:rsid w:val="00197572"/>
    <w:rsid w:val="00197E59"/>
    <w:rsid w:val="001A11C2"/>
    <w:rsid w:val="001A3259"/>
    <w:rsid w:val="001A41CB"/>
    <w:rsid w:val="001A4E75"/>
    <w:rsid w:val="001A67A1"/>
    <w:rsid w:val="001A749F"/>
    <w:rsid w:val="001B0F98"/>
    <w:rsid w:val="001B3408"/>
    <w:rsid w:val="001B5799"/>
    <w:rsid w:val="001B5A03"/>
    <w:rsid w:val="001B5AD8"/>
    <w:rsid w:val="001B5BEF"/>
    <w:rsid w:val="001B5F6F"/>
    <w:rsid w:val="001B686D"/>
    <w:rsid w:val="001C0409"/>
    <w:rsid w:val="001C062F"/>
    <w:rsid w:val="001C1928"/>
    <w:rsid w:val="001C1FFD"/>
    <w:rsid w:val="001C30A0"/>
    <w:rsid w:val="001C6284"/>
    <w:rsid w:val="001D1347"/>
    <w:rsid w:val="001D20CD"/>
    <w:rsid w:val="001D2791"/>
    <w:rsid w:val="001D381A"/>
    <w:rsid w:val="001D3C05"/>
    <w:rsid w:val="001D4CCE"/>
    <w:rsid w:val="001D7849"/>
    <w:rsid w:val="001D7C5B"/>
    <w:rsid w:val="001E0A0B"/>
    <w:rsid w:val="001E2081"/>
    <w:rsid w:val="001E311B"/>
    <w:rsid w:val="001E5139"/>
    <w:rsid w:val="001E59C5"/>
    <w:rsid w:val="001E6BF4"/>
    <w:rsid w:val="001E7AD8"/>
    <w:rsid w:val="001F08AE"/>
    <w:rsid w:val="001F099B"/>
    <w:rsid w:val="001F0F53"/>
    <w:rsid w:val="001F2CB1"/>
    <w:rsid w:val="001F3CF0"/>
    <w:rsid w:val="001F4F51"/>
    <w:rsid w:val="001F586F"/>
    <w:rsid w:val="001F7D4B"/>
    <w:rsid w:val="002018ED"/>
    <w:rsid w:val="0020257D"/>
    <w:rsid w:val="002030EC"/>
    <w:rsid w:val="00203EF8"/>
    <w:rsid w:val="002056BF"/>
    <w:rsid w:val="002062F4"/>
    <w:rsid w:val="002104C2"/>
    <w:rsid w:val="00214FFE"/>
    <w:rsid w:val="00216823"/>
    <w:rsid w:val="00216EF3"/>
    <w:rsid w:val="0022294F"/>
    <w:rsid w:val="00224140"/>
    <w:rsid w:val="002251BD"/>
    <w:rsid w:val="002263A5"/>
    <w:rsid w:val="00226B84"/>
    <w:rsid w:val="00230AE6"/>
    <w:rsid w:val="002318DD"/>
    <w:rsid w:val="002321E8"/>
    <w:rsid w:val="00232693"/>
    <w:rsid w:val="00234BDD"/>
    <w:rsid w:val="002413EC"/>
    <w:rsid w:val="00242255"/>
    <w:rsid w:val="00242D20"/>
    <w:rsid w:val="00244046"/>
    <w:rsid w:val="0024478F"/>
    <w:rsid w:val="002524E8"/>
    <w:rsid w:val="00255D4D"/>
    <w:rsid w:val="00256971"/>
    <w:rsid w:val="00260E7C"/>
    <w:rsid w:val="00265E30"/>
    <w:rsid w:val="002669CF"/>
    <w:rsid w:val="0027024E"/>
    <w:rsid w:val="002712BD"/>
    <w:rsid w:val="00273031"/>
    <w:rsid w:val="00273C0D"/>
    <w:rsid w:val="002744C8"/>
    <w:rsid w:val="00274683"/>
    <w:rsid w:val="00274B05"/>
    <w:rsid w:val="0027615B"/>
    <w:rsid w:val="002812D3"/>
    <w:rsid w:val="002826D1"/>
    <w:rsid w:val="0028525C"/>
    <w:rsid w:val="00285B45"/>
    <w:rsid w:val="002874EA"/>
    <w:rsid w:val="00287DFF"/>
    <w:rsid w:val="00292F5B"/>
    <w:rsid w:val="00293103"/>
    <w:rsid w:val="00293C17"/>
    <w:rsid w:val="00294142"/>
    <w:rsid w:val="00295DD4"/>
    <w:rsid w:val="002966BC"/>
    <w:rsid w:val="002969FC"/>
    <w:rsid w:val="00297A40"/>
    <w:rsid w:val="002A1384"/>
    <w:rsid w:val="002A1CDF"/>
    <w:rsid w:val="002A3F03"/>
    <w:rsid w:val="002A42C2"/>
    <w:rsid w:val="002A51E7"/>
    <w:rsid w:val="002A7314"/>
    <w:rsid w:val="002B0795"/>
    <w:rsid w:val="002B15A6"/>
    <w:rsid w:val="002B1733"/>
    <w:rsid w:val="002B1DC2"/>
    <w:rsid w:val="002B234E"/>
    <w:rsid w:val="002B3FDF"/>
    <w:rsid w:val="002B4BD1"/>
    <w:rsid w:val="002B554B"/>
    <w:rsid w:val="002C0130"/>
    <w:rsid w:val="002C0215"/>
    <w:rsid w:val="002C14A1"/>
    <w:rsid w:val="002C3F1B"/>
    <w:rsid w:val="002C4FF1"/>
    <w:rsid w:val="002D53DF"/>
    <w:rsid w:val="002D6C86"/>
    <w:rsid w:val="002D6DF7"/>
    <w:rsid w:val="002D7044"/>
    <w:rsid w:val="002D7634"/>
    <w:rsid w:val="002D7BF4"/>
    <w:rsid w:val="002E00C0"/>
    <w:rsid w:val="002E211D"/>
    <w:rsid w:val="002E3032"/>
    <w:rsid w:val="002E7147"/>
    <w:rsid w:val="002F0780"/>
    <w:rsid w:val="002F0ADC"/>
    <w:rsid w:val="002F27DE"/>
    <w:rsid w:val="002F7A4A"/>
    <w:rsid w:val="00303140"/>
    <w:rsid w:val="00303784"/>
    <w:rsid w:val="00303EB9"/>
    <w:rsid w:val="00305321"/>
    <w:rsid w:val="003062B0"/>
    <w:rsid w:val="0030774D"/>
    <w:rsid w:val="00311B19"/>
    <w:rsid w:val="00311DCE"/>
    <w:rsid w:val="003129D1"/>
    <w:rsid w:val="00313C69"/>
    <w:rsid w:val="00316E40"/>
    <w:rsid w:val="003201A7"/>
    <w:rsid w:val="00322304"/>
    <w:rsid w:val="00322598"/>
    <w:rsid w:val="003268C3"/>
    <w:rsid w:val="00331D2A"/>
    <w:rsid w:val="00334C83"/>
    <w:rsid w:val="00335058"/>
    <w:rsid w:val="00335A68"/>
    <w:rsid w:val="00335CF0"/>
    <w:rsid w:val="003363EA"/>
    <w:rsid w:val="00336946"/>
    <w:rsid w:val="003377FF"/>
    <w:rsid w:val="003437CF"/>
    <w:rsid w:val="0034560C"/>
    <w:rsid w:val="0034621A"/>
    <w:rsid w:val="003462AE"/>
    <w:rsid w:val="00352845"/>
    <w:rsid w:val="00352FF2"/>
    <w:rsid w:val="0035396A"/>
    <w:rsid w:val="003541B9"/>
    <w:rsid w:val="003544D2"/>
    <w:rsid w:val="00356ACB"/>
    <w:rsid w:val="00357C06"/>
    <w:rsid w:val="00357D89"/>
    <w:rsid w:val="00360958"/>
    <w:rsid w:val="00360AE6"/>
    <w:rsid w:val="003624AF"/>
    <w:rsid w:val="003632B8"/>
    <w:rsid w:val="00371202"/>
    <w:rsid w:val="00371759"/>
    <w:rsid w:val="00372820"/>
    <w:rsid w:val="003758DF"/>
    <w:rsid w:val="003761DF"/>
    <w:rsid w:val="00377CE7"/>
    <w:rsid w:val="00381598"/>
    <w:rsid w:val="003829D2"/>
    <w:rsid w:val="00386F15"/>
    <w:rsid w:val="00387EA4"/>
    <w:rsid w:val="003917FE"/>
    <w:rsid w:val="00391F28"/>
    <w:rsid w:val="00395D1C"/>
    <w:rsid w:val="003964E9"/>
    <w:rsid w:val="00397B83"/>
    <w:rsid w:val="003A0DFF"/>
    <w:rsid w:val="003A19C9"/>
    <w:rsid w:val="003B022E"/>
    <w:rsid w:val="003B0D70"/>
    <w:rsid w:val="003B2AF9"/>
    <w:rsid w:val="003B7DDB"/>
    <w:rsid w:val="003C133C"/>
    <w:rsid w:val="003C141F"/>
    <w:rsid w:val="003C199A"/>
    <w:rsid w:val="003C34A5"/>
    <w:rsid w:val="003C3D7D"/>
    <w:rsid w:val="003C3DDD"/>
    <w:rsid w:val="003C5B61"/>
    <w:rsid w:val="003C7985"/>
    <w:rsid w:val="003C7F65"/>
    <w:rsid w:val="003D0392"/>
    <w:rsid w:val="003D1A28"/>
    <w:rsid w:val="003D2450"/>
    <w:rsid w:val="003D6D72"/>
    <w:rsid w:val="003E4F2C"/>
    <w:rsid w:val="003E7AD5"/>
    <w:rsid w:val="003F26DD"/>
    <w:rsid w:val="003F428F"/>
    <w:rsid w:val="003F5984"/>
    <w:rsid w:val="00401173"/>
    <w:rsid w:val="00403C16"/>
    <w:rsid w:val="00404BF0"/>
    <w:rsid w:val="00404E5A"/>
    <w:rsid w:val="004059DA"/>
    <w:rsid w:val="0040675A"/>
    <w:rsid w:val="004074C1"/>
    <w:rsid w:val="004163D3"/>
    <w:rsid w:val="00420015"/>
    <w:rsid w:val="0042260B"/>
    <w:rsid w:val="00422952"/>
    <w:rsid w:val="00422C2D"/>
    <w:rsid w:val="00423E4F"/>
    <w:rsid w:val="00425B93"/>
    <w:rsid w:val="004275B6"/>
    <w:rsid w:val="00432AB4"/>
    <w:rsid w:val="004356E3"/>
    <w:rsid w:val="00436203"/>
    <w:rsid w:val="004414EC"/>
    <w:rsid w:val="0044262D"/>
    <w:rsid w:val="00445F64"/>
    <w:rsid w:val="004469E7"/>
    <w:rsid w:val="00447575"/>
    <w:rsid w:val="0045012B"/>
    <w:rsid w:val="00452170"/>
    <w:rsid w:val="00452A0B"/>
    <w:rsid w:val="0045575F"/>
    <w:rsid w:val="0045763D"/>
    <w:rsid w:val="004615D3"/>
    <w:rsid w:val="00464BCC"/>
    <w:rsid w:val="00467F3B"/>
    <w:rsid w:val="004736DE"/>
    <w:rsid w:val="004738D8"/>
    <w:rsid w:val="00474646"/>
    <w:rsid w:val="00475B8A"/>
    <w:rsid w:val="00475D2C"/>
    <w:rsid w:val="004801F8"/>
    <w:rsid w:val="004815BB"/>
    <w:rsid w:val="00481910"/>
    <w:rsid w:val="004830D3"/>
    <w:rsid w:val="00483B02"/>
    <w:rsid w:val="0048688D"/>
    <w:rsid w:val="00490B8F"/>
    <w:rsid w:val="00492761"/>
    <w:rsid w:val="00493217"/>
    <w:rsid w:val="00494678"/>
    <w:rsid w:val="0049561B"/>
    <w:rsid w:val="004A4F94"/>
    <w:rsid w:val="004A6AAA"/>
    <w:rsid w:val="004B01B1"/>
    <w:rsid w:val="004B162E"/>
    <w:rsid w:val="004B365C"/>
    <w:rsid w:val="004B3F40"/>
    <w:rsid w:val="004B3FBE"/>
    <w:rsid w:val="004B55B6"/>
    <w:rsid w:val="004B60F3"/>
    <w:rsid w:val="004B6416"/>
    <w:rsid w:val="004B7860"/>
    <w:rsid w:val="004C0DB3"/>
    <w:rsid w:val="004C0F1A"/>
    <w:rsid w:val="004C1103"/>
    <w:rsid w:val="004C1E45"/>
    <w:rsid w:val="004C272D"/>
    <w:rsid w:val="004C4865"/>
    <w:rsid w:val="004C5405"/>
    <w:rsid w:val="004C5778"/>
    <w:rsid w:val="004C6B8D"/>
    <w:rsid w:val="004C7BB2"/>
    <w:rsid w:val="004D0E7C"/>
    <w:rsid w:val="004D190F"/>
    <w:rsid w:val="004D210E"/>
    <w:rsid w:val="004D3DE2"/>
    <w:rsid w:val="004D5094"/>
    <w:rsid w:val="004D5D70"/>
    <w:rsid w:val="004D6F3F"/>
    <w:rsid w:val="004D7208"/>
    <w:rsid w:val="004E24CE"/>
    <w:rsid w:val="004E4AFA"/>
    <w:rsid w:val="004E556D"/>
    <w:rsid w:val="004E559F"/>
    <w:rsid w:val="004E7806"/>
    <w:rsid w:val="004E7FA6"/>
    <w:rsid w:val="004F160B"/>
    <w:rsid w:val="004F1CDB"/>
    <w:rsid w:val="004F4D27"/>
    <w:rsid w:val="004F5BD1"/>
    <w:rsid w:val="004F7FE5"/>
    <w:rsid w:val="0050369F"/>
    <w:rsid w:val="00504127"/>
    <w:rsid w:val="00504C5E"/>
    <w:rsid w:val="00510BF8"/>
    <w:rsid w:val="00512791"/>
    <w:rsid w:val="005136DC"/>
    <w:rsid w:val="005136F7"/>
    <w:rsid w:val="00515372"/>
    <w:rsid w:val="0051718A"/>
    <w:rsid w:val="00517CEE"/>
    <w:rsid w:val="0052017E"/>
    <w:rsid w:val="005206D2"/>
    <w:rsid w:val="0052151F"/>
    <w:rsid w:val="00522E00"/>
    <w:rsid w:val="0052577D"/>
    <w:rsid w:val="00525FE3"/>
    <w:rsid w:val="00527E6F"/>
    <w:rsid w:val="00530303"/>
    <w:rsid w:val="00530F2E"/>
    <w:rsid w:val="005321CA"/>
    <w:rsid w:val="00532EAB"/>
    <w:rsid w:val="00533F57"/>
    <w:rsid w:val="005356B9"/>
    <w:rsid w:val="005372AA"/>
    <w:rsid w:val="005377A5"/>
    <w:rsid w:val="00537FC0"/>
    <w:rsid w:val="0054342A"/>
    <w:rsid w:val="005435BD"/>
    <w:rsid w:val="005441B6"/>
    <w:rsid w:val="0055092D"/>
    <w:rsid w:val="0055128A"/>
    <w:rsid w:val="00551FC6"/>
    <w:rsid w:val="0055505A"/>
    <w:rsid w:val="0055568D"/>
    <w:rsid w:val="00555730"/>
    <w:rsid w:val="00556421"/>
    <w:rsid w:val="005569F8"/>
    <w:rsid w:val="005575D1"/>
    <w:rsid w:val="00557C0E"/>
    <w:rsid w:val="00560226"/>
    <w:rsid w:val="005608F6"/>
    <w:rsid w:val="00560C60"/>
    <w:rsid w:val="005612FA"/>
    <w:rsid w:val="005616E1"/>
    <w:rsid w:val="0056341E"/>
    <w:rsid w:val="00564BED"/>
    <w:rsid w:val="00566161"/>
    <w:rsid w:val="00570512"/>
    <w:rsid w:val="00572C38"/>
    <w:rsid w:val="00575048"/>
    <w:rsid w:val="00575DD6"/>
    <w:rsid w:val="00576207"/>
    <w:rsid w:val="00576EAA"/>
    <w:rsid w:val="005802D2"/>
    <w:rsid w:val="00582B27"/>
    <w:rsid w:val="005830EF"/>
    <w:rsid w:val="00585523"/>
    <w:rsid w:val="00585640"/>
    <w:rsid w:val="0058672B"/>
    <w:rsid w:val="00586F4C"/>
    <w:rsid w:val="00595BD9"/>
    <w:rsid w:val="00597E6D"/>
    <w:rsid w:val="005A085C"/>
    <w:rsid w:val="005A11B2"/>
    <w:rsid w:val="005A2DBD"/>
    <w:rsid w:val="005A3589"/>
    <w:rsid w:val="005A44C0"/>
    <w:rsid w:val="005A517E"/>
    <w:rsid w:val="005A5C86"/>
    <w:rsid w:val="005A5CCB"/>
    <w:rsid w:val="005A60FA"/>
    <w:rsid w:val="005A6618"/>
    <w:rsid w:val="005B434A"/>
    <w:rsid w:val="005B4E73"/>
    <w:rsid w:val="005B5828"/>
    <w:rsid w:val="005B5B74"/>
    <w:rsid w:val="005B6C30"/>
    <w:rsid w:val="005C1883"/>
    <w:rsid w:val="005C4C16"/>
    <w:rsid w:val="005C5F8F"/>
    <w:rsid w:val="005C7F8A"/>
    <w:rsid w:val="005D14B5"/>
    <w:rsid w:val="005D211F"/>
    <w:rsid w:val="005D263E"/>
    <w:rsid w:val="005D289D"/>
    <w:rsid w:val="005D49FF"/>
    <w:rsid w:val="005D4F17"/>
    <w:rsid w:val="005D56D9"/>
    <w:rsid w:val="005D6348"/>
    <w:rsid w:val="005E029F"/>
    <w:rsid w:val="005E361D"/>
    <w:rsid w:val="005E36DF"/>
    <w:rsid w:val="005E4E2C"/>
    <w:rsid w:val="005E6EEC"/>
    <w:rsid w:val="005F10FB"/>
    <w:rsid w:val="005F2379"/>
    <w:rsid w:val="005F2AE8"/>
    <w:rsid w:val="005F3440"/>
    <w:rsid w:val="005F3BAA"/>
    <w:rsid w:val="005F4185"/>
    <w:rsid w:val="005F467C"/>
    <w:rsid w:val="005F68C8"/>
    <w:rsid w:val="00600B0A"/>
    <w:rsid w:val="00601BE0"/>
    <w:rsid w:val="00601E44"/>
    <w:rsid w:val="006021D5"/>
    <w:rsid w:val="00602381"/>
    <w:rsid w:val="0060288A"/>
    <w:rsid w:val="00602D3C"/>
    <w:rsid w:val="006057F7"/>
    <w:rsid w:val="00610FA1"/>
    <w:rsid w:val="00611653"/>
    <w:rsid w:val="00613457"/>
    <w:rsid w:val="006158CC"/>
    <w:rsid w:val="00620A55"/>
    <w:rsid w:val="006224C7"/>
    <w:rsid w:val="00622EB9"/>
    <w:rsid w:val="00624228"/>
    <w:rsid w:val="00624AC0"/>
    <w:rsid w:val="006308F5"/>
    <w:rsid w:val="006314E0"/>
    <w:rsid w:val="00631C0B"/>
    <w:rsid w:val="006334A8"/>
    <w:rsid w:val="006334BE"/>
    <w:rsid w:val="00633AAD"/>
    <w:rsid w:val="00634268"/>
    <w:rsid w:val="00635C8D"/>
    <w:rsid w:val="006360EE"/>
    <w:rsid w:val="00637BD1"/>
    <w:rsid w:val="00640980"/>
    <w:rsid w:val="0064206C"/>
    <w:rsid w:val="00643F1F"/>
    <w:rsid w:val="0064446D"/>
    <w:rsid w:val="0064494F"/>
    <w:rsid w:val="0064718C"/>
    <w:rsid w:val="00647944"/>
    <w:rsid w:val="00650539"/>
    <w:rsid w:val="006515A8"/>
    <w:rsid w:val="00652256"/>
    <w:rsid w:val="00655593"/>
    <w:rsid w:val="006555F8"/>
    <w:rsid w:val="00656850"/>
    <w:rsid w:val="00657384"/>
    <w:rsid w:val="00657FA8"/>
    <w:rsid w:val="006636DC"/>
    <w:rsid w:val="00667596"/>
    <w:rsid w:val="006704E9"/>
    <w:rsid w:val="00672531"/>
    <w:rsid w:val="00674AAE"/>
    <w:rsid w:val="0067591E"/>
    <w:rsid w:val="0067692C"/>
    <w:rsid w:val="00680150"/>
    <w:rsid w:val="006805F5"/>
    <w:rsid w:val="00681308"/>
    <w:rsid w:val="00681D48"/>
    <w:rsid w:val="006835D4"/>
    <w:rsid w:val="00684377"/>
    <w:rsid w:val="00685767"/>
    <w:rsid w:val="00687867"/>
    <w:rsid w:val="00690E17"/>
    <w:rsid w:val="006941F5"/>
    <w:rsid w:val="00694848"/>
    <w:rsid w:val="0069518E"/>
    <w:rsid w:val="00695F2A"/>
    <w:rsid w:val="006A0166"/>
    <w:rsid w:val="006A3352"/>
    <w:rsid w:val="006B00E0"/>
    <w:rsid w:val="006B1605"/>
    <w:rsid w:val="006B1D43"/>
    <w:rsid w:val="006B2A71"/>
    <w:rsid w:val="006B3505"/>
    <w:rsid w:val="006B3C06"/>
    <w:rsid w:val="006B3CA8"/>
    <w:rsid w:val="006B58D0"/>
    <w:rsid w:val="006B5D88"/>
    <w:rsid w:val="006B62B9"/>
    <w:rsid w:val="006B7B82"/>
    <w:rsid w:val="006C22F8"/>
    <w:rsid w:val="006D0317"/>
    <w:rsid w:val="006D0FF2"/>
    <w:rsid w:val="006D1A0C"/>
    <w:rsid w:val="006D2699"/>
    <w:rsid w:val="006D425D"/>
    <w:rsid w:val="006D43DC"/>
    <w:rsid w:val="006D5574"/>
    <w:rsid w:val="006D714A"/>
    <w:rsid w:val="006D7C7E"/>
    <w:rsid w:val="006E31BD"/>
    <w:rsid w:val="006E3D38"/>
    <w:rsid w:val="006E3F81"/>
    <w:rsid w:val="006E4040"/>
    <w:rsid w:val="006E4EA0"/>
    <w:rsid w:val="006E5318"/>
    <w:rsid w:val="006E5F85"/>
    <w:rsid w:val="006F045A"/>
    <w:rsid w:val="006F2C58"/>
    <w:rsid w:val="006F3B20"/>
    <w:rsid w:val="006F50C6"/>
    <w:rsid w:val="0070090B"/>
    <w:rsid w:val="00700C24"/>
    <w:rsid w:val="00700FA9"/>
    <w:rsid w:val="00702A35"/>
    <w:rsid w:val="00702A68"/>
    <w:rsid w:val="0070431D"/>
    <w:rsid w:val="007056AA"/>
    <w:rsid w:val="00706487"/>
    <w:rsid w:val="0070772E"/>
    <w:rsid w:val="00707D41"/>
    <w:rsid w:val="00711187"/>
    <w:rsid w:val="007124B5"/>
    <w:rsid w:val="00714C42"/>
    <w:rsid w:val="00715771"/>
    <w:rsid w:val="00717635"/>
    <w:rsid w:val="00717CE9"/>
    <w:rsid w:val="00717FE8"/>
    <w:rsid w:val="00721052"/>
    <w:rsid w:val="0072336E"/>
    <w:rsid w:val="00724BD0"/>
    <w:rsid w:val="00725C05"/>
    <w:rsid w:val="00727F5C"/>
    <w:rsid w:val="007303DA"/>
    <w:rsid w:val="007304AB"/>
    <w:rsid w:val="00730CC5"/>
    <w:rsid w:val="007343C3"/>
    <w:rsid w:val="00737B62"/>
    <w:rsid w:val="00743A1E"/>
    <w:rsid w:val="00745560"/>
    <w:rsid w:val="007469F4"/>
    <w:rsid w:val="00746A0F"/>
    <w:rsid w:val="00750BC6"/>
    <w:rsid w:val="00751B2E"/>
    <w:rsid w:val="00751BD3"/>
    <w:rsid w:val="00751FE0"/>
    <w:rsid w:val="00753D1C"/>
    <w:rsid w:val="00753EE0"/>
    <w:rsid w:val="007551AE"/>
    <w:rsid w:val="007612AA"/>
    <w:rsid w:val="00766DFD"/>
    <w:rsid w:val="007714EA"/>
    <w:rsid w:val="007735E1"/>
    <w:rsid w:val="007747D3"/>
    <w:rsid w:val="007752FE"/>
    <w:rsid w:val="00775CF5"/>
    <w:rsid w:val="00776C03"/>
    <w:rsid w:val="00781368"/>
    <w:rsid w:val="007814B2"/>
    <w:rsid w:val="00781E0C"/>
    <w:rsid w:val="007831EF"/>
    <w:rsid w:val="00783267"/>
    <w:rsid w:val="00784DE8"/>
    <w:rsid w:val="00791833"/>
    <w:rsid w:val="00794209"/>
    <w:rsid w:val="00794C8A"/>
    <w:rsid w:val="007A0409"/>
    <w:rsid w:val="007A0B8C"/>
    <w:rsid w:val="007A1822"/>
    <w:rsid w:val="007A2FA0"/>
    <w:rsid w:val="007A38F4"/>
    <w:rsid w:val="007A40A3"/>
    <w:rsid w:val="007A417B"/>
    <w:rsid w:val="007A51EB"/>
    <w:rsid w:val="007A5653"/>
    <w:rsid w:val="007A5FA2"/>
    <w:rsid w:val="007A631F"/>
    <w:rsid w:val="007A686F"/>
    <w:rsid w:val="007B3513"/>
    <w:rsid w:val="007B3C69"/>
    <w:rsid w:val="007B6CF1"/>
    <w:rsid w:val="007B7553"/>
    <w:rsid w:val="007C63E3"/>
    <w:rsid w:val="007C64BA"/>
    <w:rsid w:val="007D23F5"/>
    <w:rsid w:val="007D3856"/>
    <w:rsid w:val="007D41A1"/>
    <w:rsid w:val="007D4AA2"/>
    <w:rsid w:val="007D6753"/>
    <w:rsid w:val="007D6EC4"/>
    <w:rsid w:val="007D7632"/>
    <w:rsid w:val="007E1DBC"/>
    <w:rsid w:val="007E2628"/>
    <w:rsid w:val="007F0F19"/>
    <w:rsid w:val="007F1AB4"/>
    <w:rsid w:val="007F1D9A"/>
    <w:rsid w:val="007F3709"/>
    <w:rsid w:val="007F55DC"/>
    <w:rsid w:val="007F67E9"/>
    <w:rsid w:val="00801DED"/>
    <w:rsid w:val="008028B4"/>
    <w:rsid w:val="008032CF"/>
    <w:rsid w:val="00803F41"/>
    <w:rsid w:val="00805E9D"/>
    <w:rsid w:val="00806D37"/>
    <w:rsid w:val="00806F7A"/>
    <w:rsid w:val="008126FE"/>
    <w:rsid w:val="00817C59"/>
    <w:rsid w:val="008226C9"/>
    <w:rsid w:val="00823FF3"/>
    <w:rsid w:val="008263D3"/>
    <w:rsid w:val="00830B1A"/>
    <w:rsid w:val="008348EC"/>
    <w:rsid w:val="00834CC4"/>
    <w:rsid w:val="008368B8"/>
    <w:rsid w:val="00840AA7"/>
    <w:rsid w:val="00840D6D"/>
    <w:rsid w:val="00840ED0"/>
    <w:rsid w:val="00843CEE"/>
    <w:rsid w:val="00844119"/>
    <w:rsid w:val="0084427D"/>
    <w:rsid w:val="00844895"/>
    <w:rsid w:val="0084531F"/>
    <w:rsid w:val="00845435"/>
    <w:rsid w:val="00847523"/>
    <w:rsid w:val="0084790F"/>
    <w:rsid w:val="008535E3"/>
    <w:rsid w:val="0085597C"/>
    <w:rsid w:val="00856540"/>
    <w:rsid w:val="0086045D"/>
    <w:rsid w:val="008632F2"/>
    <w:rsid w:val="00864F30"/>
    <w:rsid w:val="00865631"/>
    <w:rsid w:val="00866A86"/>
    <w:rsid w:val="00866FF0"/>
    <w:rsid w:val="0087035B"/>
    <w:rsid w:val="00871713"/>
    <w:rsid w:val="00871763"/>
    <w:rsid w:val="00871794"/>
    <w:rsid w:val="008717F3"/>
    <w:rsid w:val="0088057A"/>
    <w:rsid w:val="00880E29"/>
    <w:rsid w:val="00881521"/>
    <w:rsid w:val="00882900"/>
    <w:rsid w:val="00885A8F"/>
    <w:rsid w:val="0088676E"/>
    <w:rsid w:val="00887D58"/>
    <w:rsid w:val="00887E4F"/>
    <w:rsid w:val="00890EDB"/>
    <w:rsid w:val="008926B0"/>
    <w:rsid w:val="00892D83"/>
    <w:rsid w:val="008931E9"/>
    <w:rsid w:val="008933C6"/>
    <w:rsid w:val="008941C5"/>
    <w:rsid w:val="0089647D"/>
    <w:rsid w:val="00897FF8"/>
    <w:rsid w:val="008A4897"/>
    <w:rsid w:val="008A7E9E"/>
    <w:rsid w:val="008B181E"/>
    <w:rsid w:val="008B3838"/>
    <w:rsid w:val="008B3EA4"/>
    <w:rsid w:val="008B4C7A"/>
    <w:rsid w:val="008B4CF3"/>
    <w:rsid w:val="008B5523"/>
    <w:rsid w:val="008B5C11"/>
    <w:rsid w:val="008C13FE"/>
    <w:rsid w:val="008C1423"/>
    <w:rsid w:val="008C1E1E"/>
    <w:rsid w:val="008D0188"/>
    <w:rsid w:val="008D12FE"/>
    <w:rsid w:val="008D4115"/>
    <w:rsid w:val="008D5C31"/>
    <w:rsid w:val="008D6D37"/>
    <w:rsid w:val="008D6E13"/>
    <w:rsid w:val="008D785F"/>
    <w:rsid w:val="008E1EB9"/>
    <w:rsid w:val="008E1FED"/>
    <w:rsid w:val="008E2420"/>
    <w:rsid w:val="008E31D9"/>
    <w:rsid w:val="008E4C8F"/>
    <w:rsid w:val="008E668A"/>
    <w:rsid w:val="008E6F5F"/>
    <w:rsid w:val="008E6FE1"/>
    <w:rsid w:val="008E7358"/>
    <w:rsid w:val="008F071A"/>
    <w:rsid w:val="008F2165"/>
    <w:rsid w:val="008F243D"/>
    <w:rsid w:val="008F42DC"/>
    <w:rsid w:val="008F5092"/>
    <w:rsid w:val="008F563F"/>
    <w:rsid w:val="0090007B"/>
    <w:rsid w:val="00900935"/>
    <w:rsid w:val="00900985"/>
    <w:rsid w:val="009030E2"/>
    <w:rsid w:val="009120EA"/>
    <w:rsid w:val="00912788"/>
    <w:rsid w:val="00913653"/>
    <w:rsid w:val="00916AE2"/>
    <w:rsid w:val="00921803"/>
    <w:rsid w:val="009227BE"/>
    <w:rsid w:val="00923CFB"/>
    <w:rsid w:val="00925EA7"/>
    <w:rsid w:val="00926A2F"/>
    <w:rsid w:val="0093257E"/>
    <w:rsid w:val="00934886"/>
    <w:rsid w:val="00935470"/>
    <w:rsid w:val="00940B62"/>
    <w:rsid w:val="00940BA3"/>
    <w:rsid w:val="0094186C"/>
    <w:rsid w:val="00943DEC"/>
    <w:rsid w:val="0094568F"/>
    <w:rsid w:val="0094689B"/>
    <w:rsid w:val="00946AF1"/>
    <w:rsid w:val="009477DC"/>
    <w:rsid w:val="00953554"/>
    <w:rsid w:val="00954399"/>
    <w:rsid w:val="00956A8A"/>
    <w:rsid w:val="00956D95"/>
    <w:rsid w:val="009617FF"/>
    <w:rsid w:val="0096265F"/>
    <w:rsid w:val="0096341E"/>
    <w:rsid w:val="00963969"/>
    <w:rsid w:val="00965365"/>
    <w:rsid w:val="009678E1"/>
    <w:rsid w:val="009735A6"/>
    <w:rsid w:val="0097515B"/>
    <w:rsid w:val="0097562D"/>
    <w:rsid w:val="0097646A"/>
    <w:rsid w:val="0097754F"/>
    <w:rsid w:val="00977982"/>
    <w:rsid w:val="00982357"/>
    <w:rsid w:val="00982E85"/>
    <w:rsid w:val="0098351B"/>
    <w:rsid w:val="00985389"/>
    <w:rsid w:val="00990055"/>
    <w:rsid w:val="00991BBC"/>
    <w:rsid w:val="00993324"/>
    <w:rsid w:val="0099517C"/>
    <w:rsid w:val="00995902"/>
    <w:rsid w:val="00997726"/>
    <w:rsid w:val="009A0595"/>
    <w:rsid w:val="009A1011"/>
    <w:rsid w:val="009A2395"/>
    <w:rsid w:val="009A2F03"/>
    <w:rsid w:val="009A468D"/>
    <w:rsid w:val="009A47AD"/>
    <w:rsid w:val="009A4B8E"/>
    <w:rsid w:val="009A5F24"/>
    <w:rsid w:val="009B103F"/>
    <w:rsid w:val="009B1BDA"/>
    <w:rsid w:val="009B3110"/>
    <w:rsid w:val="009B3632"/>
    <w:rsid w:val="009B4E99"/>
    <w:rsid w:val="009C01F0"/>
    <w:rsid w:val="009C0B3E"/>
    <w:rsid w:val="009C0BC0"/>
    <w:rsid w:val="009C19E1"/>
    <w:rsid w:val="009C4BE8"/>
    <w:rsid w:val="009C5287"/>
    <w:rsid w:val="009C569D"/>
    <w:rsid w:val="009C5A86"/>
    <w:rsid w:val="009D01AB"/>
    <w:rsid w:val="009D05A4"/>
    <w:rsid w:val="009D1D2E"/>
    <w:rsid w:val="009D3BE4"/>
    <w:rsid w:val="009D6FDE"/>
    <w:rsid w:val="009E0498"/>
    <w:rsid w:val="009E0FE7"/>
    <w:rsid w:val="009E54B8"/>
    <w:rsid w:val="009E58CA"/>
    <w:rsid w:val="009E71D8"/>
    <w:rsid w:val="009F1603"/>
    <w:rsid w:val="009F2035"/>
    <w:rsid w:val="009F35EB"/>
    <w:rsid w:val="009F3B6E"/>
    <w:rsid w:val="009F794F"/>
    <w:rsid w:val="00A00B57"/>
    <w:rsid w:val="00A01404"/>
    <w:rsid w:val="00A04CC5"/>
    <w:rsid w:val="00A05230"/>
    <w:rsid w:val="00A05D37"/>
    <w:rsid w:val="00A07451"/>
    <w:rsid w:val="00A1220A"/>
    <w:rsid w:val="00A13623"/>
    <w:rsid w:val="00A13A34"/>
    <w:rsid w:val="00A141A6"/>
    <w:rsid w:val="00A16763"/>
    <w:rsid w:val="00A16DF9"/>
    <w:rsid w:val="00A20A4E"/>
    <w:rsid w:val="00A21347"/>
    <w:rsid w:val="00A23247"/>
    <w:rsid w:val="00A235CC"/>
    <w:rsid w:val="00A237C0"/>
    <w:rsid w:val="00A2484C"/>
    <w:rsid w:val="00A27588"/>
    <w:rsid w:val="00A31CA8"/>
    <w:rsid w:val="00A33670"/>
    <w:rsid w:val="00A338AF"/>
    <w:rsid w:val="00A40A80"/>
    <w:rsid w:val="00A4114F"/>
    <w:rsid w:val="00A4138B"/>
    <w:rsid w:val="00A42414"/>
    <w:rsid w:val="00A43517"/>
    <w:rsid w:val="00A43E89"/>
    <w:rsid w:val="00A44193"/>
    <w:rsid w:val="00A459E4"/>
    <w:rsid w:val="00A4610A"/>
    <w:rsid w:val="00A46112"/>
    <w:rsid w:val="00A470C2"/>
    <w:rsid w:val="00A51DF5"/>
    <w:rsid w:val="00A52967"/>
    <w:rsid w:val="00A54076"/>
    <w:rsid w:val="00A5681D"/>
    <w:rsid w:val="00A57B37"/>
    <w:rsid w:val="00A60F53"/>
    <w:rsid w:val="00A63148"/>
    <w:rsid w:val="00A71714"/>
    <w:rsid w:val="00A74387"/>
    <w:rsid w:val="00A76744"/>
    <w:rsid w:val="00A83592"/>
    <w:rsid w:val="00A861D5"/>
    <w:rsid w:val="00A870FD"/>
    <w:rsid w:val="00A87F55"/>
    <w:rsid w:val="00A9082A"/>
    <w:rsid w:val="00A91525"/>
    <w:rsid w:val="00A92F8C"/>
    <w:rsid w:val="00A95BF6"/>
    <w:rsid w:val="00A970A0"/>
    <w:rsid w:val="00AA0E99"/>
    <w:rsid w:val="00AA106B"/>
    <w:rsid w:val="00AA17AA"/>
    <w:rsid w:val="00AA4686"/>
    <w:rsid w:val="00AA4982"/>
    <w:rsid w:val="00AA5135"/>
    <w:rsid w:val="00AB1F1E"/>
    <w:rsid w:val="00AB21CD"/>
    <w:rsid w:val="00AB27D7"/>
    <w:rsid w:val="00AB28FF"/>
    <w:rsid w:val="00AB31F2"/>
    <w:rsid w:val="00AB3F6A"/>
    <w:rsid w:val="00AB5684"/>
    <w:rsid w:val="00AB6CAA"/>
    <w:rsid w:val="00AC20CB"/>
    <w:rsid w:val="00AC21AC"/>
    <w:rsid w:val="00AC2FD6"/>
    <w:rsid w:val="00AC4E74"/>
    <w:rsid w:val="00AC609B"/>
    <w:rsid w:val="00AC6B2D"/>
    <w:rsid w:val="00AD3C1D"/>
    <w:rsid w:val="00AD7A10"/>
    <w:rsid w:val="00AD7CFA"/>
    <w:rsid w:val="00AE0E5B"/>
    <w:rsid w:val="00AE3559"/>
    <w:rsid w:val="00AE6E69"/>
    <w:rsid w:val="00AE7DBA"/>
    <w:rsid w:val="00AF4DFE"/>
    <w:rsid w:val="00AF7FA3"/>
    <w:rsid w:val="00B002EB"/>
    <w:rsid w:val="00B00C63"/>
    <w:rsid w:val="00B00F42"/>
    <w:rsid w:val="00B06727"/>
    <w:rsid w:val="00B10E59"/>
    <w:rsid w:val="00B13FA8"/>
    <w:rsid w:val="00B20FC7"/>
    <w:rsid w:val="00B21961"/>
    <w:rsid w:val="00B229E2"/>
    <w:rsid w:val="00B25655"/>
    <w:rsid w:val="00B25A31"/>
    <w:rsid w:val="00B2613A"/>
    <w:rsid w:val="00B268BB"/>
    <w:rsid w:val="00B26C29"/>
    <w:rsid w:val="00B31244"/>
    <w:rsid w:val="00B31B8B"/>
    <w:rsid w:val="00B320B9"/>
    <w:rsid w:val="00B32A17"/>
    <w:rsid w:val="00B3309F"/>
    <w:rsid w:val="00B34EB7"/>
    <w:rsid w:val="00B41BFB"/>
    <w:rsid w:val="00B43084"/>
    <w:rsid w:val="00B479FE"/>
    <w:rsid w:val="00B5169E"/>
    <w:rsid w:val="00B53707"/>
    <w:rsid w:val="00B53C01"/>
    <w:rsid w:val="00B53CA3"/>
    <w:rsid w:val="00B5497D"/>
    <w:rsid w:val="00B55035"/>
    <w:rsid w:val="00B556B4"/>
    <w:rsid w:val="00B5641E"/>
    <w:rsid w:val="00B56492"/>
    <w:rsid w:val="00B618BA"/>
    <w:rsid w:val="00B6608D"/>
    <w:rsid w:val="00B66DF5"/>
    <w:rsid w:val="00B677C4"/>
    <w:rsid w:val="00B72DF7"/>
    <w:rsid w:val="00B73657"/>
    <w:rsid w:val="00B73F4C"/>
    <w:rsid w:val="00B77276"/>
    <w:rsid w:val="00B804A8"/>
    <w:rsid w:val="00B8409E"/>
    <w:rsid w:val="00B84EAD"/>
    <w:rsid w:val="00B84EBB"/>
    <w:rsid w:val="00B85777"/>
    <w:rsid w:val="00B90664"/>
    <w:rsid w:val="00B906CD"/>
    <w:rsid w:val="00B91D01"/>
    <w:rsid w:val="00B91FBB"/>
    <w:rsid w:val="00B92338"/>
    <w:rsid w:val="00B923A3"/>
    <w:rsid w:val="00BA04BA"/>
    <w:rsid w:val="00BA11B5"/>
    <w:rsid w:val="00BA36D7"/>
    <w:rsid w:val="00BA399E"/>
    <w:rsid w:val="00BA3BDB"/>
    <w:rsid w:val="00BA6E3C"/>
    <w:rsid w:val="00BA7209"/>
    <w:rsid w:val="00BA7639"/>
    <w:rsid w:val="00BB1016"/>
    <w:rsid w:val="00BB1F2B"/>
    <w:rsid w:val="00BB2CB7"/>
    <w:rsid w:val="00BB32E9"/>
    <w:rsid w:val="00BB406A"/>
    <w:rsid w:val="00BB66D2"/>
    <w:rsid w:val="00BC1733"/>
    <w:rsid w:val="00BC17A0"/>
    <w:rsid w:val="00BC2380"/>
    <w:rsid w:val="00BC2649"/>
    <w:rsid w:val="00BC26A3"/>
    <w:rsid w:val="00BC281F"/>
    <w:rsid w:val="00BC2E62"/>
    <w:rsid w:val="00BC3CA9"/>
    <w:rsid w:val="00BC4EFF"/>
    <w:rsid w:val="00BC7CD7"/>
    <w:rsid w:val="00BD0221"/>
    <w:rsid w:val="00BD0284"/>
    <w:rsid w:val="00BD1714"/>
    <w:rsid w:val="00BD184D"/>
    <w:rsid w:val="00BD22B0"/>
    <w:rsid w:val="00BD2519"/>
    <w:rsid w:val="00BD353C"/>
    <w:rsid w:val="00BD4A57"/>
    <w:rsid w:val="00BD4DF9"/>
    <w:rsid w:val="00BD5054"/>
    <w:rsid w:val="00BD63EE"/>
    <w:rsid w:val="00BD7EBB"/>
    <w:rsid w:val="00BE084F"/>
    <w:rsid w:val="00BE0955"/>
    <w:rsid w:val="00BE3A37"/>
    <w:rsid w:val="00BE52B7"/>
    <w:rsid w:val="00BE5CFB"/>
    <w:rsid w:val="00BE6476"/>
    <w:rsid w:val="00BE718D"/>
    <w:rsid w:val="00BE71AC"/>
    <w:rsid w:val="00BE7B25"/>
    <w:rsid w:val="00BF6826"/>
    <w:rsid w:val="00BF7017"/>
    <w:rsid w:val="00C00772"/>
    <w:rsid w:val="00C013F3"/>
    <w:rsid w:val="00C03D74"/>
    <w:rsid w:val="00C17325"/>
    <w:rsid w:val="00C21197"/>
    <w:rsid w:val="00C21FEF"/>
    <w:rsid w:val="00C233C5"/>
    <w:rsid w:val="00C23946"/>
    <w:rsid w:val="00C2587C"/>
    <w:rsid w:val="00C261B2"/>
    <w:rsid w:val="00C323DA"/>
    <w:rsid w:val="00C40764"/>
    <w:rsid w:val="00C40D4F"/>
    <w:rsid w:val="00C41CD4"/>
    <w:rsid w:val="00C43EED"/>
    <w:rsid w:val="00C441C2"/>
    <w:rsid w:val="00C44337"/>
    <w:rsid w:val="00C45772"/>
    <w:rsid w:val="00C462D5"/>
    <w:rsid w:val="00C50D70"/>
    <w:rsid w:val="00C52050"/>
    <w:rsid w:val="00C5277B"/>
    <w:rsid w:val="00C53D2D"/>
    <w:rsid w:val="00C55175"/>
    <w:rsid w:val="00C55E26"/>
    <w:rsid w:val="00C568D7"/>
    <w:rsid w:val="00C57D39"/>
    <w:rsid w:val="00C57FE1"/>
    <w:rsid w:val="00C60130"/>
    <w:rsid w:val="00C615BA"/>
    <w:rsid w:val="00C6395B"/>
    <w:rsid w:val="00C641CB"/>
    <w:rsid w:val="00C65270"/>
    <w:rsid w:val="00C65B97"/>
    <w:rsid w:val="00C6601B"/>
    <w:rsid w:val="00C67266"/>
    <w:rsid w:val="00C70C7B"/>
    <w:rsid w:val="00C829D7"/>
    <w:rsid w:val="00C83045"/>
    <w:rsid w:val="00C85AFC"/>
    <w:rsid w:val="00C85F0E"/>
    <w:rsid w:val="00C86733"/>
    <w:rsid w:val="00C8683B"/>
    <w:rsid w:val="00C91088"/>
    <w:rsid w:val="00C91097"/>
    <w:rsid w:val="00C91BB8"/>
    <w:rsid w:val="00C9299D"/>
    <w:rsid w:val="00C95E64"/>
    <w:rsid w:val="00C977E2"/>
    <w:rsid w:val="00CA006F"/>
    <w:rsid w:val="00CA17D6"/>
    <w:rsid w:val="00CA250F"/>
    <w:rsid w:val="00CA2A23"/>
    <w:rsid w:val="00CA3726"/>
    <w:rsid w:val="00CA42BC"/>
    <w:rsid w:val="00CA47FF"/>
    <w:rsid w:val="00CA65BA"/>
    <w:rsid w:val="00CB183B"/>
    <w:rsid w:val="00CB1894"/>
    <w:rsid w:val="00CB289B"/>
    <w:rsid w:val="00CB2F6C"/>
    <w:rsid w:val="00CB380B"/>
    <w:rsid w:val="00CB3D86"/>
    <w:rsid w:val="00CB423F"/>
    <w:rsid w:val="00CB60F0"/>
    <w:rsid w:val="00CB75AE"/>
    <w:rsid w:val="00CC1C9B"/>
    <w:rsid w:val="00CC1E3D"/>
    <w:rsid w:val="00CC35ED"/>
    <w:rsid w:val="00CC4546"/>
    <w:rsid w:val="00CC4F29"/>
    <w:rsid w:val="00CC5084"/>
    <w:rsid w:val="00CC6063"/>
    <w:rsid w:val="00CC6EE6"/>
    <w:rsid w:val="00CD06FE"/>
    <w:rsid w:val="00CD0D78"/>
    <w:rsid w:val="00CD14BE"/>
    <w:rsid w:val="00CD6CFF"/>
    <w:rsid w:val="00CE1F5F"/>
    <w:rsid w:val="00CE24F0"/>
    <w:rsid w:val="00CE490F"/>
    <w:rsid w:val="00CE5D23"/>
    <w:rsid w:val="00CF09FF"/>
    <w:rsid w:val="00CF14A6"/>
    <w:rsid w:val="00CF2B87"/>
    <w:rsid w:val="00CF3182"/>
    <w:rsid w:val="00CF372B"/>
    <w:rsid w:val="00CF3EC9"/>
    <w:rsid w:val="00CF66DB"/>
    <w:rsid w:val="00CF743E"/>
    <w:rsid w:val="00D017EA"/>
    <w:rsid w:val="00D02E1D"/>
    <w:rsid w:val="00D0702F"/>
    <w:rsid w:val="00D073A1"/>
    <w:rsid w:val="00D078C7"/>
    <w:rsid w:val="00D10571"/>
    <w:rsid w:val="00D11094"/>
    <w:rsid w:val="00D12BF4"/>
    <w:rsid w:val="00D1327F"/>
    <w:rsid w:val="00D14CC7"/>
    <w:rsid w:val="00D165CC"/>
    <w:rsid w:val="00D16990"/>
    <w:rsid w:val="00D201D2"/>
    <w:rsid w:val="00D20DD8"/>
    <w:rsid w:val="00D22A76"/>
    <w:rsid w:val="00D22A96"/>
    <w:rsid w:val="00D23949"/>
    <w:rsid w:val="00D24EA8"/>
    <w:rsid w:val="00D2629C"/>
    <w:rsid w:val="00D26CE8"/>
    <w:rsid w:val="00D27C70"/>
    <w:rsid w:val="00D3003C"/>
    <w:rsid w:val="00D33CA1"/>
    <w:rsid w:val="00D34EA7"/>
    <w:rsid w:val="00D35503"/>
    <w:rsid w:val="00D35949"/>
    <w:rsid w:val="00D41271"/>
    <w:rsid w:val="00D449FF"/>
    <w:rsid w:val="00D45968"/>
    <w:rsid w:val="00D45AE0"/>
    <w:rsid w:val="00D46A3F"/>
    <w:rsid w:val="00D474CA"/>
    <w:rsid w:val="00D524BE"/>
    <w:rsid w:val="00D533AC"/>
    <w:rsid w:val="00D53606"/>
    <w:rsid w:val="00D53E23"/>
    <w:rsid w:val="00D54DEB"/>
    <w:rsid w:val="00D54E81"/>
    <w:rsid w:val="00D55C1A"/>
    <w:rsid w:val="00D55FA7"/>
    <w:rsid w:val="00D57769"/>
    <w:rsid w:val="00D6227B"/>
    <w:rsid w:val="00D64298"/>
    <w:rsid w:val="00D6699B"/>
    <w:rsid w:val="00D67126"/>
    <w:rsid w:val="00D707D8"/>
    <w:rsid w:val="00D72C91"/>
    <w:rsid w:val="00D72CD3"/>
    <w:rsid w:val="00D832D5"/>
    <w:rsid w:val="00D841DE"/>
    <w:rsid w:val="00D84342"/>
    <w:rsid w:val="00D8611F"/>
    <w:rsid w:val="00D867C0"/>
    <w:rsid w:val="00D87561"/>
    <w:rsid w:val="00D9407E"/>
    <w:rsid w:val="00D944BF"/>
    <w:rsid w:val="00D9529F"/>
    <w:rsid w:val="00D96243"/>
    <w:rsid w:val="00DA01AD"/>
    <w:rsid w:val="00DA0A04"/>
    <w:rsid w:val="00DA148C"/>
    <w:rsid w:val="00DA1604"/>
    <w:rsid w:val="00DA1A82"/>
    <w:rsid w:val="00DA1CDB"/>
    <w:rsid w:val="00DA1E78"/>
    <w:rsid w:val="00DA2840"/>
    <w:rsid w:val="00DA34B5"/>
    <w:rsid w:val="00DA40E1"/>
    <w:rsid w:val="00DA4FCC"/>
    <w:rsid w:val="00DA6061"/>
    <w:rsid w:val="00DA631F"/>
    <w:rsid w:val="00DB1284"/>
    <w:rsid w:val="00DB1A8F"/>
    <w:rsid w:val="00DB1ED6"/>
    <w:rsid w:val="00DB1F6F"/>
    <w:rsid w:val="00DB2C28"/>
    <w:rsid w:val="00DB4C21"/>
    <w:rsid w:val="00DB7BE2"/>
    <w:rsid w:val="00DC0034"/>
    <w:rsid w:val="00DC0D35"/>
    <w:rsid w:val="00DC0F11"/>
    <w:rsid w:val="00DC1CBF"/>
    <w:rsid w:val="00DC1DA3"/>
    <w:rsid w:val="00DC4BD1"/>
    <w:rsid w:val="00DC5538"/>
    <w:rsid w:val="00DC6F45"/>
    <w:rsid w:val="00DC737F"/>
    <w:rsid w:val="00DD2564"/>
    <w:rsid w:val="00DD2E94"/>
    <w:rsid w:val="00DE2ACB"/>
    <w:rsid w:val="00DE3A06"/>
    <w:rsid w:val="00DE563C"/>
    <w:rsid w:val="00DE5ED5"/>
    <w:rsid w:val="00DF0A16"/>
    <w:rsid w:val="00DF0E99"/>
    <w:rsid w:val="00DF15A8"/>
    <w:rsid w:val="00DF31AF"/>
    <w:rsid w:val="00DF4619"/>
    <w:rsid w:val="00DF470B"/>
    <w:rsid w:val="00DF5DB2"/>
    <w:rsid w:val="00DF7D05"/>
    <w:rsid w:val="00E00054"/>
    <w:rsid w:val="00E00605"/>
    <w:rsid w:val="00E011E9"/>
    <w:rsid w:val="00E0183B"/>
    <w:rsid w:val="00E02A38"/>
    <w:rsid w:val="00E02FFC"/>
    <w:rsid w:val="00E0301C"/>
    <w:rsid w:val="00E0525F"/>
    <w:rsid w:val="00E10CE1"/>
    <w:rsid w:val="00E135E2"/>
    <w:rsid w:val="00E13D83"/>
    <w:rsid w:val="00E14664"/>
    <w:rsid w:val="00E14EE3"/>
    <w:rsid w:val="00E17237"/>
    <w:rsid w:val="00E20CB1"/>
    <w:rsid w:val="00E20DEF"/>
    <w:rsid w:val="00E24D65"/>
    <w:rsid w:val="00E2513B"/>
    <w:rsid w:val="00E25496"/>
    <w:rsid w:val="00E2593F"/>
    <w:rsid w:val="00E27ADD"/>
    <w:rsid w:val="00E3072A"/>
    <w:rsid w:val="00E31237"/>
    <w:rsid w:val="00E31D62"/>
    <w:rsid w:val="00E352F4"/>
    <w:rsid w:val="00E35FC6"/>
    <w:rsid w:val="00E36CE6"/>
    <w:rsid w:val="00E40616"/>
    <w:rsid w:val="00E41322"/>
    <w:rsid w:val="00E41391"/>
    <w:rsid w:val="00E42602"/>
    <w:rsid w:val="00E4412D"/>
    <w:rsid w:val="00E451D7"/>
    <w:rsid w:val="00E45A1D"/>
    <w:rsid w:val="00E45E08"/>
    <w:rsid w:val="00E466AE"/>
    <w:rsid w:val="00E46A80"/>
    <w:rsid w:val="00E502A7"/>
    <w:rsid w:val="00E504D5"/>
    <w:rsid w:val="00E525E8"/>
    <w:rsid w:val="00E549C7"/>
    <w:rsid w:val="00E5530D"/>
    <w:rsid w:val="00E55B0F"/>
    <w:rsid w:val="00E56BAD"/>
    <w:rsid w:val="00E62147"/>
    <w:rsid w:val="00E623AD"/>
    <w:rsid w:val="00E6494A"/>
    <w:rsid w:val="00E66B03"/>
    <w:rsid w:val="00E7051E"/>
    <w:rsid w:val="00E71958"/>
    <w:rsid w:val="00E72F30"/>
    <w:rsid w:val="00E731A1"/>
    <w:rsid w:val="00E73294"/>
    <w:rsid w:val="00E73885"/>
    <w:rsid w:val="00E80BD1"/>
    <w:rsid w:val="00E83C0E"/>
    <w:rsid w:val="00E9039C"/>
    <w:rsid w:val="00E90AB7"/>
    <w:rsid w:val="00E914AC"/>
    <w:rsid w:val="00E91924"/>
    <w:rsid w:val="00E92DCC"/>
    <w:rsid w:val="00E931F6"/>
    <w:rsid w:val="00E935BB"/>
    <w:rsid w:val="00E94A52"/>
    <w:rsid w:val="00E95A22"/>
    <w:rsid w:val="00E96301"/>
    <w:rsid w:val="00E976FC"/>
    <w:rsid w:val="00EA0D80"/>
    <w:rsid w:val="00EA163B"/>
    <w:rsid w:val="00EA20AD"/>
    <w:rsid w:val="00EA2665"/>
    <w:rsid w:val="00EA380E"/>
    <w:rsid w:val="00EB13DF"/>
    <w:rsid w:val="00EB2448"/>
    <w:rsid w:val="00EB3157"/>
    <w:rsid w:val="00EB31A4"/>
    <w:rsid w:val="00EB3A8D"/>
    <w:rsid w:val="00EB3BC5"/>
    <w:rsid w:val="00EB4882"/>
    <w:rsid w:val="00EB58AE"/>
    <w:rsid w:val="00EB74BB"/>
    <w:rsid w:val="00EB7E4D"/>
    <w:rsid w:val="00EC0509"/>
    <w:rsid w:val="00EC1692"/>
    <w:rsid w:val="00EC320B"/>
    <w:rsid w:val="00EC55C7"/>
    <w:rsid w:val="00EC7D95"/>
    <w:rsid w:val="00EC7DF1"/>
    <w:rsid w:val="00ED1443"/>
    <w:rsid w:val="00ED14E5"/>
    <w:rsid w:val="00ED1850"/>
    <w:rsid w:val="00ED3349"/>
    <w:rsid w:val="00ED3501"/>
    <w:rsid w:val="00ED4A93"/>
    <w:rsid w:val="00ED5C7A"/>
    <w:rsid w:val="00ED7478"/>
    <w:rsid w:val="00ED7CE8"/>
    <w:rsid w:val="00EE0AFF"/>
    <w:rsid w:val="00EE1FAA"/>
    <w:rsid w:val="00EE3E1E"/>
    <w:rsid w:val="00EE5000"/>
    <w:rsid w:val="00EE6230"/>
    <w:rsid w:val="00EE741E"/>
    <w:rsid w:val="00EF0443"/>
    <w:rsid w:val="00EF1BB0"/>
    <w:rsid w:val="00EF44BE"/>
    <w:rsid w:val="00EF73D9"/>
    <w:rsid w:val="00F026C7"/>
    <w:rsid w:val="00F02923"/>
    <w:rsid w:val="00F031CE"/>
    <w:rsid w:val="00F03AF9"/>
    <w:rsid w:val="00F03C8E"/>
    <w:rsid w:val="00F04E44"/>
    <w:rsid w:val="00F07258"/>
    <w:rsid w:val="00F07C08"/>
    <w:rsid w:val="00F12C6E"/>
    <w:rsid w:val="00F1671E"/>
    <w:rsid w:val="00F2069A"/>
    <w:rsid w:val="00F20F16"/>
    <w:rsid w:val="00F21993"/>
    <w:rsid w:val="00F2315E"/>
    <w:rsid w:val="00F2410E"/>
    <w:rsid w:val="00F24605"/>
    <w:rsid w:val="00F260B7"/>
    <w:rsid w:val="00F30965"/>
    <w:rsid w:val="00F30B13"/>
    <w:rsid w:val="00F3145D"/>
    <w:rsid w:val="00F32580"/>
    <w:rsid w:val="00F338A6"/>
    <w:rsid w:val="00F34E17"/>
    <w:rsid w:val="00F35057"/>
    <w:rsid w:val="00F365CE"/>
    <w:rsid w:val="00F36690"/>
    <w:rsid w:val="00F4163F"/>
    <w:rsid w:val="00F46E27"/>
    <w:rsid w:val="00F502F1"/>
    <w:rsid w:val="00F555B2"/>
    <w:rsid w:val="00F57A09"/>
    <w:rsid w:val="00F60C38"/>
    <w:rsid w:val="00F61711"/>
    <w:rsid w:val="00F6265E"/>
    <w:rsid w:val="00F62BF1"/>
    <w:rsid w:val="00F63E5B"/>
    <w:rsid w:val="00F64B13"/>
    <w:rsid w:val="00F65F4D"/>
    <w:rsid w:val="00F66B5B"/>
    <w:rsid w:val="00F71BBB"/>
    <w:rsid w:val="00F72E1D"/>
    <w:rsid w:val="00F73419"/>
    <w:rsid w:val="00F742BE"/>
    <w:rsid w:val="00F7434B"/>
    <w:rsid w:val="00F76706"/>
    <w:rsid w:val="00F77506"/>
    <w:rsid w:val="00F8028B"/>
    <w:rsid w:val="00F80294"/>
    <w:rsid w:val="00F80439"/>
    <w:rsid w:val="00F80592"/>
    <w:rsid w:val="00F843DA"/>
    <w:rsid w:val="00F8497C"/>
    <w:rsid w:val="00F84B46"/>
    <w:rsid w:val="00F85777"/>
    <w:rsid w:val="00F87702"/>
    <w:rsid w:val="00F9152B"/>
    <w:rsid w:val="00F95763"/>
    <w:rsid w:val="00F96640"/>
    <w:rsid w:val="00F97C0C"/>
    <w:rsid w:val="00F97E43"/>
    <w:rsid w:val="00FA2849"/>
    <w:rsid w:val="00FA3395"/>
    <w:rsid w:val="00FA7084"/>
    <w:rsid w:val="00FB024A"/>
    <w:rsid w:val="00FB024E"/>
    <w:rsid w:val="00FB07B6"/>
    <w:rsid w:val="00FB1AC2"/>
    <w:rsid w:val="00FB1AE1"/>
    <w:rsid w:val="00FB2C42"/>
    <w:rsid w:val="00FB2D66"/>
    <w:rsid w:val="00FB3BDE"/>
    <w:rsid w:val="00FB5835"/>
    <w:rsid w:val="00FB5A40"/>
    <w:rsid w:val="00FB6CE2"/>
    <w:rsid w:val="00FC3B85"/>
    <w:rsid w:val="00FC578E"/>
    <w:rsid w:val="00FC71B3"/>
    <w:rsid w:val="00FC7F96"/>
    <w:rsid w:val="00FD0496"/>
    <w:rsid w:val="00FD0B81"/>
    <w:rsid w:val="00FD0EB3"/>
    <w:rsid w:val="00FD2EF3"/>
    <w:rsid w:val="00FD31D7"/>
    <w:rsid w:val="00FD490D"/>
    <w:rsid w:val="00FD5641"/>
    <w:rsid w:val="00FD64A8"/>
    <w:rsid w:val="00FD7294"/>
    <w:rsid w:val="00FE185A"/>
    <w:rsid w:val="00FE2C2D"/>
    <w:rsid w:val="00FE3326"/>
    <w:rsid w:val="00FE36D0"/>
    <w:rsid w:val="00FE38CC"/>
    <w:rsid w:val="00FE4785"/>
    <w:rsid w:val="00FE4D6D"/>
    <w:rsid w:val="00FE6C54"/>
    <w:rsid w:val="00FF0992"/>
    <w:rsid w:val="00FF116C"/>
    <w:rsid w:val="00FF1CA1"/>
    <w:rsid w:val="00FF451F"/>
    <w:rsid w:val="00FF48AB"/>
    <w:rsid w:val="00FF4C87"/>
    <w:rsid w:val="00FF509B"/>
    <w:rsid w:val="00FF557D"/>
    <w:rsid w:val="00FF62D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19277E"/>
  <w15:docId w15:val="{4D618B2D-1F5B-4BAB-A44C-E05CA1DCC5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0AE6"/>
    <w:pPr>
      <w:spacing w:after="0" w:line="240" w:lineRule="auto"/>
    </w:pPr>
    <w:rPr>
      <w:rFonts w:ascii="Times New Roman" w:eastAsia="Times New Roman" w:hAnsi="Times New Roman" w:cs="Times New Roman"/>
      <w:sz w:val="20"/>
      <w:szCs w:val="20"/>
      <w:lang w:val="es-ES" w:eastAsia="es-ES"/>
    </w:rPr>
  </w:style>
  <w:style w:type="paragraph" w:styleId="Ttulo1">
    <w:name w:val="heading 1"/>
    <w:basedOn w:val="Normal"/>
    <w:next w:val="Normal"/>
    <w:link w:val="Ttulo1Car"/>
    <w:qFormat/>
    <w:rsid w:val="00D9407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3">
    <w:name w:val="heading 3"/>
    <w:basedOn w:val="Normal"/>
    <w:next w:val="Normal"/>
    <w:link w:val="Ttulo3Car"/>
    <w:uiPriority w:val="9"/>
    <w:unhideWhenUsed/>
    <w:qFormat/>
    <w:rsid w:val="001012E1"/>
    <w:pPr>
      <w:keepNext/>
      <w:numPr>
        <w:numId w:val="3"/>
      </w:numPr>
      <w:jc w:val="both"/>
      <w:outlineLvl w:val="2"/>
    </w:pPr>
    <w:rPr>
      <w:rFonts w:ascii="Arial" w:hAnsi="Arial" w:cs="Calibri"/>
      <w:b/>
      <w:bCs/>
      <w:sz w:val="24"/>
      <w:szCs w:val="26"/>
      <w:lang w:val="es-CO" w:eastAsia="en-US"/>
    </w:rPr>
  </w:style>
  <w:style w:type="paragraph" w:styleId="Ttulo4">
    <w:name w:val="heading 4"/>
    <w:basedOn w:val="Normal"/>
    <w:next w:val="Normal"/>
    <w:link w:val="Ttulo4Car"/>
    <w:autoRedefine/>
    <w:uiPriority w:val="9"/>
    <w:unhideWhenUsed/>
    <w:qFormat/>
    <w:rsid w:val="00D165CC"/>
    <w:pPr>
      <w:keepNext/>
      <w:numPr>
        <w:ilvl w:val="2"/>
        <w:numId w:val="1"/>
      </w:numPr>
      <w:ind w:left="993"/>
      <w:jc w:val="both"/>
      <w:outlineLvl w:val="3"/>
    </w:pPr>
    <w:rPr>
      <w:rFonts w:ascii="Arial" w:hAnsi="Arial" w:cs="Calibri"/>
      <w:bCs/>
      <w:sz w:val="22"/>
      <w:szCs w:val="28"/>
      <w:lang w:val="es-C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230AE6"/>
    <w:pPr>
      <w:widowControl w:val="0"/>
      <w:tabs>
        <w:tab w:val="center" w:pos="4252"/>
        <w:tab w:val="right" w:pos="8504"/>
      </w:tabs>
    </w:pPr>
  </w:style>
  <w:style w:type="character" w:customStyle="1" w:styleId="EncabezadoCar">
    <w:name w:val="Encabezado Car"/>
    <w:basedOn w:val="Fuentedeprrafopredeter"/>
    <w:link w:val="Encabezado"/>
    <w:rsid w:val="00230AE6"/>
    <w:rPr>
      <w:rFonts w:ascii="Times New Roman" w:eastAsia="Times New Roman" w:hAnsi="Times New Roman" w:cs="Times New Roman"/>
      <w:sz w:val="20"/>
      <w:szCs w:val="20"/>
      <w:lang w:val="es-ES" w:eastAsia="es-ES"/>
    </w:rPr>
  </w:style>
  <w:style w:type="paragraph" w:styleId="Piedepgina">
    <w:name w:val="footer"/>
    <w:basedOn w:val="Normal"/>
    <w:link w:val="PiedepginaCar"/>
    <w:rsid w:val="00230AE6"/>
    <w:pPr>
      <w:widowControl w:val="0"/>
      <w:tabs>
        <w:tab w:val="center" w:pos="4252"/>
        <w:tab w:val="right" w:pos="8504"/>
      </w:tabs>
    </w:pPr>
  </w:style>
  <w:style w:type="character" w:customStyle="1" w:styleId="PiedepginaCar">
    <w:name w:val="Pie de página Car"/>
    <w:basedOn w:val="Fuentedeprrafopredeter"/>
    <w:link w:val="Piedepgina"/>
    <w:rsid w:val="00230AE6"/>
    <w:rPr>
      <w:rFonts w:ascii="Times New Roman" w:eastAsia="Times New Roman" w:hAnsi="Times New Roman" w:cs="Times New Roman"/>
      <w:sz w:val="20"/>
      <w:szCs w:val="20"/>
      <w:lang w:val="es-ES" w:eastAsia="es-ES"/>
    </w:rPr>
  </w:style>
  <w:style w:type="paragraph" w:styleId="NormalWeb">
    <w:name w:val="Normal (Web)"/>
    <w:basedOn w:val="Normal"/>
    <w:uiPriority w:val="99"/>
    <w:unhideWhenUsed/>
    <w:rsid w:val="001C062F"/>
    <w:pPr>
      <w:spacing w:before="100" w:beforeAutospacing="1" w:after="100" w:afterAutospacing="1"/>
    </w:pPr>
    <w:rPr>
      <w:sz w:val="24"/>
      <w:szCs w:val="24"/>
    </w:rPr>
  </w:style>
  <w:style w:type="character" w:styleId="Refdecomentario">
    <w:name w:val="annotation reference"/>
    <w:basedOn w:val="Fuentedeprrafopredeter"/>
    <w:uiPriority w:val="99"/>
    <w:semiHidden/>
    <w:unhideWhenUsed/>
    <w:rsid w:val="0070772E"/>
    <w:rPr>
      <w:sz w:val="16"/>
      <w:szCs w:val="16"/>
    </w:rPr>
  </w:style>
  <w:style w:type="paragraph" w:styleId="Textocomentario">
    <w:name w:val="annotation text"/>
    <w:basedOn w:val="Normal"/>
    <w:link w:val="TextocomentarioCar"/>
    <w:uiPriority w:val="99"/>
    <w:semiHidden/>
    <w:unhideWhenUsed/>
    <w:rsid w:val="0070772E"/>
  </w:style>
  <w:style w:type="character" w:customStyle="1" w:styleId="TextocomentarioCar">
    <w:name w:val="Texto comentario Car"/>
    <w:basedOn w:val="Fuentedeprrafopredeter"/>
    <w:link w:val="Textocomentario"/>
    <w:uiPriority w:val="99"/>
    <w:semiHidden/>
    <w:rsid w:val="0070772E"/>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70772E"/>
    <w:rPr>
      <w:b/>
      <w:bCs/>
    </w:rPr>
  </w:style>
  <w:style w:type="character" w:customStyle="1" w:styleId="AsuntodelcomentarioCar">
    <w:name w:val="Asunto del comentario Car"/>
    <w:basedOn w:val="TextocomentarioCar"/>
    <w:link w:val="Asuntodelcomentario"/>
    <w:uiPriority w:val="99"/>
    <w:semiHidden/>
    <w:rsid w:val="0070772E"/>
    <w:rPr>
      <w:rFonts w:ascii="Times New Roman" w:eastAsia="Times New Roman" w:hAnsi="Times New Roman" w:cs="Times New Roman"/>
      <w:b/>
      <w:bCs/>
      <w:sz w:val="20"/>
      <w:szCs w:val="20"/>
      <w:lang w:val="es-ES" w:eastAsia="es-ES"/>
    </w:rPr>
  </w:style>
  <w:style w:type="paragraph" w:styleId="Textodeglobo">
    <w:name w:val="Balloon Text"/>
    <w:basedOn w:val="Normal"/>
    <w:link w:val="TextodegloboCar"/>
    <w:uiPriority w:val="99"/>
    <w:semiHidden/>
    <w:unhideWhenUsed/>
    <w:rsid w:val="0070772E"/>
    <w:rPr>
      <w:rFonts w:ascii="Tahoma" w:hAnsi="Tahoma" w:cs="Tahoma"/>
      <w:sz w:val="16"/>
      <w:szCs w:val="16"/>
    </w:rPr>
  </w:style>
  <w:style w:type="character" w:customStyle="1" w:styleId="TextodegloboCar">
    <w:name w:val="Texto de globo Car"/>
    <w:basedOn w:val="Fuentedeprrafopredeter"/>
    <w:link w:val="Textodeglobo"/>
    <w:uiPriority w:val="99"/>
    <w:semiHidden/>
    <w:rsid w:val="0070772E"/>
    <w:rPr>
      <w:rFonts w:ascii="Tahoma" w:eastAsia="Times New Roman" w:hAnsi="Tahoma" w:cs="Tahoma"/>
      <w:sz w:val="16"/>
      <w:szCs w:val="16"/>
      <w:lang w:val="es-ES" w:eastAsia="es-ES"/>
    </w:rPr>
  </w:style>
  <w:style w:type="paragraph" w:styleId="Prrafodelista">
    <w:name w:val="List Paragraph"/>
    <w:basedOn w:val="Normal"/>
    <w:link w:val="PrrafodelistaCar"/>
    <w:uiPriority w:val="34"/>
    <w:qFormat/>
    <w:rsid w:val="00EF0443"/>
    <w:pPr>
      <w:ind w:left="720"/>
      <w:contextualSpacing/>
    </w:pPr>
  </w:style>
  <w:style w:type="paragraph" w:customStyle="1" w:styleId="LO-Normal">
    <w:name w:val="LO-Normal"/>
    <w:rsid w:val="00B90664"/>
    <w:pPr>
      <w:suppressAutoHyphens/>
      <w:autoSpaceDN w:val="0"/>
      <w:spacing w:after="0" w:line="100" w:lineRule="atLeast"/>
      <w:textAlignment w:val="baseline"/>
    </w:pPr>
    <w:rPr>
      <w:rFonts w:ascii="Times New Roman" w:eastAsia="Times New Roman" w:hAnsi="Times New Roman" w:cs="Times New Roman"/>
      <w:kern w:val="3"/>
      <w:sz w:val="24"/>
      <w:szCs w:val="24"/>
      <w:lang w:val="es-ES" w:eastAsia="es-ES"/>
    </w:rPr>
  </w:style>
  <w:style w:type="character" w:customStyle="1" w:styleId="Internetlink">
    <w:name w:val="Internet link"/>
    <w:rsid w:val="007F1AB4"/>
    <w:rPr>
      <w:color w:val="000080"/>
      <w:u w:val="single"/>
    </w:rPr>
  </w:style>
  <w:style w:type="character" w:styleId="Hipervnculo">
    <w:name w:val="Hyperlink"/>
    <w:basedOn w:val="Fuentedeprrafopredeter"/>
    <w:uiPriority w:val="99"/>
    <w:unhideWhenUsed/>
    <w:rsid w:val="007F1AB4"/>
    <w:rPr>
      <w:color w:val="0000FF" w:themeColor="hyperlink"/>
      <w:u w:val="single"/>
    </w:rPr>
  </w:style>
  <w:style w:type="paragraph" w:styleId="Revisin">
    <w:name w:val="Revision"/>
    <w:hidden/>
    <w:uiPriority w:val="99"/>
    <w:semiHidden/>
    <w:rsid w:val="00C8683B"/>
    <w:pPr>
      <w:spacing w:after="0" w:line="240" w:lineRule="auto"/>
    </w:pPr>
    <w:rPr>
      <w:rFonts w:ascii="Times New Roman" w:eastAsia="Times New Roman" w:hAnsi="Times New Roman" w:cs="Times New Roman"/>
      <w:sz w:val="20"/>
      <w:szCs w:val="20"/>
      <w:lang w:val="es-ES" w:eastAsia="es-ES"/>
    </w:rPr>
  </w:style>
  <w:style w:type="paragraph" w:styleId="Textonotaalfinal">
    <w:name w:val="endnote text"/>
    <w:basedOn w:val="Normal"/>
    <w:link w:val="TextonotaalfinalCar"/>
    <w:uiPriority w:val="99"/>
    <w:semiHidden/>
    <w:unhideWhenUsed/>
    <w:rsid w:val="00084242"/>
  </w:style>
  <w:style w:type="character" w:customStyle="1" w:styleId="TextonotaalfinalCar">
    <w:name w:val="Texto nota al final Car"/>
    <w:basedOn w:val="Fuentedeprrafopredeter"/>
    <w:link w:val="Textonotaalfinal"/>
    <w:uiPriority w:val="99"/>
    <w:semiHidden/>
    <w:rsid w:val="00084242"/>
    <w:rPr>
      <w:rFonts w:ascii="Times New Roman" w:eastAsia="Times New Roman" w:hAnsi="Times New Roman" w:cs="Times New Roman"/>
      <w:sz w:val="20"/>
      <w:szCs w:val="20"/>
      <w:lang w:val="es-ES" w:eastAsia="es-ES"/>
    </w:rPr>
  </w:style>
  <w:style w:type="character" w:styleId="Refdenotaalfinal">
    <w:name w:val="endnote reference"/>
    <w:basedOn w:val="Fuentedeprrafopredeter"/>
    <w:uiPriority w:val="99"/>
    <w:semiHidden/>
    <w:unhideWhenUsed/>
    <w:rsid w:val="00084242"/>
    <w:rPr>
      <w:vertAlign w:val="superscript"/>
    </w:rPr>
  </w:style>
  <w:style w:type="paragraph" w:styleId="Textonotapie">
    <w:name w:val="footnote text"/>
    <w:basedOn w:val="Normal"/>
    <w:link w:val="TextonotapieCar"/>
    <w:uiPriority w:val="99"/>
    <w:unhideWhenUsed/>
    <w:rsid w:val="00084242"/>
  </w:style>
  <w:style w:type="character" w:customStyle="1" w:styleId="TextonotapieCar">
    <w:name w:val="Texto nota pie Car"/>
    <w:basedOn w:val="Fuentedeprrafopredeter"/>
    <w:link w:val="Textonotapie"/>
    <w:uiPriority w:val="99"/>
    <w:rsid w:val="00084242"/>
    <w:rPr>
      <w:rFonts w:ascii="Times New Roman" w:eastAsia="Times New Roman" w:hAnsi="Times New Roman" w:cs="Times New Roman"/>
      <w:sz w:val="20"/>
      <w:szCs w:val="20"/>
      <w:lang w:val="es-ES" w:eastAsia="es-ES"/>
    </w:rPr>
  </w:style>
  <w:style w:type="character" w:styleId="Refdenotaalpie">
    <w:name w:val="footnote reference"/>
    <w:basedOn w:val="Fuentedeprrafopredeter"/>
    <w:uiPriority w:val="99"/>
    <w:unhideWhenUsed/>
    <w:rsid w:val="00084242"/>
    <w:rPr>
      <w:vertAlign w:val="superscript"/>
    </w:rPr>
  </w:style>
  <w:style w:type="character" w:customStyle="1" w:styleId="m2085710165134962013gmail-m5642758233260925474gmail-msoins">
    <w:name w:val="m_2085710165134962013gmail-m_5642758233260925474gmail-msoins"/>
    <w:basedOn w:val="Fuentedeprrafopredeter"/>
    <w:rsid w:val="00FD64A8"/>
  </w:style>
  <w:style w:type="character" w:styleId="Hipervnculovisitado">
    <w:name w:val="FollowedHyperlink"/>
    <w:basedOn w:val="Fuentedeprrafopredeter"/>
    <w:uiPriority w:val="99"/>
    <w:semiHidden/>
    <w:unhideWhenUsed/>
    <w:rsid w:val="00EF44BE"/>
    <w:rPr>
      <w:color w:val="800080" w:themeColor="followedHyperlink"/>
      <w:u w:val="single"/>
    </w:rPr>
  </w:style>
  <w:style w:type="table" w:styleId="Tablaconcuadrcula">
    <w:name w:val="Table Grid"/>
    <w:basedOn w:val="Tablanormal"/>
    <w:uiPriority w:val="59"/>
    <w:unhideWhenUsed/>
    <w:rsid w:val="004738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link w:val="Prrafodelista"/>
    <w:uiPriority w:val="34"/>
    <w:locked/>
    <w:rsid w:val="00E42602"/>
    <w:rPr>
      <w:rFonts w:ascii="Times New Roman" w:eastAsia="Times New Roman" w:hAnsi="Times New Roman" w:cs="Times New Roman"/>
      <w:sz w:val="20"/>
      <w:szCs w:val="20"/>
      <w:lang w:val="es-ES" w:eastAsia="es-ES"/>
    </w:rPr>
  </w:style>
  <w:style w:type="character" w:customStyle="1" w:styleId="Ttulo3Car">
    <w:name w:val="Título 3 Car"/>
    <w:basedOn w:val="Fuentedeprrafopredeter"/>
    <w:link w:val="Ttulo3"/>
    <w:uiPriority w:val="9"/>
    <w:rsid w:val="001012E1"/>
    <w:rPr>
      <w:rFonts w:ascii="Arial" w:eastAsia="Times New Roman" w:hAnsi="Arial" w:cs="Calibri"/>
      <w:b/>
      <w:bCs/>
      <w:sz w:val="24"/>
      <w:szCs w:val="26"/>
    </w:rPr>
  </w:style>
  <w:style w:type="character" w:customStyle="1" w:styleId="Ttulo4Car">
    <w:name w:val="Título 4 Car"/>
    <w:basedOn w:val="Fuentedeprrafopredeter"/>
    <w:link w:val="Ttulo4"/>
    <w:uiPriority w:val="9"/>
    <w:rsid w:val="00D165CC"/>
    <w:rPr>
      <w:rFonts w:ascii="Arial" w:eastAsia="Times New Roman" w:hAnsi="Arial" w:cs="Calibri"/>
      <w:bCs/>
      <w:szCs w:val="28"/>
    </w:rPr>
  </w:style>
  <w:style w:type="paragraph" w:styleId="Sinespaciado">
    <w:name w:val="No Spacing"/>
    <w:aliases w:val="Titulo 1"/>
    <w:basedOn w:val="Normal"/>
    <w:next w:val="Normal"/>
    <w:autoRedefine/>
    <w:uiPriority w:val="1"/>
    <w:qFormat/>
    <w:rsid w:val="001012E1"/>
    <w:pPr>
      <w:numPr>
        <w:numId w:val="2"/>
      </w:numPr>
      <w:jc w:val="both"/>
    </w:pPr>
    <w:rPr>
      <w:rFonts w:ascii="Arial" w:eastAsia="Calibri" w:hAnsi="Arial" w:cs="Arial"/>
      <w:b/>
      <w:lang w:val="es-CO" w:eastAsia="en-US"/>
    </w:rPr>
  </w:style>
  <w:style w:type="table" w:styleId="Listamedia2-nfasis1">
    <w:name w:val="Medium List 2 Accent 1"/>
    <w:basedOn w:val="Tablanormal"/>
    <w:uiPriority w:val="66"/>
    <w:rsid w:val="00D9407E"/>
    <w:pPr>
      <w:spacing w:after="0" w:line="240" w:lineRule="auto"/>
    </w:pPr>
    <w:rPr>
      <w:rFonts w:asciiTheme="majorHAnsi" w:eastAsiaTheme="majorEastAsia" w:hAnsiTheme="majorHAnsi" w:cstheme="majorBidi"/>
      <w:color w:val="000000" w:themeColor="text1"/>
      <w:lang w:val="es-E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customStyle="1" w:styleId="Ttulo1Car">
    <w:name w:val="Título 1 Car"/>
    <w:basedOn w:val="Fuentedeprrafopredeter"/>
    <w:link w:val="Ttulo1"/>
    <w:uiPriority w:val="9"/>
    <w:rsid w:val="00D9407E"/>
    <w:rPr>
      <w:rFonts w:asciiTheme="majorHAnsi" w:eastAsiaTheme="majorEastAsia" w:hAnsiTheme="majorHAnsi" w:cstheme="majorBidi"/>
      <w:b/>
      <w:bCs/>
      <w:color w:val="365F91" w:themeColor="accent1" w:themeShade="BF"/>
      <w:sz w:val="28"/>
      <w:szCs w:val="28"/>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136274">
      <w:bodyDiv w:val="1"/>
      <w:marLeft w:val="0"/>
      <w:marRight w:val="0"/>
      <w:marTop w:val="0"/>
      <w:marBottom w:val="0"/>
      <w:divBdr>
        <w:top w:val="none" w:sz="0" w:space="0" w:color="auto"/>
        <w:left w:val="none" w:sz="0" w:space="0" w:color="auto"/>
        <w:bottom w:val="none" w:sz="0" w:space="0" w:color="auto"/>
        <w:right w:val="none" w:sz="0" w:space="0" w:color="auto"/>
      </w:divBdr>
    </w:div>
    <w:div w:id="183984493">
      <w:bodyDiv w:val="1"/>
      <w:marLeft w:val="0"/>
      <w:marRight w:val="0"/>
      <w:marTop w:val="0"/>
      <w:marBottom w:val="0"/>
      <w:divBdr>
        <w:top w:val="none" w:sz="0" w:space="0" w:color="auto"/>
        <w:left w:val="none" w:sz="0" w:space="0" w:color="auto"/>
        <w:bottom w:val="none" w:sz="0" w:space="0" w:color="auto"/>
        <w:right w:val="none" w:sz="0" w:space="0" w:color="auto"/>
      </w:divBdr>
    </w:div>
    <w:div w:id="723870222">
      <w:bodyDiv w:val="1"/>
      <w:marLeft w:val="0"/>
      <w:marRight w:val="0"/>
      <w:marTop w:val="0"/>
      <w:marBottom w:val="0"/>
      <w:divBdr>
        <w:top w:val="none" w:sz="0" w:space="0" w:color="auto"/>
        <w:left w:val="none" w:sz="0" w:space="0" w:color="auto"/>
        <w:bottom w:val="none" w:sz="0" w:space="0" w:color="auto"/>
        <w:right w:val="none" w:sz="0" w:space="0" w:color="auto"/>
      </w:divBdr>
    </w:div>
    <w:div w:id="771366652">
      <w:bodyDiv w:val="1"/>
      <w:marLeft w:val="0"/>
      <w:marRight w:val="0"/>
      <w:marTop w:val="0"/>
      <w:marBottom w:val="0"/>
      <w:divBdr>
        <w:top w:val="none" w:sz="0" w:space="0" w:color="auto"/>
        <w:left w:val="none" w:sz="0" w:space="0" w:color="auto"/>
        <w:bottom w:val="none" w:sz="0" w:space="0" w:color="auto"/>
        <w:right w:val="none" w:sz="0" w:space="0" w:color="auto"/>
      </w:divBdr>
    </w:div>
    <w:div w:id="804279027">
      <w:bodyDiv w:val="1"/>
      <w:marLeft w:val="0"/>
      <w:marRight w:val="0"/>
      <w:marTop w:val="0"/>
      <w:marBottom w:val="0"/>
      <w:divBdr>
        <w:top w:val="none" w:sz="0" w:space="0" w:color="auto"/>
        <w:left w:val="none" w:sz="0" w:space="0" w:color="auto"/>
        <w:bottom w:val="none" w:sz="0" w:space="0" w:color="auto"/>
        <w:right w:val="none" w:sz="0" w:space="0" w:color="auto"/>
      </w:divBdr>
    </w:div>
    <w:div w:id="948196464">
      <w:bodyDiv w:val="1"/>
      <w:marLeft w:val="0"/>
      <w:marRight w:val="0"/>
      <w:marTop w:val="0"/>
      <w:marBottom w:val="0"/>
      <w:divBdr>
        <w:top w:val="none" w:sz="0" w:space="0" w:color="auto"/>
        <w:left w:val="none" w:sz="0" w:space="0" w:color="auto"/>
        <w:bottom w:val="none" w:sz="0" w:space="0" w:color="auto"/>
        <w:right w:val="none" w:sz="0" w:space="0" w:color="auto"/>
      </w:divBdr>
    </w:div>
    <w:div w:id="1244335254">
      <w:bodyDiv w:val="1"/>
      <w:marLeft w:val="0"/>
      <w:marRight w:val="0"/>
      <w:marTop w:val="0"/>
      <w:marBottom w:val="0"/>
      <w:divBdr>
        <w:top w:val="none" w:sz="0" w:space="0" w:color="auto"/>
        <w:left w:val="none" w:sz="0" w:space="0" w:color="auto"/>
        <w:bottom w:val="none" w:sz="0" w:space="0" w:color="auto"/>
        <w:right w:val="none" w:sz="0" w:space="0" w:color="auto"/>
      </w:divBdr>
    </w:div>
    <w:div w:id="1381828871">
      <w:bodyDiv w:val="1"/>
      <w:marLeft w:val="0"/>
      <w:marRight w:val="0"/>
      <w:marTop w:val="0"/>
      <w:marBottom w:val="0"/>
      <w:divBdr>
        <w:top w:val="none" w:sz="0" w:space="0" w:color="auto"/>
        <w:left w:val="none" w:sz="0" w:space="0" w:color="auto"/>
        <w:bottom w:val="none" w:sz="0" w:space="0" w:color="auto"/>
        <w:right w:val="none" w:sz="0" w:space="0" w:color="auto"/>
      </w:divBdr>
    </w:div>
    <w:div w:id="1454205853">
      <w:bodyDiv w:val="1"/>
      <w:marLeft w:val="0"/>
      <w:marRight w:val="0"/>
      <w:marTop w:val="0"/>
      <w:marBottom w:val="0"/>
      <w:divBdr>
        <w:top w:val="none" w:sz="0" w:space="0" w:color="auto"/>
        <w:left w:val="none" w:sz="0" w:space="0" w:color="auto"/>
        <w:bottom w:val="none" w:sz="0" w:space="0" w:color="auto"/>
        <w:right w:val="none" w:sz="0" w:space="0" w:color="auto"/>
      </w:divBdr>
    </w:div>
    <w:div w:id="1482113158">
      <w:bodyDiv w:val="1"/>
      <w:marLeft w:val="0"/>
      <w:marRight w:val="0"/>
      <w:marTop w:val="0"/>
      <w:marBottom w:val="0"/>
      <w:divBdr>
        <w:top w:val="none" w:sz="0" w:space="0" w:color="auto"/>
        <w:left w:val="none" w:sz="0" w:space="0" w:color="auto"/>
        <w:bottom w:val="none" w:sz="0" w:space="0" w:color="auto"/>
        <w:right w:val="none" w:sz="0" w:space="0" w:color="auto"/>
      </w:divBdr>
    </w:div>
    <w:div w:id="1578438128">
      <w:bodyDiv w:val="1"/>
      <w:marLeft w:val="0"/>
      <w:marRight w:val="0"/>
      <w:marTop w:val="0"/>
      <w:marBottom w:val="0"/>
      <w:divBdr>
        <w:top w:val="none" w:sz="0" w:space="0" w:color="auto"/>
        <w:left w:val="none" w:sz="0" w:space="0" w:color="auto"/>
        <w:bottom w:val="none" w:sz="0" w:space="0" w:color="auto"/>
        <w:right w:val="none" w:sz="0" w:space="0" w:color="auto"/>
      </w:divBdr>
    </w:div>
    <w:div w:id="1796866397">
      <w:bodyDiv w:val="1"/>
      <w:marLeft w:val="0"/>
      <w:marRight w:val="0"/>
      <w:marTop w:val="0"/>
      <w:marBottom w:val="0"/>
      <w:divBdr>
        <w:top w:val="none" w:sz="0" w:space="0" w:color="auto"/>
        <w:left w:val="none" w:sz="0" w:space="0" w:color="auto"/>
        <w:bottom w:val="none" w:sz="0" w:space="0" w:color="auto"/>
        <w:right w:val="none" w:sz="0" w:space="0" w:color="auto"/>
      </w:divBdr>
    </w:div>
    <w:div w:id="1843203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google.com/url?q=http://www.culturarecreacionydeporte.gov.co/es/scrd-transparente/otras-publicaciones&amp;sa=D&amp;ust=1516135359039000&amp;usg=AFQjCNGuYOV1_Z4A3XrYUkS1cqcUGpgFDA" TargetMode="Externa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idpc.gov.co/transparencia-y-acceso-a-la-informacion-publica/%20ley_transparencia_idpc/informes-gestion-evaluacion-auditoria/"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http://idpc.gov.co/informe-de-logros-institucionales/" TargetMode="External"/><Relationship Id="rId10" Type="http://schemas.openxmlformats.org/officeDocument/2006/relationships/image" Target="media/image2.jp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idpc.gov.co/transparencia-y-acceso-a-la-informacion-publica/ley_transparencia_idpc/informes-seguimiento-segplan/"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www.funcionpublica.gov.co/documents/28587410/34112007/Manual+Operativo+MIPG.pdf/ce5461b4-97b7-be3b-b243-781bbd1575f3" TargetMode="External"/><Relationship Id="rId1" Type="http://schemas.openxmlformats.org/officeDocument/2006/relationships/hyperlink" Target="https://www.urnadecristal.gov.co/sites/default/files/03-09-2017_MURC_Version2.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30/01/2019</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B29F20B-91F2-6B41-BCDF-4374B1B61B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3871</Words>
  <Characters>21295</Characters>
  <Application>Microsoft Office Word</Application>
  <DocSecurity>0</DocSecurity>
  <Lines>177</Lines>
  <Paragraphs>50</Paragraphs>
  <ScaleCrop>false</ScaleCrop>
  <HeadingPairs>
    <vt:vector size="2" baseType="variant">
      <vt:variant>
        <vt:lpstr>Título</vt:lpstr>
      </vt:variant>
      <vt:variant>
        <vt:i4>1</vt:i4>
      </vt:variant>
    </vt:vector>
  </HeadingPairs>
  <TitlesOfParts>
    <vt:vector size="1" baseType="lpstr">
      <vt:lpstr>CONTROL DE DOCUMENTOS</vt:lpstr>
    </vt:vector>
  </TitlesOfParts>
  <Company>INSTITUTO DISTRITAL DE PATRIMONIO CULTURAL</Company>
  <LinksUpToDate>false</LinksUpToDate>
  <CharactersWithSpaces>25116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CONTROL DE DOCUMENTOS</dc:title>
  <dc:subject>Direccionamiento Estratégico</dc:subject>
  <dc:creator>Jose Francisco Rodriguez Tellez</dc:creator>
  <cp:lastModifiedBy>Microsoft Office User</cp:lastModifiedBy>
  <cp:revision>2</cp:revision>
  <cp:lastPrinted>2018-02-19T19:31:00Z</cp:lastPrinted>
  <dcterms:created xsi:type="dcterms:W3CDTF">2019-03-31T00:53:00Z</dcterms:created>
  <dcterms:modified xsi:type="dcterms:W3CDTF">2019-03-31T00:53:00Z</dcterms:modified>
</cp:coreProperties>
</file>